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290830</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51435</wp:posOffset>
            </wp:positionV>
            <wp:extent cx="5648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00" w:type="dxa"/>
        <w:tblCellMar>
          <w:top w:w="0" w:type="dxa"/>
          <w:left w:w="0" w:type="dxa"/>
          <w:bottom w:w="0" w:type="dxa"/>
          <w:right w:w="0" w:type="dxa"/>
        </w:tblCellMar>
      </w:tblPr>
      <w:tr>
        <w:trPr>
          <w:trHeight w:val="256"/>
        </w:trPr>
        <w:tc>
          <w:tcPr>
            <w:tcW w:w="3120" w:type="dxa"/>
            <w:vAlign w:val="bottom"/>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right"/>
              <w:ind w:right="901"/>
              <w:spacing w:after="0"/>
              <w:rPr>
                <w:sz w:val="20"/>
                <w:szCs w:val="20"/>
                <w:color w:val="auto"/>
              </w:rPr>
            </w:pPr>
            <w:r>
              <w:rPr>
                <w:rFonts w:ascii="Times New Roman" w:cs="Times New Roman" w:eastAsia="Times New Roman" w:hAnsi="Times New Roman"/>
                <w:sz w:val="22"/>
                <w:szCs w:val="22"/>
                <w:b w:val="1"/>
                <w:bCs w:val="1"/>
                <w:color w:val="auto"/>
              </w:rPr>
              <w:t>0-18183</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22"/>
                <w:szCs w:val="22"/>
                <w:b w:val="1"/>
                <w:bCs w:val="1"/>
                <w:color w:val="auto"/>
                <w:w w:val="97"/>
              </w:rPr>
              <w:t>41-1590959</w:t>
            </w:r>
          </w:p>
        </w:tc>
      </w:tr>
      <w:tr>
        <w:trPr>
          <w:trHeight w:val="216"/>
        </w:trPr>
        <w:tc>
          <w:tcPr>
            <w:tcW w:w="3120" w:type="dxa"/>
            <w:vAlign w:val="bottom"/>
          </w:tcPr>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or</w:t>
            </w:r>
          </w:p>
        </w:tc>
        <w:tc>
          <w:tcPr>
            <w:tcW w:w="264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20" w:type="dxa"/>
            <w:vAlign w:val="bottom"/>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8"/>
        </w:trPr>
        <w:tc>
          <w:tcPr>
            <w:tcW w:w="3120" w:type="dxa"/>
            <w:vAlign w:val="bottom"/>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512 Seventh Avenue</w:t>
            </w:r>
          </w:p>
        </w:tc>
        <w:tc>
          <w:tcPr>
            <w:tcW w:w="26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6"/>
        </w:trPr>
        <w:tc>
          <w:tcPr>
            <w:tcW w:w="3120" w:type="dxa"/>
            <w:vAlign w:val="bottom"/>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5"/>
              </w:rPr>
              <w:t>New York, New York</w:t>
            </w:r>
          </w:p>
        </w:tc>
        <w:tc>
          <w:tcPr>
            <w:tcW w:w="2640" w:type="dxa"/>
            <w:vAlign w:val="bottom"/>
          </w:tcPr>
          <w:p>
            <w:pPr>
              <w:spacing w:after="0"/>
              <w:rPr>
                <w:sz w:val="22"/>
                <w:szCs w:val="22"/>
                <w:color w:val="auto"/>
              </w:rPr>
            </w:pPr>
          </w:p>
        </w:tc>
        <w:tc>
          <w:tcPr>
            <w:tcW w:w="2840" w:type="dxa"/>
            <w:vAlign w:val="bottom"/>
          </w:tcPr>
          <w:p>
            <w:pPr>
              <w:jc w:val="center"/>
              <w:ind w:left="279"/>
              <w:spacing w:after="0"/>
              <w:rPr>
                <w:sz w:val="20"/>
                <w:szCs w:val="20"/>
                <w:color w:val="auto"/>
              </w:rPr>
            </w:pPr>
            <w:r>
              <w:rPr>
                <w:rFonts w:ascii="Times New Roman" w:cs="Times New Roman" w:eastAsia="Times New Roman" w:hAnsi="Times New Roman"/>
                <w:sz w:val="22"/>
                <w:szCs w:val="22"/>
                <w:b w:val="1"/>
                <w:bCs w:val="1"/>
                <w:color w:val="auto"/>
                <w:w w:val="98"/>
              </w:rPr>
              <w:t>10018</w:t>
            </w:r>
          </w:p>
        </w:tc>
      </w:tr>
      <w:tr>
        <w:trPr>
          <w:trHeight w:val="234"/>
        </w:trPr>
        <w:tc>
          <w:tcPr>
            <w:tcW w:w="3120" w:type="dxa"/>
            <w:vAlign w:val="bottom"/>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spacing w:after="0"/>
              <w:rPr>
                <w:sz w:val="20"/>
                <w:szCs w:val="20"/>
                <w:color w:val="auto"/>
              </w:rPr>
            </w:pP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rPr>
              <w:t>(Zip Code)</w:t>
            </w:r>
          </w:p>
        </w:tc>
      </w:tr>
      <w:tr>
        <w:trPr>
          <w:trHeight w:val="461"/>
        </w:trPr>
        <w:tc>
          <w:tcPr>
            <w:tcW w:w="3120" w:type="dxa"/>
            <w:vAlign w:val="bottom"/>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7"/>
              </w:rPr>
              <w:t>Neal S. Nackman</w:t>
            </w:r>
          </w:p>
        </w:tc>
        <w:tc>
          <w:tcPr>
            <w:tcW w:w="2640" w:type="dxa"/>
            <w:vAlign w:val="bottom"/>
          </w:tcPr>
          <w:p>
            <w:pPr>
              <w:spacing w:after="0"/>
              <w:rPr>
                <w:sz w:val="24"/>
                <w:szCs w:val="24"/>
                <w:color w:val="auto"/>
              </w:rPr>
            </w:pP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22"/>
                <w:szCs w:val="22"/>
                <w:b w:val="1"/>
                <w:bCs w:val="1"/>
                <w:color w:val="auto"/>
                <w:w w:val="98"/>
              </w:rPr>
              <w:t>(212) 403-0500</w:t>
            </w:r>
          </w:p>
        </w:tc>
      </w:tr>
    </w:tbl>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116205</wp:posOffset>
            </wp:positionV>
            <wp:extent cx="5648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74" w:lineRule="exact"/>
        <w:rPr>
          <w:sz w:val="24"/>
          <w:szCs w:val="24"/>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40" w:right="539" w:firstLine="5"/>
        <w:spacing w:after="0" w:line="242" w:lineRule="auto"/>
        <w:tabs>
          <w:tab w:leader="none" w:pos="577"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770255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4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(“Form SD”) of G-III Apparel Group, Ltd. (“G-III,” “we,” “us,” or “our”) for the year ended December 31, 2025 is presented to comply with Rule 13p-1 under the Securities Exchange Act of 1934, as amended.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G-III designs, sources, distributes and markets apparel and accessories under owned, licensed and private label brands. G-</w:t>
      </w:r>
    </w:p>
    <w:p>
      <w:pPr>
        <w:spacing w:after="0" w:line="27" w:lineRule="exact"/>
        <w:rPr>
          <w:sz w:val="20"/>
          <w:szCs w:val="20"/>
          <w:color w:val="auto"/>
        </w:rPr>
      </w:pPr>
    </w:p>
    <w:p>
      <w:pPr>
        <w:jc w:val="both"/>
        <w:ind w:left="60" w:right="59" w:hanging="10"/>
        <w:spacing w:after="0" w:line="251" w:lineRule="auto"/>
        <w:tabs>
          <w:tab w:leader="none" w:pos="3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portfolio of more than 30 owned and licensed brands, anchored by its key owned brands DKNY, Donna Karan, Karl Lagerfeld and Vilebrequin. G-III’s owned brands include DKNY, Donna Karan, Karl Lagerfeld, Vilebrequin, Eliza J, Jessica Howard, Andrew Marc, G.H. Bass, Wilsons Leather and Sonia Rykiel. G-III has an extensive portfolio of well-known licensed brands, including Calvin Klein, Tommy Hilfiger, Levi’s, Nautica, Halston, Champion, Converse, BCBG, French Connection, Starter and major national sports leagues, among others. Through its licensed team sports business, G-III has partnerships with the National Football League, National Basketball Association, Major League Baseball, National Hockey League and over 150 U.S. colleges and universities. G-III also distributes apparel and other products directly to consumers through its DKNY, Karl Lagerfeld, Karl Lagerfeld Paris and Vilebrequin retail stores and its digital sites for its DKNY, Donna Karan, Karl Lagerfeld, Karl Lagerfeld Paris, Vilebrequin, G.H. Bass and Wilsons Leather brands.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Conflict Minerals Policy is publicly available in the Investor Relations section of our website at http://www.giii.com under the heading “Investors - Corporate Governance – Governance Documents – Conflict Minerals Policy.”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G-III has filed a Conflict Minerals Report for the year ended December 31, 2025 as Exhibit 1.01 to this Form SD. The Conflict Minerals Report is also publicly available at http://www.giii.com under the heading “Investors - SEC Filings.” The reference to our website is provided for convenience only, and its contents are not incorporated by reference into this Form SD and the Conflict Minerals Report, nor deemed filed with the Securities and Exchange Commission.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G-III APPAREL GROUP, LTD.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 Neal S. Nackman</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191"/>
        </w:trPr>
        <w:tc>
          <w:tcPr>
            <w:tcW w:w="320" w:type="dxa"/>
            <w:vAlign w:val="bottom"/>
          </w:tcPr>
          <w:p>
            <w:pPr>
              <w:spacing w:after="0"/>
              <w:rPr>
                <w:sz w:val="16"/>
                <w:szCs w:val="16"/>
                <w:color w:val="auto"/>
              </w:rPr>
            </w:pPr>
          </w:p>
        </w:tc>
        <w:tc>
          <w:tcPr>
            <w:tcW w:w="408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Neal S. Nackman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tcPr>
          <w:p>
            <w:pPr>
              <w:jc w:val="center"/>
              <w:ind w:right="770"/>
              <w:spacing w:after="0" w:line="191"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320" w:type="dxa"/>
            <w:vAlign w:val="bottom"/>
          </w:tcPr>
          <w:p>
            <w:pPr>
              <w:spacing w:after="0"/>
              <w:rPr>
                <w:sz w:val="20"/>
                <w:szCs w:val="20"/>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864"/>
        </w:trPr>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60"/>
        </w:trPr>
        <w:tc>
          <w:tcPr>
            <w:tcW w:w="3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color w:val="auto"/>
        </w:rPr>
        <w:t>Exhibit 1.01</w:t>
      </w:r>
    </w:p>
    <w:p>
      <w:pPr>
        <w:spacing w:after="0" w:line="2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(Items 1.01 and 1.02)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G-III Apparel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left="60" w:right="59" w:hanging="8"/>
        <w:spacing w:after="0" w:line="261" w:lineRule="auto"/>
        <w:rPr>
          <w:sz w:val="20"/>
          <w:szCs w:val="20"/>
          <w:color w:val="auto"/>
        </w:rPr>
      </w:pPr>
      <w:r>
        <w:rPr>
          <w:rFonts w:ascii="Times New Roman" w:cs="Times New Roman" w:eastAsia="Times New Roman" w:hAnsi="Times New Roman"/>
          <w:sz w:val="18"/>
          <w:szCs w:val="18"/>
          <w:color w:val="auto"/>
        </w:rPr>
        <w:t>This is the Conflict Minerals Report of G-III Apparel Group, Ltd. (“G-III”) filed with the United States Securities and Exchange Commission (“SEC”) pursuant to Rule 13p-1 (“Rule 13p-1”) under the Securities Exchange Act of 1934, as amended, for the reporting period from January 1, 2025 to December 31, 2025. Please refer to Rule 13p-1, Form SD and the SEC Release No. 34-67716 for definitions to the terms used in this Report, unless otherwise defined herein.</w:t>
      </w:r>
    </w:p>
    <w:p>
      <w:pPr>
        <w:spacing w:after="0" w:line="126" w:lineRule="exact"/>
        <w:rPr>
          <w:sz w:val="20"/>
          <w:szCs w:val="20"/>
          <w:color w:val="auto"/>
        </w:rPr>
      </w:pPr>
    </w:p>
    <w:p>
      <w:pPr>
        <w:jc w:val="both"/>
        <w:ind w:left="60" w:right="59" w:hanging="8"/>
        <w:spacing w:after="0" w:line="261" w:lineRule="auto"/>
        <w:rPr>
          <w:sz w:val="20"/>
          <w:szCs w:val="20"/>
          <w:color w:val="auto"/>
        </w:rPr>
      </w:pPr>
      <w:r>
        <w:rPr>
          <w:rFonts w:ascii="Times New Roman" w:cs="Times New Roman" w:eastAsia="Times New Roman" w:hAnsi="Times New Roman"/>
          <w:sz w:val="18"/>
          <w:szCs w:val="18"/>
          <w:color w:val="auto"/>
        </w:rPr>
        <w:t>Rule 13p-1 imposes certain reporting obligations on SEC registrants whose manufactured products contain conflict minerals which are necessary to the functionality or production of their products. “Conflict minerals” are defined as cassiterite, columbite-tantalite, gold, wolframite, and their derivatives, which are limited to tin, tantalum and tungsten for the purpose of this assessment.</w:t>
      </w:r>
    </w:p>
    <w:p>
      <w:pPr>
        <w:spacing w:after="0" w:line="126" w:lineRule="exact"/>
        <w:rPr>
          <w:sz w:val="20"/>
          <w:szCs w:val="20"/>
          <w:color w:val="auto"/>
        </w:rPr>
      </w:pPr>
    </w:p>
    <w:p>
      <w:pPr>
        <w:jc w:val="both"/>
        <w:ind w:left="60" w:right="59" w:hanging="8"/>
        <w:spacing w:after="0" w:line="261" w:lineRule="auto"/>
        <w:rPr>
          <w:sz w:val="20"/>
          <w:szCs w:val="20"/>
          <w:color w:val="auto"/>
        </w:rPr>
      </w:pPr>
      <w:r>
        <w:rPr>
          <w:rFonts w:ascii="Times New Roman" w:cs="Times New Roman" w:eastAsia="Times New Roman" w:hAnsi="Times New Roman"/>
          <w:sz w:val="18"/>
          <w:szCs w:val="18"/>
          <w:color w:val="auto"/>
        </w:rPr>
        <w:t>If a registrant can establish that the conflict minerals in its products originated from sources other than the Democratic Republic of the Congo (“DRC”) or an adjoining country (the “Covered Countries”), or from recycled and scrap sources, the registrant must submit a specialized disclosure report on Form SD that describes the steps that the registrant took to determine the origin of the conflict minerals in its products.</w:t>
      </w:r>
    </w:p>
    <w:p>
      <w:pPr>
        <w:spacing w:after="0" w:line="112" w:lineRule="exact"/>
        <w:rPr>
          <w:sz w:val="20"/>
          <w:szCs w:val="20"/>
          <w:color w:val="auto"/>
        </w:rPr>
      </w:pPr>
    </w:p>
    <w:p>
      <w:pPr>
        <w:jc w:val="both"/>
        <w:ind w:left="60" w:right="79" w:hanging="8"/>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its supply chain may have originated in a Covered Country, or if the registrant is unable to determine the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26" w:lineRule="exact"/>
        <w:rPr>
          <w:sz w:val="20"/>
          <w:szCs w:val="20"/>
          <w:color w:val="auto"/>
        </w:rPr>
      </w:pPr>
    </w:p>
    <w:p>
      <w:pPr>
        <w:jc w:val="both"/>
        <w:ind w:left="60" w:right="59" w:hanging="8"/>
        <w:spacing w:after="0" w:line="266" w:lineRule="auto"/>
        <w:rPr>
          <w:sz w:val="20"/>
          <w:szCs w:val="20"/>
          <w:color w:val="auto"/>
        </w:rPr>
      </w:pPr>
      <w:r>
        <w:rPr>
          <w:rFonts w:ascii="Times New Roman" w:cs="Times New Roman" w:eastAsia="Times New Roman" w:hAnsi="Times New Roman"/>
          <w:sz w:val="18"/>
          <w:szCs w:val="18"/>
          <w:color w:val="auto"/>
        </w:rPr>
        <w:t>The report presented herein is not audited by an independent private sector auditor in reliance on SEC guidance to the effect that the requirement of such an audit has been stayed except if the registrant elects to describe its products as “DRC conflict-free” in its Conflict Minerals Report.</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and Products 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G-III designs, sources, distributes and markets apparel and accessories under owned, licensed and private label brands. G-</w:t>
      </w:r>
    </w:p>
    <w:p>
      <w:pPr>
        <w:spacing w:after="0" w:line="27" w:lineRule="exact"/>
        <w:rPr>
          <w:sz w:val="20"/>
          <w:szCs w:val="20"/>
          <w:color w:val="auto"/>
        </w:rPr>
      </w:pPr>
    </w:p>
    <w:p>
      <w:pPr>
        <w:jc w:val="both"/>
        <w:ind w:left="60" w:right="59" w:hanging="10"/>
        <w:spacing w:after="0" w:line="251" w:lineRule="auto"/>
        <w:tabs>
          <w:tab w:leader="none" w:pos="3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portfolio of more than 30 owned and licensed brands, anchored by its key owned brands DKNY, Donna Karan, Karl Lagerfeld and Vilebrequin. G-III’s owned brands include DKNY, Donna Karan, Karl Lagerfeld, Vilebrequin, Eliza J, Jessica Howard, Andrew Marc, G.H. Bass, Wilsons Leather and Sonia Rykiel. G-III has an extensive portfolio of well-known licensed brands, including Calvin Klein, Tommy Hilfiger, Levi’s, Nautica, Halston, Champion, Converse, BCBG, French Connection, Starter and major national sports leagues, among others. Through its licensed team sports business, G-III has partnerships with the National Football League, National Basketball Association, Major League Baseball, National Hockey League and over 150 U.S. colleges and universities. G-III also distributes apparel and other products directly to consumers through its DKNY, Karl Lagerfeld, Karl Lagerfeld Paris and Vilebrequin retail stores and its digital sites for its DKNY, Donna Karan, Karl Lagerfeld, Karl Lagerfeld Paris, Vilebrequin, G.H. Bass and Wilsons Leather brands. As of January 31, 2026, G-III operated 104 Vilebrequin retail stores, 13 DKNY stores, 34 Karl Lagerfeld Paris retail stores and 67 Karl Lagerfeld stores.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62" w:lineRule="exact"/>
        <w:rPr>
          <w:sz w:val="20"/>
          <w:szCs w:val="20"/>
          <w:color w:val="auto"/>
        </w:rPr>
      </w:pPr>
    </w:p>
    <w:p>
      <w:pPr>
        <w:jc w:val="both"/>
        <w:ind w:left="60" w:right="59" w:hanging="8"/>
        <w:spacing w:after="0" w:line="258" w:lineRule="auto"/>
        <w:rPr>
          <w:sz w:val="20"/>
          <w:szCs w:val="20"/>
          <w:color w:val="auto"/>
        </w:rPr>
      </w:pPr>
      <w:r>
        <w:rPr>
          <w:rFonts w:ascii="Times New Roman" w:cs="Times New Roman" w:eastAsia="Times New Roman" w:hAnsi="Times New Roman"/>
          <w:sz w:val="18"/>
          <w:szCs w:val="18"/>
          <w:color w:val="auto"/>
        </w:rPr>
        <w:t>In accordance with the SEC’s conflict minerals rules, G-III undertook due diligence to determine the conflict minerals status of the necessary conflict minerals gold and tin used in components for manufacturing G-III’s products. In conducting its due diligence, G-III applied guidance from the Organisation for Economic Co-operation and Development (“OECD”) Due Diligence Guidance for Responsible Supply Chains of Minerals from Conflict-Affected and High-Risk Areas (“OECD Framework”), an internationally recognized due diligence framework.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both"/>
        <w:ind w:left="60" w:right="59" w:hanging="12"/>
        <w:spacing w:after="0" w:line="258" w:lineRule="auto"/>
        <w:rPr>
          <w:sz w:val="20"/>
          <w:szCs w:val="20"/>
          <w:color w:val="auto"/>
        </w:rPr>
      </w:pPr>
      <w:r>
        <w:rPr>
          <w:rFonts w:ascii="Times New Roman" w:cs="Times New Roman" w:eastAsia="Times New Roman" w:hAnsi="Times New Roman"/>
          <w:sz w:val="18"/>
          <w:szCs w:val="18"/>
          <w:color w:val="auto"/>
        </w:rPr>
        <w:t>G-III’s due diligence measures were based on the Electronic Industry Citizenship Coalition and Global e-Sustainability (“EICC/GeSI”) initiative with the smelters and refiners of conflict minerals who provide those conflict minerals to our suppliers. As a company in the apparel business, G-III is several levels removed from the actual mining of conflict minerals. G-III does not make purchases of raw ore or unrefined conflict minerals and makes no purchases in the Covered Countries.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G-III’s due diligence measures included:</w:t>
      </w:r>
    </w:p>
    <w:p>
      <w:pPr>
        <w:spacing w:after="0" w:line="225"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responsible teams for gathering and tracking Conflict Minerals reporting.</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suppliers from initial onboarding through divestment on the expectations of the Conflict Minerals report.</w:t>
      </w:r>
    </w:p>
    <w:p>
      <w:pPr>
        <w:spacing w:after="0" w:line="161"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 good faith, a reasonable country of origin inquiry (“RCOI”) with direct sourcing suppliers and indirect suppliers of materials containing conflict minerals using the EICC/GeSI Conflict Minerals Reporting Template to determine traceability throughout our supply chain.</w:t>
      </w:r>
    </w:p>
    <w:p>
      <w:pPr>
        <w:spacing w:after="0" w:line="17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smelters and refiners identified in the supply-chain survey against the list of smelter facilities which have been identified as “conflict free” by programs such as the Conflict Free Smelter (“CFS”) program for tin and gold.</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smelters and refiners not listed by programs such as the CFS to determine their sourcing practices and country of origin for tin and gold.</w:t>
      </w:r>
    </w:p>
    <w:p>
      <w:pPr>
        <w:spacing w:after="0" w:line="175" w:lineRule="exact"/>
        <w:rPr>
          <w:rFonts w:ascii="Times New Roman" w:cs="Times New Roman" w:eastAsia="Times New Roman" w:hAnsi="Times New Roman"/>
          <w:sz w:val="18"/>
          <w:szCs w:val="18"/>
          <w:color w:val="auto"/>
        </w:rPr>
      </w:pPr>
    </w:p>
    <w:p>
      <w:pPr>
        <w:ind w:left="700" w:right="79" w:hanging="326"/>
        <w:spacing w:after="0" w:line="312" w:lineRule="auto"/>
        <w:tabs>
          <w:tab w:leader="none" w:pos="70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Supporting initiatives for providing guidance to smelters and refiners that are contacted regarding their sourcing practices in regard to Conflict Minerals.</w:t>
      </w:r>
    </w:p>
    <w:p>
      <w:pPr>
        <w:spacing w:after="0" w:line="122" w:lineRule="exact"/>
        <w:rPr>
          <w:rFonts w:ascii="Arial" w:cs="Arial" w:eastAsia="Arial" w:hAnsi="Arial"/>
          <w:sz w:val="18"/>
          <w:szCs w:val="18"/>
          <w:color w:val="auto"/>
        </w:rPr>
      </w:pPr>
    </w:p>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support to strategic partners to have an independent third-party audit of their due diligence practices, as appropriate.</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protocols to divest from suppliers where sourcing practices and country of origin for tin and gold cannot be confirmed.</w:t>
      </w:r>
    </w:p>
    <w:p>
      <w:pPr>
        <w:spacing w:after="0" w:line="162" w:lineRule="exact"/>
        <w:rPr>
          <w:sz w:val="20"/>
          <w:szCs w:val="20"/>
          <w:color w:val="auto"/>
        </w:rPr>
      </w:pPr>
    </w:p>
    <w:p>
      <w:pPr>
        <w:jc w:val="both"/>
        <w:ind w:left="60" w:right="59" w:hanging="8"/>
        <w:spacing w:after="0" w:line="254" w:lineRule="auto"/>
        <w:rPr>
          <w:sz w:val="20"/>
          <w:szCs w:val="20"/>
          <w:color w:val="auto"/>
        </w:rPr>
      </w:pPr>
      <w:r>
        <w:rPr>
          <w:rFonts w:ascii="Times New Roman" w:cs="Times New Roman" w:eastAsia="Times New Roman" w:hAnsi="Times New Roman"/>
          <w:sz w:val="18"/>
          <w:szCs w:val="18"/>
          <w:color w:val="auto"/>
        </w:rPr>
        <w:t>G-III executed its RCOI with all affected suppliers supplying parts and materials for products contracted to be manufactured for G-III. The affected suppliers were contacted and requested to provide conflict minerals data in the EICC/GeSI Conflict Minerals Reporting Template. We contacted 374 affected suppliers of which 260 responded, representing over 96% of manufactured product in our supply chain. 5 replied with some conflict minerals data. After review and removal of duplicate or alternate names, 7 smelters were identified as conflict minerals smelters consistent with the smelter definitions proposed by industry and the audit protocols published by the Conflict Free Smelter Program. Of these, 5 are listed on the CFSI’s Conflict Free Sourcing list and 2 have supplied information on their smelter’s sourcing practices and certified the countries of origin for minerals sourced by the smelter/refinery.</w:t>
      </w:r>
    </w:p>
    <w:p>
      <w:pPr>
        <w:spacing w:after="0" w:line="192" w:lineRule="exact"/>
        <w:rPr>
          <w:sz w:val="20"/>
          <w:szCs w:val="20"/>
          <w:color w:val="auto"/>
        </w:rPr>
      </w:pPr>
    </w:p>
    <w:p>
      <w:pPr>
        <w:jc w:val="both"/>
        <w:ind w:left="60" w:right="59" w:hanging="8"/>
        <w:spacing w:after="0" w:line="256" w:lineRule="auto"/>
        <w:rPr>
          <w:sz w:val="20"/>
          <w:szCs w:val="20"/>
          <w:color w:val="auto"/>
        </w:rPr>
      </w:pPr>
      <w:r>
        <w:rPr>
          <w:rFonts w:ascii="Times New Roman" w:cs="Times New Roman" w:eastAsia="Times New Roman" w:hAnsi="Times New Roman"/>
          <w:sz w:val="18"/>
          <w:szCs w:val="18"/>
          <w:color w:val="auto"/>
        </w:rPr>
        <w:t>As a result of the due diligence measures described above, G-III has determined in good faith that for calendar year 2025, with respect to a portion of the conflict minerals used in components for manufacturing G-III’s apparel products, we lack sufficient information from our suppliers for certain trims to conclude whether the necessary conflict minerals originated in the Covered Countries, whether the necessary conflict minerals were from recycled or scrap sources, or whether the necessary conflict minerals were DRC conflict free or have not been found to be DRC conflict free. The information available is also insufficient to identify the facilities used to process the necessary conflict minerals.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policy is based on the framework of the OECD. It is publicly available on our website at http://www.giii.com under the heading “Investors – Corporate Governance – Governance Documents – Conflict Minerals Policy.”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229" w:lineRule="exact"/>
        <w:rPr>
          <w:sz w:val="20"/>
          <w:szCs w:val="20"/>
          <w:color w:val="auto"/>
        </w:rPr>
      </w:pPr>
    </w:p>
    <w:p>
      <w:pPr>
        <w:jc w:val="both"/>
        <w:ind w:left="60" w:right="59" w:hanging="8"/>
        <w:spacing w:after="0" w:line="257"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to our direct suppliers and continue to make inquiries of our direct suppliers, including new suppliers from any future acquisitions. New suppliers will be reviewed for conflict minerals compliance during initial vendor acceptance procedures. In the next compliance period, G-</w:t>
      </w:r>
    </w:p>
    <w:p>
      <w:pPr>
        <w:spacing w:after="0" w:line="1" w:lineRule="exact"/>
        <w:rPr>
          <w:sz w:val="20"/>
          <w:szCs w:val="20"/>
          <w:color w:val="auto"/>
        </w:rPr>
      </w:pPr>
    </w:p>
    <w:p>
      <w:pPr>
        <w:ind w:left="60" w:right="59" w:hanging="1"/>
        <w:spacing w:after="0" w:line="260" w:lineRule="auto"/>
        <w:tabs>
          <w:tab w:leader="none" w:pos="2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improve the information gathered from its due diligence to further mitigate the risk that its necessary conflict minerals benefit armed groups as follows:</w:t>
      </w:r>
    </w:p>
    <w:p>
      <w:pPr>
        <w:spacing w:after="0" w:line="18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response rate to cover 100% of all product (or the highest increased response rate that is practicable), including by engaging in the latest industry trends to increase responsiveness.</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response rate of suppliers’ surveys to 100% of all suppliers (or the highest increased response rate that is practicable).</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Conflict Minerals-focused training for manufacturers and suppliers to help them to better understand G-III’s Conflict Minerals policy, and how to review and provide their own product’s smelter information.</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Conflict Minerals-focused training to development teams within the organization.</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suppliers to acknowledge our Conflict Minerals policy prior to onboarding.</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Conflict Mineral requirements as part of broader supply chain mapping requirements within the organization.</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the data gathering process earlier to ensure the highest return of responses.</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smelters identified as a result of the supply-chain survey on our Conflict Minerals Policy and requesting their participation in a program such as the CFS program to obtain a “conflict free” designation or at least determining their sourcing practices and country of origin for tin and gold.</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review suppliers’ internal conflict minerals policies and encouraging them to further develop their own policies and programs that align with our internal policy.</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1"/>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Consolidating suppliers in our supply chain where possible to further reduce sourcing risks.</w:t>
      </w:r>
    </w:p>
    <w:p>
      <w:pPr>
        <w:spacing w:after="0" w:line="224" w:lineRule="exact"/>
        <w:rPr>
          <w:rFonts w:ascii="Arial" w:cs="Arial" w:eastAsia="Arial" w:hAnsi="Arial"/>
          <w:sz w:val="18"/>
          <w:szCs w:val="18"/>
          <w:color w:val="auto"/>
        </w:rPr>
      </w:pPr>
    </w:p>
    <w:p>
      <w:pPr>
        <w:ind w:left="700" w:hanging="326"/>
        <w:spacing w:after="0"/>
        <w:tabs>
          <w:tab w:leader="none" w:pos="700" w:val="left"/>
        </w:tabs>
        <w:numPr>
          <w:ilvl w:val="1"/>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Continuing to review ESG developments in the industry as it pertains to Conflict Minerals regulations.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61"/>
    </w:lvl>
  </w:abstractNum>
  <w:abstractNum w:abstractNumId="2">
    <w:nsid w:val="625558EC"/>
    <w:multiLevelType w:val="hybridMultilevel"/>
    <w:lvl w:ilvl="0">
      <w:lvlJc w:val="left"/>
      <w:lvlText w:val="%1"/>
      <w:numFmt w:val="upperLetter"/>
      <w:start w:val="6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6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2026-05-29T16:54:47Z</dcterms:created>
  <dcterms:modified xsi:type="dcterms:W3CDTF">2026-05-29T16:54:47Z</dcterms:modified>
</cp:coreProperties>
</file>