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548640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0" cy="22860"/>
                    </a:xfrm>
                    <a:prstGeom prst="rect">
                      <a:avLst/>
                    </a:prstGeom>
                    <a:noFill/>
                  </pic:spPr>
                </pic:pic>
              </a:graphicData>
            </a:graphic>
          </wp:anchor>
        </w:drawing>
        <w:drawing>
          <wp:anchor simplePos="0" relativeHeight="251657728" behindDoc="1" locked="0" layoutInCell="0" allowOverlap="1">
            <wp:simplePos x="0" y="0"/>
            <wp:positionH relativeFrom="page">
              <wp:posOffset>1031240</wp:posOffset>
            </wp:positionH>
            <wp:positionV relativeFrom="page">
              <wp:posOffset>351790</wp:posOffset>
            </wp:positionV>
            <wp:extent cx="548640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1143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Date of Report (Date of earliest event reported): June 5, 2026</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G-III APPAREL GROUP, LTD.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9019"/>
          </w:cols>
          <w:pgMar w:left="1440" w:top="710" w:right="1440"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0-18183</w:t>
      </w:r>
    </w:p>
    <w:p>
      <w:pPr>
        <w:spacing w:after="0" w:line="2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59"/>
        <w:spacing w:after="0"/>
        <w:rPr>
          <w:sz w:val="20"/>
          <w:szCs w:val="20"/>
          <w:color w:val="auto"/>
        </w:rPr>
      </w:pPr>
      <w:r>
        <w:rPr>
          <w:rFonts w:ascii="Times New Roman" w:cs="Times New Roman" w:eastAsia="Times New Roman" w:hAnsi="Times New Roman"/>
          <w:sz w:val="12"/>
          <w:szCs w:val="12"/>
          <w:b w:val="1"/>
          <w:bCs w:val="1"/>
          <w:color w:val="auto"/>
        </w:rPr>
        <w:t>41-1590959</w:t>
      </w:r>
    </w:p>
    <w:p>
      <w:pPr>
        <w:spacing w:after="0" w:line="21" w:lineRule="exact"/>
        <w:rPr>
          <w:sz w:val="24"/>
          <w:szCs w:val="24"/>
          <w:color w:val="auto"/>
        </w:rPr>
      </w:pPr>
    </w:p>
    <w:p>
      <w:pPr>
        <w:jc w:val="center"/>
        <w:ind w:right="1859"/>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859"/>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55" w:lineRule="exact"/>
        <w:rPr>
          <w:sz w:val="24"/>
          <w:szCs w:val="24"/>
          <w:color w:val="auto"/>
        </w:rPr>
      </w:pPr>
    </w:p>
    <w:p>
      <w:pPr>
        <w:sectPr>
          <w:pgSz w:w="11900" w:h="16838" w:orient="portrait"/>
          <w:cols w:equalWidth="0" w:num="3">
            <w:col w:w="3360" w:space="720"/>
            <w:col w:w="1480" w:space="720"/>
            <w:col w:w="2739"/>
          </w:cols>
          <w:pgMar w:left="1440" w:top="710" w:right="1440"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512 Seventh Avenue</w:t>
      </w:r>
    </w:p>
    <w:p>
      <w:pPr>
        <w:spacing w:after="0" w:line="21"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New York, New York</w:t>
      </w:r>
    </w:p>
    <w:p>
      <w:pPr>
        <w:spacing w:after="0" w:line="6"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99"/>
        <w:spacing w:after="0"/>
        <w:rPr>
          <w:sz w:val="20"/>
          <w:szCs w:val="20"/>
          <w:color w:val="auto"/>
        </w:rPr>
      </w:pPr>
      <w:r>
        <w:rPr>
          <w:rFonts w:ascii="Times New Roman" w:cs="Times New Roman" w:eastAsia="Times New Roman" w:hAnsi="Times New Roman"/>
          <w:sz w:val="12"/>
          <w:szCs w:val="12"/>
          <w:b w:val="1"/>
          <w:bCs w:val="1"/>
          <w:color w:val="auto"/>
        </w:rPr>
        <w:t>10018</w:t>
      </w:r>
    </w:p>
    <w:p>
      <w:pPr>
        <w:spacing w:after="0" w:line="21" w:lineRule="exact"/>
        <w:rPr>
          <w:sz w:val="24"/>
          <w:szCs w:val="24"/>
          <w:color w:val="auto"/>
        </w:rPr>
      </w:pPr>
    </w:p>
    <w:p>
      <w:pPr>
        <w:jc w:val="center"/>
        <w:ind w:right="2599"/>
        <w:spacing w:after="0"/>
        <w:rPr>
          <w:sz w:val="20"/>
          <w:szCs w:val="20"/>
          <w:color w:val="auto"/>
        </w:rPr>
      </w:pPr>
      <w:r>
        <w:rPr>
          <w:rFonts w:ascii="Times New Roman" w:cs="Times New Roman" w:eastAsia="Times New Roman" w:hAnsi="Times New Roman"/>
          <w:sz w:val="11"/>
          <w:szCs w:val="11"/>
          <w:color w:val="auto"/>
        </w:rPr>
        <w:t>(Zip Code)</w:t>
      </w:r>
    </w:p>
    <w:p>
      <w:pPr>
        <w:spacing w:after="0" w:line="290" w:lineRule="exact"/>
        <w:rPr>
          <w:sz w:val="24"/>
          <w:szCs w:val="24"/>
          <w:color w:val="auto"/>
        </w:rPr>
      </w:pPr>
    </w:p>
    <w:p>
      <w:pPr>
        <w:sectPr>
          <w:pgSz w:w="11900" w:h="16838" w:orient="portrait"/>
          <w:cols w:equalWidth="0" w:num="2">
            <w:col w:w="5180" w:space="720"/>
            <w:col w:w="3119"/>
          </w:cols>
          <w:pgMar w:left="1440" w:top="71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(212) 403-0500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p>
    <w:p>
      <w:pPr>
        <w:spacing w:after="0" w:line="1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General Instruction A.2 below):</w:t>
      </w:r>
    </w:p>
    <w:p>
      <w:pPr>
        <w:spacing w:after="0" w:line="139" w:lineRule="exact"/>
        <w:rPr>
          <w:sz w:val="24"/>
          <w:szCs w:val="24"/>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2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50" w:type="dxa"/>
        <w:tblCellMar>
          <w:top w:w="0" w:type="dxa"/>
          <w:left w:w="0" w:type="dxa"/>
          <w:bottom w:w="0" w:type="dxa"/>
          <w:right w:w="0" w:type="dxa"/>
        </w:tblCellMar>
      </w:tblPr>
      <w:tr>
        <w:trPr>
          <w:trHeight w:val="172"/>
        </w:trPr>
        <w:tc>
          <w:tcPr>
            <w:tcW w:w="3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0"/>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GIII</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w:t>
            </w:r>
          </w:p>
        </w:tc>
      </w:tr>
    </w:tbl>
    <w:p>
      <w:pPr>
        <w:spacing w:after="0" w:line="1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w:t>
      </w:r>
    </w:p>
    <w:p>
      <w:pPr>
        <w:spacing w:after="0" w:line="14" w:lineRule="exact"/>
        <w:rPr>
          <w:sz w:val="24"/>
          <w:szCs w:val="24"/>
          <w:color w:val="auto"/>
        </w:rPr>
      </w:pPr>
    </w:p>
    <w:p>
      <w:pPr>
        <w:ind w:left="180"/>
        <w:spacing w:after="0" w:line="138" w:lineRule="exact"/>
        <w:tabs>
          <w:tab w:leader="none" w:pos="5740" w:val="left"/>
        </w:tabs>
        <w:rPr>
          <w:sz w:val="20"/>
          <w:szCs w:val="20"/>
          <w:color w:val="auto"/>
        </w:rPr>
      </w:pPr>
      <w:r>
        <w:rPr>
          <w:rFonts w:ascii="Times New Roman" w:cs="Times New Roman" w:eastAsia="Times New Roman" w:hAnsi="Times New Roman"/>
          <w:sz w:val="12"/>
          <w:szCs w:val="12"/>
          <w:color w:val="auto"/>
        </w:rPr>
        <w:t>Securities Exchange Act of 1934 (§240.12b-2 of this chapter).</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61" w:lineRule="exact"/>
        <w:rPr>
          <w:sz w:val="24"/>
          <w:szCs w:val="24"/>
          <w:color w:val="auto"/>
        </w:rPr>
      </w:pPr>
    </w:p>
    <w:p>
      <w:pPr>
        <w:ind w:left="180" w:right="1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452120</wp:posOffset>
            </wp:positionV>
            <wp:extent cx="548640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1143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200660</wp:posOffset>
            </wp:positionV>
            <wp:extent cx="548640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0" cy="2286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177800</wp:posOffset>
            </wp:positionV>
            <wp:extent cx="548640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type w:val="continuous"/>
        </w:sectPr>
      </w:pPr>
    </w:p>
    <w:bookmarkStart w:id="1" w:name="page2"/>
    <w:bookmarkEnd w:id="1"/>
    <w:p>
      <w:pPr>
        <w:ind w:left="180"/>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left="180" w:right="199" w:firstLine="216"/>
        <w:spacing w:after="0" w:line="279" w:lineRule="auto"/>
        <w:rPr>
          <w:sz w:val="20"/>
          <w:szCs w:val="20"/>
          <w:color w:val="auto"/>
        </w:rPr>
      </w:pPr>
      <w:r>
        <w:rPr>
          <w:rFonts w:ascii="Times New Roman" w:cs="Times New Roman" w:eastAsia="Times New Roman" w:hAnsi="Times New Roman"/>
          <w:sz w:val="12"/>
          <w:szCs w:val="12"/>
          <w:color w:val="auto"/>
        </w:rPr>
        <w:t>On June 5, 2026, G-III Apparel Group, Ltd. (the “Company”) announced its results of operations for the first fiscal quarter ended April 30, 2026. A copy of the press release issued by the Company relating thereto is furnished herewith as Exhibit 99.1.</w:t>
      </w:r>
    </w:p>
    <w:p>
      <w:pPr>
        <w:spacing w:after="0" w:line="10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180" w:right="199" w:firstLine="216"/>
        <w:spacing w:after="0" w:line="279" w:lineRule="auto"/>
        <w:rPr>
          <w:sz w:val="20"/>
          <w:szCs w:val="20"/>
          <w:color w:val="auto"/>
        </w:rPr>
      </w:pPr>
      <w:r>
        <w:rPr>
          <w:rFonts w:ascii="Times New Roman" w:cs="Times New Roman" w:eastAsia="Times New Roman" w:hAnsi="Times New Roman"/>
          <w:sz w:val="12"/>
          <w:szCs w:val="12"/>
          <w:color w:val="auto"/>
        </w:rPr>
        <w:t>On June 5, 2026, the Company provided an investor presentation to investors relating to its previously announced transactions to acquire the Marc Jacobs operating business through a joint venture with an affiliate of WHP Global. A copy of the investor presentation is furnished herewith as Exhibit 99.2 and incorporated by reference herein.</w:t>
      </w:r>
    </w:p>
    <w:p>
      <w:pPr>
        <w:spacing w:after="0" w:line="10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hanging="209"/>
        <w:spacing w:after="0"/>
        <w:tabs>
          <w:tab w:leader="none" w:pos="8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Exhibits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Press release of G-III Apparel Group, Ltd. issued on June 5, 2026 relating to its first quarter fiscal 2027 results.</w:t>
      </w:r>
    </w:p>
    <w:p>
      <w:pPr>
        <w:spacing w:after="0" w:line="15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EE"/>
        </w:rPr>
        <w:t>Investor Presentation, dated June 5, 2026.</w:t>
      </w:r>
    </w:p>
    <w:p>
      <w:pPr>
        <w:spacing w:after="0" w:line="15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Limitation on Incorporation by Reference</w:t>
      </w:r>
    </w:p>
    <w:p>
      <w:pPr>
        <w:spacing w:after="0" w:line="150" w:lineRule="exact"/>
        <w:rPr>
          <w:sz w:val="20"/>
          <w:szCs w:val="20"/>
          <w:color w:val="auto"/>
        </w:rPr>
      </w:pPr>
    </w:p>
    <w:p>
      <w:pPr>
        <w:jc w:val="both"/>
        <w:ind w:left="620" w:right="199"/>
        <w:spacing w:after="0" w:line="260"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reported under Item 2.02 and Item 7.01 and in Exhibit 99.1 and Exhibit 99.2 shall not be deemed “filed” for purposes of Section 18 of the Securities Exchange Act of 1934, as amended, is not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330835</wp:posOffset>
            </wp:positionV>
            <wp:extent cx="5486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color w:val="auto"/>
        </w:rPr>
        <w:t>SIGNATURE</w:t>
      </w:r>
    </w:p>
    <w:p>
      <w:pPr>
        <w:spacing w:after="0" w:line="294" w:lineRule="exact"/>
        <w:rPr>
          <w:sz w:val="20"/>
          <w:szCs w:val="20"/>
          <w:color w:val="auto"/>
        </w:rPr>
      </w:pPr>
    </w:p>
    <w:p>
      <w:pPr>
        <w:ind w:left="180" w:right="19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6060" w:type="dxa"/>
            <w:vAlign w:val="bottom"/>
            <w:gridSpan w:val="2"/>
          </w:tcPr>
          <w:p>
            <w:pPr>
              <w:ind w:left="1700"/>
              <w:spacing w:after="0"/>
              <w:rPr>
                <w:sz w:val="20"/>
                <w:szCs w:val="20"/>
                <w:color w:val="auto"/>
              </w:rPr>
            </w:pPr>
            <w:r>
              <w:rPr>
                <w:rFonts w:ascii="Times New Roman" w:cs="Times New Roman" w:eastAsia="Times New Roman" w:hAnsi="Times New Roman"/>
                <w:sz w:val="12"/>
                <w:szCs w:val="12"/>
                <w:color w:val="auto"/>
              </w:rPr>
              <w:t>G-III APPAREL GROUP, LTD.</w:t>
            </w:r>
          </w:p>
        </w:tc>
      </w:tr>
      <w:tr>
        <w:trPr>
          <w:trHeight w:val="288"/>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Date: June 5, 2026</w:t>
            </w:r>
          </w:p>
        </w:tc>
        <w:tc>
          <w:tcPr>
            <w:tcW w:w="220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Neal S. Nackman</w:t>
            </w:r>
          </w:p>
        </w:tc>
      </w:tr>
      <w:tr>
        <w:trPr>
          <w:trHeight w:val="122"/>
        </w:trPr>
        <w:tc>
          <w:tcPr>
            <w:tcW w:w="2580" w:type="dxa"/>
            <w:vAlign w:val="bottom"/>
          </w:tcPr>
          <w:p>
            <w:pPr>
              <w:spacing w:after="0"/>
              <w:rPr>
                <w:sz w:val="10"/>
                <w:szCs w:val="10"/>
                <w:color w:val="auto"/>
              </w:rPr>
            </w:pPr>
          </w:p>
        </w:tc>
        <w:tc>
          <w:tcPr>
            <w:tcW w:w="2200" w:type="dxa"/>
            <w:vAlign w:val="bottom"/>
          </w:tcPr>
          <w:p>
            <w:pPr>
              <w:ind w:left="170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8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Neal S. Nackman</w:t>
            </w:r>
          </w:p>
        </w:tc>
      </w:tr>
      <w:tr>
        <w:trPr>
          <w:trHeight w:val="155"/>
        </w:trPr>
        <w:tc>
          <w:tcPr>
            <w:tcW w:w="2580" w:type="dxa"/>
            <w:vAlign w:val="bottom"/>
          </w:tcPr>
          <w:p>
            <w:pPr>
              <w:spacing w:after="0"/>
              <w:rPr>
                <w:sz w:val="13"/>
                <w:szCs w:val="13"/>
                <w:color w:val="auto"/>
              </w:rPr>
            </w:pPr>
          </w:p>
        </w:tc>
        <w:tc>
          <w:tcPr>
            <w:tcW w:w="220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720"/>
        </w:trPr>
        <w:tc>
          <w:tcPr>
            <w:tcW w:w="2580" w:type="dxa"/>
            <w:vAlign w:val="bottom"/>
          </w:tcPr>
          <w:p>
            <w:pPr>
              <w:spacing w:after="0"/>
              <w:rPr>
                <w:sz w:val="24"/>
                <w:szCs w:val="24"/>
                <w:color w:val="auto"/>
              </w:rPr>
            </w:pPr>
          </w:p>
        </w:tc>
        <w:tc>
          <w:tcPr>
            <w:tcW w:w="22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-3-</w:t>
            </w:r>
          </w:p>
        </w:tc>
        <w:tc>
          <w:tcPr>
            <w:tcW w:w="3860" w:type="dxa"/>
            <w:vAlign w:val="bottom"/>
          </w:tcPr>
          <w:p>
            <w:pPr>
              <w:spacing w:after="0"/>
              <w:rPr>
                <w:sz w:val="24"/>
                <w:szCs w:val="24"/>
                <w:color w:val="auto"/>
              </w:rPr>
            </w:pPr>
          </w:p>
        </w:tc>
      </w:tr>
      <w:tr>
        <w:trPr>
          <w:trHeight w:val="511"/>
        </w:trPr>
        <w:tc>
          <w:tcPr>
            <w:tcW w:w="2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9"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G-III APPAREL GROUP, LTD.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G-III APPAREL GROUP, LTD. REPORTS FIRST QUARTER FISCAL 2027 RESULTS AND RAISES EARNINGS GUIDANCE</w:t>
      </w:r>
    </w:p>
    <w:p>
      <w:pPr>
        <w:spacing w:after="0" w:line="163" w:lineRule="exact"/>
        <w:rPr>
          <w:sz w:val="20"/>
          <w:szCs w:val="20"/>
          <w:color w:val="auto"/>
        </w:rPr>
      </w:pPr>
    </w:p>
    <w:p>
      <w:pPr>
        <w:ind w:left="220" w:hanging="214"/>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Net Sales of $536 Million, Ahead of Guidance</w:t>
      </w:r>
    </w:p>
    <w:p>
      <w:pPr>
        <w:spacing w:after="0" w:line="19" w:lineRule="exact"/>
        <w:rPr>
          <w:rFonts w:ascii="Times New Roman" w:cs="Times New Roman" w:eastAsia="Times New Roman" w:hAnsi="Times New Roman"/>
          <w:sz w:val="12"/>
          <w:szCs w:val="12"/>
          <w:color w:val="auto"/>
        </w:rPr>
      </w:pPr>
    </w:p>
    <w:p>
      <w:pPr>
        <w:ind w:left="220" w:hanging="214"/>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Net Income Per Diluted Share of $1.50 Compared to $0.17 Last Year</w:t>
      </w:r>
    </w:p>
    <w:p>
      <w:pPr>
        <w:spacing w:after="0" w:line="1" w:lineRule="exact"/>
        <w:rPr>
          <w:rFonts w:ascii="Times New Roman" w:cs="Times New Roman" w:eastAsia="Times New Roman" w:hAnsi="Times New Roman"/>
          <w:sz w:val="12"/>
          <w:szCs w:val="12"/>
          <w:color w:val="auto"/>
        </w:rPr>
      </w:pPr>
    </w:p>
    <w:p>
      <w:pPr>
        <w:ind w:left="220" w:hanging="214"/>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Non-GAAP Net Loss Per Share of ($0.21), Ahead of Guidance</w:t>
      </w:r>
    </w:p>
    <w:p>
      <w:pPr>
        <w:spacing w:after="0" w:line="1" w:lineRule="exact"/>
        <w:rPr>
          <w:rFonts w:ascii="Times New Roman" w:cs="Times New Roman" w:eastAsia="Times New Roman" w:hAnsi="Times New Roman"/>
          <w:sz w:val="12"/>
          <w:szCs w:val="12"/>
          <w:color w:val="auto"/>
        </w:rPr>
      </w:pPr>
    </w:p>
    <w:p>
      <w:pPr>
        <w:ind w:left="220" w:hanging="214"/>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Raises GAAP and Non-GAAP Net Income Guidance for Fiscal 2027</w:t>
      </w:r>
    </w:p>
    <w:p>
      <w:pPr>
        <w:spacing w:after="0" w:line="1" w:lineRule="exact"/>
        <w:rPr>
          <w:rFonts w:ascii="Times New Roman" w:cs="Times New Roman" w:eastAsia="Times New Roman" w:hAnsi="Times New Roman"/>
          <w:sz w:val="12"/>
          <w:szCs w:val="12"/>
          <w:color w:val="auto"/>
        </w:rPr>
      </w:pPr>
    </w:p>
    <w:p>
      <w:pPr>
        <w:ind w:left="220" w:hanging="214"/>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Marc Jacobs Transaction to Accelerate G-III’s Growth Transformation</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New York, New York – June 5, 2026 – G-III Apparel Group, Ltd. (NasdaqGS: GIII) (“G-III” or the “Company”) today reported results for the first quarter of fiscal year 2027, ended April 30, 2026.</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Morris Goldfarb, G-III’s Chairman and Chief Executive Officer, said, “I am very pleased with our first quarter results, which demonstrate the G-III team’s ability to execute in a dynamic environment. The quarter was better than expected with both our net sales and earnings coming in ahead of guidance. Our go-forward portfolio saw continued momentum and healthy full-price selling, which contributed to meaningful gross margin expansion versus the prior year. Based on our strong first quarter results, we are raising our earnings guidance for fiscal 2027.”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Goldfarb continued, “Our recently announced acquisition of the iconic Marc Jacobs brand in partnership with WHP Global marks an exciting new chapter for G-</w:t>
      </w:r>
    </w:p>
    <w:p>
      <w:pPr>
        <w:spacing w:after="0" w:line="17" w:lineRule="exact"/>
        <w:rPr>
          <w:sz w:val="20"/>
          <w:szCs w:val="20"/>
          <w:color w:val="auto"/>
        </w:rPr>
      </w:pPr>
    </w:p>
    <w:p>
      <w:pPr>
        <w:jc w:val="both"/>
        <w:ind w:firstLine="6"/>
        <w:spacing w:after="0" w:line="247" w:lineRule="auto"/>
        <w:tabs>
          <w:tab w:leader="none" w:pos="18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will significantly accelerate our transformation into a brand-led global powerhouse. Marc Jacobs is one of the most influential brands in fashion, and we see tremendous opportunity to build on its strong foundation and drive long-term growth across categories, channels, and geographies. With an increasingly powerful portfolio of owned and licensed brands, disciplined execution, and a talented global team, we believe G-III is exceptionally well-positioned to drive sustainable long-term growth and significant shareholder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First Quarter Fiscal 2027</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sales </w:t>
      </w:r>
      <w:r>
        <w:rPr>
          <w:rFonts w:ascii="Times New Roman" w:cs="Times New Roman" w:eastAsia="Times New Roman" w:hAnsi="Times New Roman"/>
          <w:sz w:val="14"/>
          <w:szCs w:val="14"/>
          <w:color w:val="auto"/>
        </w:rPr>
        <w:t>for the first quarter ended April 30, 2026 decreased 8% to $536.0 million compared to $583.6 million in the prior year’s quarter.</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Gross margin </w:t>
      </w:r>
      <w:r>
        <w:rPr>
          <w:rFonts w:ascii="Times New Roman" w:cs="Times New Roman" w:eastAsia="Times New Roman" w:hAnsi="Times New Roman"/>
          <w:sz w:val="14"/>
          <w:szCs w:val="14"/>
          <w:color w:val="auto"/>
        </w:rPr>
        <w:t>increased 2,270 basis points to 64.9%, compared to 42.2% in the first quarter of last year. This increase includes a $102.7 million pre-tax benefit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expected recovery of previously incurred tariffs, imposed under the International Emergency Economic Powers Act (“IEEPA”) on inventory sold in the prior year. Excluding this benefit, adjusted gross margin increased 350 basis points to 45.7% from 42.2%.</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auto"/>
        </w:rPr>
        <w:t>for the first quarter ended April 30, 2026 was $66.5 million, or $1.50 per diluted share, compared to $7.8 million, or $0.17 per diluted share, in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last year. The current period’s results include a $77.9 million benefit, net of tax, recognized in connection with the expected recovery of previously incurred tariffs under the IEEPA, equivalent to $1.75 per share.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4" w:name="page5"/>
    <w:bookmarkEnd w:id="4"/>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Non-GAAP net income (loss) per share </w:t>
      </w:r>
      <w:r>
        <w:rPr>
          <w:rFonts w:ascii="Times New Roman" w:cs="Times New Roman" w:eastAsia="Times New Roman" w:hAnsi="Times New Roman"/>
          <w:sz w:val="14"/>
          <w:szCs w:val="14"/>
          <w:color w:val="auto"/>
        </w:rPr>
        <w:t>for the first quarter ended April 30, 2026 was ($0.21) per share, compared to $0.19 per diluted share, in the same period last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Balance Sheet as of First Quarter Fiscal 2027</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were $394.2 million compared to $257.8 million last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Inventories </w:t>
      </w:r>
      <w:r>
        <w:rPr>
          <w:rFonts w:ascii="Times New Roman" w:cs="Times New Roman" w:eastAsia="Times New Roman" w:hAnsi="Times New Roman"/>
          <w:sz w:val="14"/>
          <w:szCs w:val="14"/>
          <w:color w:val="auto"/>
        </w:rPr>
        <w:t>decreased 8% to $417.9 million this year compared to $456.5 million last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Capital return to shareholders </w:t>
      </w:r>
      <w:r>
        <w:rPr>
          <w:rFonts w:ascii="Times New Roman" w:cs="Times New Roman" w:eastAsia="Times New Roman" w:hAnsi="Times New Roman"/>
          <w:sz w:val="14"/>
          <w:szCs w:val="14"/>
          <w:color w:val="auto"/>
        </w:rPr>
        <w:t>of $4.2 million in dividend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Outlook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today increased its outlook for the fiscal year ending January 31, 2027 and provided its outlook for the second quarter ending July 31,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updated outlook assumes that tariffs for the remainder of the year will approximate those rates that existed under the IEEPA tariff regime.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Company’s outlook does not include any impact related to its pending transaction to acquire Marc Jacobs.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Fiscal 2027</w:t>
      </w:r>
    </w:p>
    <w:p>
      <w:pPr>
        <w:spacing w:after="0" w:line="16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Net sales </w:t>
      </w:r>
      <w:r>
        <w:rPr>
          <w:rFonts w:ascii="Times New Roman" w:cs="Times New Roman" w:eastAsia="Times New Roman" w:hAnsi="Times New Roman"/>
          <w:sz w:val="14"/>
          <w:szCs w:val="14"/>
          <w:color w:val="auto"/>
        </w:rPr>
        <w:t>for fiscal 2027 are expected to be approximately $2.71 billion, which incorporates the loss of approximately $470 million of sales from Calvin Klein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Tommy Hilfiger products. This compares to net sales of $2.96 billion for fiscal 2026.</w:t>
      </w:r>
    </w:p>
    <w:p>
      <w:pPr>
        <w:spacing w:after="0" w:line="10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auto"/>
        </w:rPr>
        <w:t>is expected to be between $171.0 million and $175.0 million, or diluted earnings per share between $3.85 and $3.95. This compares to net income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$67.4 million, or $1.51 per diluted share for fiscal 2026.</w:t>
      </w:r>
    </w:p>
    <w:p>
      <w:pPr>
        <w:spacing w:after="0" w:line="10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Non-GAAP net income </w:t>
      </w:r>
      <w:r>
        <w:rPr>
          <w:rFonts w:ascii="Times New Roman" w:cs="Times New Roman" w:eastAsia="Times New Roman" w:hAnsi="Times New Roman"/>
          <w:sz w:val="14"/>
          <w:szCs w:val="14"/>
          <w:color w:val="auto"/>
        </w:rPr>
        <w:t>is expected to be between $95.0 million and $99.0 million, or diluted earnings per share between $2.15 and $2.25. This compares to non-GAAP net income of $116.2 million, or diluted earnings per share of $2.61 for fiscal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Adjusted EBITDA </w:t>
      </w:r>
      <w:r>
        <w:rPr>
          <w:rFonts w:ascii="Times New Roman" w:cs="Times New Roman" w:eastAsia="Times New Roman" w:hAnsi="Times New Roman"/>
          <w:sz w:val="14"/>
          <w:szCs w:val="14"/>
          <w:color w:val="auto"/>
        </w:rPr>
        <w:t>is expected to be between $178.0 million and $182.0 million compared to adjusted EBITDA of $192.4 million in fiscal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is expected to be approximately $2.0 million.</w:t>
      </w:r>
    </w:p>
    <w:p>
      <w:pPr>
        <w:spacing w:after="0" w:line="16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Tax rate </w:t>
      </w:r>
      <w:r>
        <w:rPr>
          <w:rFonts w:ascii="Times New Roman" w:cs="Times New Roman" w:eastAsia="Times New Roman" w:hAnsi="Times New Roman"/>
          <w:sz w:val="14"/>
          <w:szCs w:val="14"/>
          <w:color w:val="auto"/>
        </w:rPr>
        <w:t>is estimated to be approximately 30.0% for GAAP purposes and 33.5% for non-GAAP purposes. The tax rate for non-GAAP purposes is higher than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 estimate as a result of higher non-deductible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Second Quarter Fiscal 2027</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Net sales </w:t>
      </w:r>
      <w:r>
        <w:rPr>
          <w:rFonts w:ascii="Times New Roman" w:cs="Times New Roman" w:eastAsia="Times New Roman" w:hAnsi="Times New Roman"/>
          <w:sz w:val="14"/>
          <w:szCs w:val="14"/>
          <w:color w:val="auto"/>
        </w:rPr>
        <w:t>for the second quarter of fiscal 2027 are expected to be approximately $570.0 million. This compares to net sales of $613.3 million in last year’s second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11430"/>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5" w:name="page6"/>
    <w:bookmarkEnd w:id="5"/>
    <w:p>
      <w:pPr>
        <w:jc w:val="both"/>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auto"/>
        </w:rPr>
        <w:t>for the second quarter of fiscal 2027 is expected to be between $7.0 million and $11.0 million, or diluted earnings per share between $0.15 and $0.25.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compares to net income of $10.9 million, or $0.25 per diluted share, in last year’s second quarter.</w:t>
      </w:r>
    </w:p>
    <w:p>
      <w:pPr>
        <w:spacing w:after="0" w:line="1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Non-GAAP net income </w:t>
      </w:r>
      <w:r>
        <w:rPr>
          <w:rFonts w:ascii="Times New Roman" w:cs="Times New Roman" w:eastAsia="Times New Roman" w:hAnsi="Times New Roman"/>
          <w:sz w:val="14"/>
          <w:szCs w:val="14"/>
          <w:color w:val="auto"/>
        </w:rPr>
        <w:t>for the second quarter of fiscal 2027 is expected to be between $7.0 million and $11.0 million, or diluted earnings per share between $0.15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$0.25. This compares to non-GAAP net income of $11.2 million, or $0.25 per diluted share, in last year’s second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Conference Call Information</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will host a conference call to discuss its first quarter results at 8:30 a.m. ET today. To participate via telephone, please register in advance at this link: https://ir.g-iii.com. Upon registration, all telephone participants will receive a confirmation email detailing how to join the conference call, including the dial-in number along with a unique passcode and registrant ID that can be used to access the call. While registration is open through the live call, the Company suggests registering at a minimum of 10 minutes before the start of the call. The call can also be accessed via a live audio webcast at https://ir.g-iii.com. A replay of the conference call will be available using the same link, as well as on the Company’s Investor Relations website.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Non-GAAP Financial Measures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Reconciliations of GAAP gross profit to non-GAAP gross profit, GAAP net income to non-GAAP net income (loss), GAAP net income per diluted share to non-GAAP net income (loss) per diluted share and GAAP net income to adjusted EBITDA are presented in tables accompanying the financial statements included in this release and provide useful information to evaluate the Company’s operational performance. A description of the amounts excluded on a non-GAAP basis are provided in conjunction with these tables. Non-GAAP gross profit, non-GAAP net income (loss), non-GAAP net income (loss) per diluted share and adjusted EBITDA should be evaluated in light of the Company’s financial statements prepared in accordance with GAAP.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About G-III Apparel Group, Ltd.</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DKNY, Donna Karan, Karl Lagerfeld, Sonia Rykiel, and Vilebrequin, and licenses over 20 of the most sought-after names in global fashion, including Calvin Klein, Tommy Hilfiger, Levi’s, Halston, Champion, Converse, Cole Haan, BCBG, French Connection, Starter, as well as major sports leagues such as the NFL, NBA, NHL and MLB, among others.</w:t>
      </w:r>
    </w:p>
    <w:p>
      <w:pPr>
        <w:spacing w:after="0" w:line="1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Statements concerning G-III's business outlook or future economic performance, anticipated revenues, expenses, or other financial items; product introductions and plans and objectives related thereto; and statements concerning assumptions made or expectations as to any future events, conditions, performance or other matters are "forward-looking statements" as that term is defined under the federal securities laws. Forward-looking statements are subject to risks, uncertainties and factors which include, but are not limited to, risks relating to completing the proposed acquisition of the Marc Jacobs brand in the anticipated time frame, or at all, risks relating to the ability to realize the anticipated benefits of the proposed acquisition, risks relating to the receipt of regulatory approvals without unexpected delays or conditions and possibility of regulatory action, risks relating to significant costs related to the proposed acquisition, the expected financial and operating performance and future opportunities following the consummation of the proposed</w:t>
      </w: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334645</wp:posOffset>
            </wp:positionV>
            <wp:extent cx="6120765"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11430"/>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6" w:name="page7"/>
    <w:bookmarkEnd w:id="6"/>
    <w:p>
      <w:pPr>
        <w:jc w:val="both"/>
        <w:spacing w:after="0" w:line="245" w:lineRule="auto"/>
        <w:rPr>
          <w:sz w:val="20"/>
          <w:szCs w:val="20"/>
          <w:color w:val="auto"/>
        </w:rPr>
      </w:pPr>
      <w:r>
        <w:rPr>
          <w:rFonts w:ascii="Times New Roman" w:cs="Times New Roman" w:eastAsia="Times New Roman" w:hAnsi="Times New Roman"/>
          <w:sz w:val="14"/>
          <w:szCs w:val="14"/>
          <w:i w:val="1"/>
          <w:iCs w:val="1"/>
          <w:color w:val="auto"/>
        </w:rPr>
        <w:t>acquisition, risks related to the reliance on licensed product, risks relating to G-III’s ability to increase revenues from sales of its other products, new acquired businesses or new license agreements as licenses for Calvin Klein and Tommy Hilfiger products expire on a staggered basis, reliance on foreign manufacturers, risks of doing business abroad, supply chain disruptions, risks related to acts of terrorism and the effects of war,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334645</wp:posOffset>
            </wp:positionV>
            <wp:extent cx="61207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(Nasdaq: GIII)</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 share amounts</w:t>
      </w:r>
      <w:r>
        <w:rPr>
          <w:rFonts w:ascii="Times New Roman" w:cs="Times New Roman" w:eastAsia="Times New Roman" w:hAnsi="Times New Roman"/>
          <w:sz w:val="14"/>
          <w:szCs w:val="14"/>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8"/>
                <w:szCs w:val="8"/>
                <w:color w:val="auto"/>
                <w:w w:val="82"/>
              </w:rPr>
              <w:t>(Unaudited)</w:t>
            </w: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440" w:type="dxa"/>
            <w:vAlign w:val="bottom"/>
            <w:gridSpan w:val="3"/>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535,962</w:t>
            </w:r>
          </w:p>
        </w:tc>
        <w:tc>
          <w:tcPr>
            <w:tcW w:w="980" w:type="dxa"/>
            <w:vAlign w:val="bottom"/>
            <w:gridSpan w:val="3"/>
            <w:shd w:val="clear" w:color="auto" w:fill="CCEEFF"/>
          </w:tcPr>
          <w:p>
            <w:pPr>
              <w:jc w:val="right"/>
              <w:ind w:right="54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583,609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188,216</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337,065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347,746</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246,544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255,323</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231,495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7,188</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profit</w:t>
            </w: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85,235</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(loss)</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Interest and financing charges, net</w:t>
            </w: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85,607</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11,477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19,073</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66,534</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7,759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Net income per common share:</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Basic</w:t>
            </w:r>
          </w:p>
        </w:tc>
        <w:tc>
          <w:tcPr>
            <w:tcW w:w="3440" w:type="dxa"/>
            <w:vAlign w:val="bottom"/>
            <w:gridSpan w:val="3"/>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980" w:type="dxa"/>
            <w:vAlign w:val="bottom"/>
            <w:gridSpan w:val="3"/>
            <w:shd w:val="clear" w:color="auto" w:fill="CCEEFF"/>
          </w:tcPr>
          <w:p>
            <w:pPr>
              <w:jc w:val="right"/>
              <w:ind w:right="54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00" w:type="dxa"/>
            <w:vAlign w:val="bottom"/>
            <w:tcBorders>
              <w:top w:val="single" w:sz="8" w:color="CCEEFF"/>
              <w:bottom w:val="single" w:sz="8" w:color="CCEEFF"/>
            </w:tcBorders>
          </w:tcPr>
          <w:p>
            <w:pPr>
              <w:ind w:left="60"/>
              <w:spacing w:after="0" w:line="131" w:lineRule="exact"/>
              <w:rPr>
                <w:sz w:val="20"/>
                <w:szCs w:val="20"/>
                <w:color w:val="auto"/>
              </w:rPr>
            </w:pPr>
            <w:r>
              <w:rPr>
                <w:rFonts w:ascii="Times New Roman" w:cs="Times New Roman" w:eastAsia="Times New Roman" w:hAnsi="Times New Roman"/>
                <w:sz w:val="12"/>
                <w:szCs w:val="12"/>
                <w:color w:val="auto"/>
              </w:rPr>
              <w:t>Diluted</w:t>
            </w:r>
          </w:p>
        </w:tc>
        <w:tc>
          <w:tcPr>
            <w:tcW w:w="22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2"/>
                <w:szCs w:val="12"/>
                <w:color w:val="auto"/>
              </w:rPr>
              <w:t>1.50</w:t>
            </w:r>
          </w:p>
        </w:tc>
        <w:tc>
          <w:tcPr>
            <w:tcW w:w="28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0.17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Basic</w:t>
            </w:r>
          </w:p>
        </w:tc>
        <w:tc>
          <w:tcPr>
            <w:tcW w:w="2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42,189</w:t>
            </w:r>
          </w:p>
        </w:tc>
        <w:tc>
          <w:tcPr>
            <w:tcW w:w="2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0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auto"/>
              </w:rPr>
              <w:t>Diluted</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2"/>
                <w:szCs w:val="12"/>
                <w:color w:val="auto"/>
              </w:rPr>
              <w:t>44,394</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45,385</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Selected Balance Sheet Data (in thousands):</w:t>
            </w:r>
          </w:p>
        </w:tc>
        <w:tc>
          <w:tcPr>
            <w:tcW w:w="2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66"/>
              <w:spacing w:after="0"/>
              <w:rPr>
                <w:sz w:val="20"/>
                <w:szCs w:val="20"/>
                <w:color w:val="auto"/>
              </w:rPr>
            </w:pPr>
            <w:r>
              <w:rPr>
                <w:rFonts w:ascii="Times New Roman" w:cs="Times New Roman" w:eastAsia="Times New Roman" w:hAnsi="Times New Roman"/>
                <w:sz w:val="12"/>
                <w:szCs w:val="12"/>
                <w:b w:val="1"/>
                <w:bCs w:val="1"/>
                <w:color w:val="auto"/>
              </w:rPr>
              <w:t>As of April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60" w:type="dxa"/>
            <w:vAlign w:val="bottom"/>
            <w:tcBorders>
              <w:bottom w:val="single" w:sz="8" w:color="auto"/>
            </w:tcBorders>
            <w:gridSpan w:val="2"/>
          </w:tcPr>
          <w:p>
            <w:pPr>
              <w:jc w:val="right"/>
              <w:ind w:right="124"/>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Borders>
              <w:bottom w:val="single" w:sz="8" w:color="auto"/>
            </w:tcBorders>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74"/>
              </w:rPr>
              <w:t>(Unaudited)</w:t>
            </w: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8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0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440" w:type="dxa"/>
            <w:vAlign w:val="bottom"/>
            <w:gridSpan w:val="3"/>
            <w:shd w:val="clear" w:color="auto" w:fill="CCEEFF"/>
          </w:tcPr>
          <w:p>
            <w:pPr>
              <w:jc w:val="right"/>
              <w:ind w:right="904"/>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394,220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257,785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Working capital</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990,542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817,509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417,856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456,482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2,584,985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2,415,873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debt</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15,407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278,158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269,922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1,824,125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1,684,094</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80" w:type="dxa"/>
            <w:vAlign w:val="bottom"/>
          </w:tcPr>
          <w:p>
            <w:pPr>
              <w:jc w:val="right"/>
              <w:ind w:right="88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200" w:top="120" w:right="10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GAAP GROSS PROFIT TO NON-GAAP GROSS PROFIT</w:t>
      </w:r>
    </w:p>
    <w:p>
      <w:pPr>
        <w:sectPr>
          <w:pgSz w:w="11900" w:h="16838" w:orient="portrait"/>
          <w:cols w:equalWidth="0" w:num="1">
            <w:col w:w="9640"/>
          </w:cols>
          <w:pgMar w:left="1200" w:top="120" w:right="1059" w:bottom="1440" w:gutter="0" w:footer="0" w:header="0"/>
        </w:sectPr>
      </w:pPr>
    </w:p>
    <w:p>
      <w:pPr>
        <w:spacing w:after="0" w:line="331" w:lineRule="exact"/>
        <w:rPr>
          <w:sz w:val="20"/>
          <w:szCs w:val="20"/>
          <w:color w:val="auto"/>
        </w:rPr>
      </w:pPr>
    </w:p>
    <w:p>
      <w:pPr>
        <w:ind w:left="6820"/>
        <w:spacing w:after="0"/>
        <w:rPr>
          <w:sz w:val="20"/>
          <w:szCs w:val="20"/>
          <w:color w:val="auto"/>
        </w:rPr>
      </w:pPr>
      <w:r>
        <w:rPr>
          <w:rFonts w:ascii="Arial" w:cs="Arial" w:eastAsia="Arial" w:hAnsi="Arial"/>
          <w:sz w:val="10"/>
          <w:szCs w:val="10"/>
          <w:color w:val="auto"/>
        </w:rPr>
        <w:t>​​​</w:t>
      </w:r>
    </w:p>
    <w:p>
      <w:pPr>
        <w:spacing w:after="0" w:line="131" w:lineRule="exact"/>
        <w:rPr>
          <w:sz w:val="20"/>
          <w:szCs w:val="20"/>
          <w:color w:val="auto"/>
        </w:rPr>
      </w:pPr>
    </w:p>
    <w:p>
      <w:pPr>
        <w:spacing w:after="0"/>
        <w:tabs>
          <w:tab w:leader="none" w:pos="7000" w:val="left"/>
        </w:tabs>
        <w:rPr>
          <w:sz w:val="20"/>
          <w:szCs w:val="20"/>
          <w:color w:val="auto"/>
        </w:rPr>
      </w:pPr>
      <w:r>
        <w:rPr>
          <w:rFonts w:ascii="Times New Roman" w:cs="Times New Roman" w:eastAsia="Times New Roman" w:hAnsi="Times New Roman"/>
          <w:sz w:val="12"/>
          <w:szCs w:val="12"/>
          <w:color w:val="auto"/>
        </w:rPr>
        <w:t>GAAP gross profit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6120765"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Excluded from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6120765"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auto"/>
        </w:rPr>
        <w:t>IEEPA tariff refund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6120765"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spacing w:after="0" w:line="128" w:lineRule="exact"/>
        <w:rPr>
          <w:sz w:val="20"/>
          <w:szCs w:val="20"/>
          <w:color w:val="auto"/>
        </w:rPr>
      </w:pPr>
    </w:p>
    <w:p>
      <w:pPr>
        <w:spacing w:after="0"/>
        <w:tabs>
          <w:tab w:leader="none" w:pos="7000" w:val="left"/>
        </w:tabs>
        <w:rPr>
          <w:sz w:val="20"/>
          <w:szCs w:val="20"/>
          <w:color w:val="auto"/>
        </w:rPr>
      </w:pPr>
      <w:r>
        <w:rPr>
          <w:rFonts w:ascii="Times New Roman" w:cs="Times New Roman" w:eastAsia="Times New Roman" w:hAnsi="Times New Roman"/>
          <w:sz w:val="12"/>
          <w:szCs w:val="12"/>
          <w:color w:val="auto"/>
        </w:rPr>
        <w:t>Non-GAAP gross profit, as defined</w:t>
      </w:r>
      <w:r>
        <w:rPr>
          <w:sz w:val="20"/>
          <w:szCs w:val="20"/>
          <w:color w:val="auto"/>
        </w:rPr>
        <w:tab/>
      </w:r>
      <w:r>
        <w:rPr>
          <w:rFonts w:ascii="Times New Roman" w:cs="Times New Roman" w:eastAsia="Times New Roman" w:hAnsi="Times New Roman"/>
          <w:sz w:val="12"/>
          <w:szCs w:val="12"/>
          <w:color w:val="auto"/>
        </w:rPr>
        <w:t>$</w:t>
      </w:r>
    </w:p>
    <w:p>
      <w:pPr>
        <w:spacing w:after="0" w:line="372" w:lineRule="exact"/>
        <w:rPr>
          <w:sz w:val="20"/>
          <w:szCs w:val="20"/>
          <w:color w:val="auto"/>
        </w:rPr>
      </w:pPr>
    </w:p>
    <w:p>
      <w:pPr>
        <w:ind w:left="6880"/>
        <w:spacing w:after="0"/>
        <w:rPr>
          <w:sz w:val="20"/>
          <w:szCs w:val="20"/>
          <w:color w:val="auto"/>
        </w:rPr>
      </w:pPr>
      <w:r>
        <w:rPr>
          <w:rFonts w:ascii="Arial" w:cs="Arial" w:eastAsia="Arial" w:hAnsi="Arial"/>
          <w:sz w:val="10"/>
          <w:szCs w:val="10"/>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gross profit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6120765"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Excluded from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6120765"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auto"/>
        </w:rPr>
        <w:t>IEEPA tariff refund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6120765"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0765" cy="9144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gross profit percentage, as defined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p>
      <w:pPr>
        <w:spacing w:after="0" w:line="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1"/>
          <w:szCs w:val="11"/>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2025</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-79375</wp:posOffset>
            </wp:positionV>
            <wp:extent cx="16630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jc w:val="both"/>
        <w:ind w:left="280"/>
        <w:spacing w:after="0"/>
        <w:tabs>
          <w:tab w:leader="none" w:pos="940" w:val="left"/>
          <w:tab w:leader="none" w:pos="1700" w:val="left"/>
        </w:tabs>
        <w:rPr>
          <w:sz w:val="20"/>
          <w:szCs w:val="20"/>
          <w:color w:val="auto"/>
        </w:rPr>
      </w:pPr>
      <w:r>
        <w:rPr>
          <w:rFonts w:ascii="Times New Roman" w:cs="Times New Roman" w:eastAsia="Times New Roman" w:hAnsi="Times New Roman"/>
          <w:sz w:val="12"/>
          <w:szCs w:val="12"/>
          <w:color w:val="auto"/>
        </w:rPr>
        <w:t>347,746</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246,544</w:t>
      </w:r>
    </w:p>
    <w:p>
      <w:pPr>
        <w:spacing w:after="0" w:line="287" w:lineRule="exact"/>
        <w:rPr>
          <w:sz w:val="20"/>
          <w:szCs w:val="20"/>
          <w:color w:val="auto"/>
        </w:rPr>
      </w:pPr>
    </w:p>
    <w:p>
      <w:pPr>
        <w:jc w:val="both"/>
        <w:ind w:left="240"/>
        <w:spacing w:after="0"/>
        <w:tabs>
          <w:tab w:leader="none" w:pos="1960" w:val="left"/>
        </w:tabs>
        <w:rPr>
          <w:sz w:val="20"/>
          <w:szCs w:val="20"/>
          <w:color w:val="auto"/>
        </w:rPr>
      </w:pPr>
      <w:r>
        <w:rPr>
          <w:rFonts w:ascii="Times New Roman" w:cs="Times New Roman" w:eastAsia="Times New Roman" w:hAnsi="Times New Roman"/>
          <w:sz w:val="12"/>
          <w:szCs w:val="12"/>
          <w:color w:val="auto"/>
        </w:rPr>
        <w:t>(102,681)</w:t>
      </w:r>
      <w:r>
        <w:rPr>
          <w:sz w:val="20"/>
          <w:szCs w:val="20"/>
          <w:color w:val="auto"/>
        </w:rPr>
        <w:tab/>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left="280"/>
        <w:spacing w:after="0"/>
        <w:tabs>
          <w:tab w:leader="none" w:pos="940" w:val="left"/>
          <w:tab w:leader="none" w:pos="1700" w:val="left"/>
        </w:tabs>
        <w:rPr>
          <w:sz w:val="20"/>
          <w:szCs w:val="20"/>
          <w:color w:val="auto"/>
        </w:rPr>
      </w:pPr>
      <w:r>
        <w:rPr>
          <w:rFonts w:ascii="Times New Roman" w:cs="Times New Roman" w:eastAsia="Times New Roman" w:hAnsi="Times New Roman"/>
          <w:sz w:val="12"/>
          <w:szCs w:val="12"/>
          <w:color w:val="auto"/>
        </w:rPr>
        <w:t>245,065</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246,544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10795</wp:posOffset>
            </wp:positionV>
            <wp:extent cx="16630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1714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-85725</wp:posOffset>
            </wp:positionV>
            <wp:extent cx="16630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1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Three Months Ended April 30,</w:t>
      </w:r>
    </w:p>
    <w:p>
      <w:pPr>
        <w:spacing w:after="0" w:line="16" w:lineRule="exact"/>
        <w:rPr>
          <w:sz w:val="20"/>
          <w:szCs w:val="20"/>
          <w:color w:val="auto"/>
        </w:rPr>
      </w:pPr>
    </w:p>
    <w:p>
      <w:pPr>
        <w:ind w:left="60"/>
        <w:spacing w:after="0"/>
        <w:tabs>
          <w:tab w:leader="none" w:pos="1440" w:val="left"/>
        </w:tabs>
        <w:rPr>
          <w:sz w:val="20"/>
          <w:szCs w:val="20"/>
          <w:color w:val="auto"/>
        </w:rPr>
      </w:pPr>
      <w:r>
        <w:rPr>
          <w:rFonts w:ascii="Times New Roman" w:cs="Times New Roman" w:eastAsia="Times New Roman" w:hAnsi="Times New Roman"/>
          <w:sz w:val="11"/>
          <w:szCs w:val="11"/>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2025</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1"/>
          <w:szCs w:val="1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-76835</wp:posOffset>
            </wp:positionV>
            <wp:extent cx="16230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3060" cy="5715"/>
                    </a:xfrm>
                    <a:prstGeom prst="rect">
                      <a:avLst/>
                    </a:prstGeom>
                    <a:noFill/>
                  </pic:spPr>
                </pic:pic>
              </a:graphicData>
            </a:graphic>
          </wp:anchor>
        </w:drawing>
      </w:r>
    </w:p>
    <w:p>
      <w:pPr>
        <w:ind w:left="220"/>
        <w:spacing w:after="0"/>
        <w:tabs>
          <w:tab w:leader="none" w:pos="1620" w:val="left"/>
        </w:tabs>
        <w:rPr>
          <w:sz w:val="20"/>
          <w:szCs w:val="20"/>
          <w:color w:val="auto"/>
        </w:rPr>
      </w:pPr>
      <w:r>
        <w:rPr>
          <w:rFonts w:ascii="Times New Roman" w:cs="Times New Roman" w:eastAsia="Times New Roman" w:hAnsi="Times New Roman"/>
          <w:sz w:val="12"/>
          <w:szCs w:val="12"/>
          <w:color w:val="auto"/>
        </w:rPr>
        <w:t>64.9 %</w:t>
      </w:r>
      <w:r>
        <w:rPr>
          <w:sz w:val="20"/>
          <w:szCs w:val="20"/>
          <w:color w:val="auto"/>
        </w:rPr>
        <w:tab/>
      </w:r>
      <w:r>
        <w:rPr>
          <w:rFonts w:ascii="Times New Roman" w:cs="Times New Roman" w:eastAsia="Times New Roman" w:hAnsi="Times New Roman"/>
          <w:sz w:val="11"/>
          <w:szCs w:val="11"/>
          <w:color w:val="auto"/>
        </w:rPr>
        <w:t>42.2 %</w:t>
      </w:r>
    </w:p>
    <w:p>
      <w:pPr>
        <w:spacing w:after="0" w:line="287"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2"/>
          <w:szCs w:val="12"/>
          <w:color w:val="auto"/>
        </w:rPr>
        <w:t>(19.2)</w:t>
      </w:r>
      <w:r>
        <w:rPr>
          <w:sz w:val="20"/>
          <w:szCs w:val="20"/>
          <w:color w:val="auto"/>
        </w:rPr>
        <w:tab/>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2"/>
          <w:szCs w:val="12"/>
          <w:color w:val="auto"/>
        </w:rPr>
        <w:t>45.7 %</w:t>
      </w:r>
      <w:r>
        <w:rPr>
          <w:sz w:val="20"/>
          <w:szCs w:val="20"/>
          <w:color w:val="auto"/>
        </w:rPr>
        <w:tab/>
      </w:r>
      <w:r>
        <w:rPr>
          <w:rFonts w:ascii="Times New Roman" w:cs="Times New Roman" w:eastAsia="Times New Roman" w:hAnsi="Times New Roman"/>
          <w:sz w:val="11"/>
          <w:szCs w:val="11"/>
          <w:color w:val="auto"/>
        </w:rPr>
        <w:t>42.2 %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10795</wp:posOffset>
            </wp:positionV>
            <wp:extent cx="16230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306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-85725</wp:posOffset>
            </wp:positionV>
            <wp:extent cx="16230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306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420"/>
            <w:col w:w="2140"/>
          </w:cols>
          <w:pgMar w:left="1200" w:top="120" w:right="1059" w:bottom="1440" w:gutter="0" w:footer="0" w:header="0"/>
          <w:type w:val="continuous"/>
        </w:sectPr>
      </w:pP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Non-GAAP gross profit and gross profit percentage are “non-GAAP financial measures” that exclude in fiscal 2027, the benefit recognized in connection with the expected recovery of previously incurred tariffs imposed under the IEEPA on inventory sold in the prior year included in cost of goods sold.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type w:val="continuous"/>
        </w:sectPr>
      </w:pPr>
    </w:p>
    <w:bookmarkStart w:id="9" w:name="page10"/>
    <w:bookmarkEnd w:id="9"/>
    <w:p>
      <w:pPr>
        <w:jc w:val="center"/>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G-III APPAREL GROUP, LTD. AND SUBSIDIARIES RECONCILIATION OF GAAP NET INCOME TO NON-GAAP NET INCOME (LOSS) </w:t>
      </w:r>
      <w:r>
        <w:rPr>
          <w:rFonts w:ascii="Times New Roman" w:cs="Times New Roman" w:eastAsia="Times New Roman" w:hAnsi="Times New Roman"/>
          <w:sz w:val="14"/>
          <w:szCs w:val="14"/>
          <w:color w:val="auto"/>
        </w:rPr>
        <w:t>(In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(Unaudited)</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net income</w:t>
            </w:r>
          </w:p>
        </w:tc>
        <w:tc>
          <w:tcPr>
            <w:tcW w:w="1580" w:type="dxa"/>
            <w:vAlign w:val="bottom"/>
            <w:shd w:val="clear" w:color="auto" w:fill="CCEEFF"/>
          </w:tcPr>
          <w:p>
            <w:pPr>
              <w:jc w:val="right"/>
              <w:ind w:right="14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66,534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Excluded from non-GAAP:</w:t>
            </w:r>
          </w:p>
        </w:tc>
        <w:tc>
          <w:tcPr>
            <w:tcW w:w="1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IEEPA tariff refund receivable</w:t>
            </w:r>
          </w:p>
        </w:tc>
        <w:tc>
          <w:tcPr>
            <w:tcW w:w="15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(102,681)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Expenses related to Marc Jacobs acquisition</w:t>
            </w:r>
          </w:p>
        </w:tc>
        <w:tc>
          <w:tcPr>
            <w:tcW w:w="15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One-time warehouse related severance expenses</w:t>
            </w:r>
          </w:p>
        </w:tc>
        <w:tc>
          <w:tcPr>
            <w:tcW w:w="15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impact of non-GAAP adjustments</w:t>
            </w:r>
          </w:p>
        </w:tc>
        <w:tc>
          <w:tcPr>
            <w:tcW w:w="15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Non-GAAP net income (loss), as defined</w:t>
            </w:r>
          </w:p>
        </w:tc>
        <w:tc>
          <w:tcPr>
            <w:tcW w:w="1580" w:type="dxa"/>
            <w:vAlign w:val="bottom"/>
            <w:tcBorders>
              <w:bottom w:val="single" w:sz="8" w:color="auto"/>
            </w:tcBorders>
            <w:shd w:val="clear" w:color="auto" w:fill="CCEEFF"/>
          </w:tcPr>
          <w:p>
            <w:pPr>
              <w:jc w:val="right"/>
              <w:ind w:right="1422"/>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(8,740)</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8,421</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Non-GAAP net income (loss) is a “non-GAAP financial measure” that excludes (i) in fiscal 2027, the benefit recognized in connection with the expected recovery of previously incurred tariffs imposed under the IEEPA on inventory sold in the prior year included in cost of goods sold, (ii) in fiscal 2027, expenses related to the Marc Jacobs transaction primarily related to professional fees and</w:t>
      </w:r>
    </w:p>
    <w:p>
      <w:pPr>
        <w:spacing w:after="0" w:line="1" w:lineRule="exact"/>
        <w:rPr>
          <w:sz w:val="20"/>
          <w:szCs w:val="20"/>
          <w:color w:val="auto"/>
        </w:rPr>
      </w:pPr>
    </w:p>
    <w:p>
      <w:pPr>
        <w:jc w:val="both"/>
        <w:ind w:firstLine="6"/>
        <w:spacing w:after="0" w:line="252" w:lineRule="auto"/>
        <w:tabs>
          <w:tab w:leader="none" w:pos="21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fiscal 2026, one-time severance expenses related to a closed warehouse. For fiscal 2027, the income tax impact of non-GAAP adjustments is calculated using the applicable statutory tax rate for the respective period. For fiscal 2026,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GAAP NET INCOME PER SHARE TO NON-GAAP NET INCOME (LOSS)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6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(Unaudited)</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diluted net income per common share</w:t>
            </w:r>
          </w:p>
        </w:tc>
        <w:tc>
          <w:tcPr>
            <w:tcW w:w="1620" w:type="dxa"/>
            <w:vAlign w:val="bottom"/>
            <w:shd w:val="clear" w:color="auto" w:fill="CCEEFF"/>
          </w:tcPr>
          <w:p>
            <w:pPr>
              <w:jc w:val="right"/>
              <w:ind w:right="14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Adjustment from GAAP diluted shares to Non-GAAP diluted shares </w:t>
            </w:r>
            <w:r>
              <w:rPr>
                <w:rFonts w:ascii="Times New Roman" w:cs="Times New Roman" w:eastAsia="Times New Roman" w:hAnsi="Times New Roman"/>
                <w:sz w:val="16"/>
                <w:szCs w:val="16"/>
                <w:color w:val="auto"/>
                <w:vertAlign w:val="superscript"/>
              </w:rPr>
              <w:t>(1)</w:t>
            </w:r>
          </w:p>
        </w:tc>
        <w:tc>
          <w:tcPr>
            <w:tcW w:w="16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Excluded from non-GAAP:</w:t>
            </w: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IEEPA tariff refund receivable</w:t>
            </w: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Expenses related to Marc Jacobs acquisition</w:t>
            </w:r>
          </w:p>
        </w:tc>
        <w:tc>
          <w:tcPr>
            <w:tcW w:w="16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One-time warehouse related severance expenses</w:t>
            </w:r>
          </w:p>
        </w:tc>
        <w:tc>
          <w:tcPr>
            <w:tcW w:w="16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tax impact of non-GAAP adjustments</w:t>
            </w:r>
          </w:p>
        </w:tc>
        <w:tc>
          <w:tcPr>
            <w:tcW w:w="16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Non-GAAP diluted net income (loss) per common share, as defined</w:t>
            </w:r>
          </w:p>
        </w:tc>
        <w:tc>
          <w:tcPr>
            <w:tcW w:w="1620" w:type="dxa"/>
            <w:vAlign w:val="bottom"/>
            <w:tcBorders>
              <w:bottom w:val="single" w:sz="8" w:color="auto"/>
            </w:tcBorders>
          </w:tcPr>
          <w:p>
            <w:pPr>
              <w:jc w:val="right"/>
              <w:ind w:right="1462"/>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(0.21)</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0.19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Non-GAAP diluted shares </w:t>
            </w:r>
            <w:r>
              <w:rPr>
                <w:rFonts w:ascii="Times New Roman" w:cs="Times New Roman" w:eastAsia="Times New Roman" w:hAnsi="Times New Roman"/>
                <w:sz w:val="17"/>
                <w:szCs w:val="17"/>
                <w:color w:val="auto"/>
                <w:vertAlign w:val="superscript"/>
              </w:rPr>
              <w:t>(1)</w:t>
            </w:r>
          </w:p>
        </w:tc>
        <w:tc>
          <w:tcPr>
            <w:tcW w:w="1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42,189</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45,385</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80" w:hanging="212"/>
        <w:spacing w:after="0" w:line="334" w:lineRule="auto"/>
        <w:tabs>
          <w:tab w:leader="none" w:pos="38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adjustment for shares used to calculate diluted earnings per share. Due to our recording GAAP net income for the first quarter of fiscal 2027, GAAP diluted net income per share includes the impact of potential dilutive common shares. When applying non-GAAP exclusions, results move from a net income position to a net loss wherein net loss per share excludes the impact of potential dilutive common shares.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Non-GAAP diluted net income (loss) per common share is a “non-GAAP financial measure” that excludes (i) in fiscal 2027, the benefit recognized in connection with the expected recovery of previously incurred tariffs imposed under the IEEPA on inventory sold in the prior year included in cost of goods sold, (ii) in fiscal 2027, expenses related to the Marc Jacobs transaction primarily related to professional fees and (iii) in fiscal 2026, one-time severance expenses related to a closed warehouse. For fiscal 2027, the income tax impact of non-GAAP adjustments is calculated using the applicable statutory tax rate for the respective period. For fiscal 2026,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NET INCOME TO ADJUSTED EBITDA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4"/>
            <w:vMerge w:val="restart"/>
          </w:tcPr>
          <w:p>
            <w:pPr>
              <w:jc w:val="right"/>
              <w:ind w:right="72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Forecasted Twelve</w:t>
            </w:r>
          </w:p>
        </w:tc>
        <w:tc>
          <w:tcPr>
            <w:tcW w:w="200" w:type="dxa"/>
            <w:vAlign w:val="bottom"/>
          </w:tcPr>
          <w:p>
            <w:pPr>
              <w:spacing w:after="0"/>
              <w:rPr>
                <w:sz w:val="12"/>
                <w:szCs w:val="12"/>
                <w:color w:val="auto"/>
              </w:rPr>
            </w:pPr>
          </w:p>
        </w:tc>
        <w:tc>
          <w:tcPr>
            <w:tcW w:w="124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w w:val="97"/>
              </w:rPr>
              <w:t>Actual Twelve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Months Ending</w:t>
            </w:r>
          </w:p>
        </w:tc>
        <w:tc>
          <w:tcPr>
            <w:tcW w:w="200" w:type="dxa"/>
            <w:vAlign w:val="bottom"/>
          </w:tcPr>
          <w:p>
            <w:pPr>
              <w:spacing w:after="0"/>
              <w:rPr>
                <w:sz w:val="12"/>
                <w:szCs w:val="12"/>
                <w:color w:val="auto"/>
              </w:rPr>
            </w:pPr>
          </w:p>
        </w:tc>
        <w:tc>
          <w:tcPr>
            <w:tcW w:w="1240" w:type="dxa"/>
            <w:vAlign w:val="bottom"/>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w w:val="97"/>
              </w:rPr>
              <w:t>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180" w:type="dxa"/>
            <w:vAlign w:val="bottom"/>
          </w:tcPr>
          <w:p>
            <w:pPr>
              <w:spacing w:after="0"/>
              <w:rPr>
                <w:sz w:val="12"/>
                <w:szCs w:val="12"/>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rPr>
              <w:t>April 30, 2025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January 31, 2027</w:t>
            </w:r>
          </w:p>
        </w:tc>
        <w:tc>
          <w:tcPr>
            <w:tcW w:w="200" w:type="dxa"/>
            <w:vAlign w:val="bottom"/>
          </w:tcPr>
          <w:p>
            <w:pPr>
              <w:spacing w:after="0"/>
              <w:rPr>
                <w:sz w:val="12"/>
                <w:szCs w:val="12"/>
                <w:color w:val="auto"/>
              </w:rPr>
            </w:pPr>
          </w:p>
        </w:tc>
        <w:tc>
          <w:tcPr>
            <w:tcW w:w="124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w w:val="96"/>
              </w:rPr>
              <w:t>January 31, 2026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(Unaudited)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171,000 - 175,000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IEEPA tariff refund receivable</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(102,681)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(102,681)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Expenses related to Marc Jacobs acquisition</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Asset impairments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Strategic opportunity related professional fees</w:t>
            </w:r>
          </w:p>
        </w:tc>
        <w:tc>
          <w:tcPr>
            <w:tcW w:w="18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One-time warehouse related severance expenses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Interest and financing charges, net</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Adjusted EBITDA, as defined</w:t>
            </w:r>
          </w:p>
        </w:tc>
        <w:tc>
          <w:tcPr>
            <w:tcW w:w="1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(7,660)</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19,489</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178,000 - 182,000</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192,367</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Adjusted EBITDA is a “non-GAAP financial measure” which represents earnings before depreciation and amortization, interest and financing charges, net and income tax expense and excludes (i) in fiscal 2027, the benefit recognized in connection with the expected recovery of previously incurred tariffs imposed under the IEEPA on inventory sold in the prior year included in cost of goods sold,</w:t>
      </w:r>
    </w:p>
    <w:p>
      <w:pPr>
        <w:spacing w:after="0" w:line="1" w:lineRule="exact"/>
        <w:rPr>
          <w:sz w:val="20"/>
          <w:szCs w:val="20"/>
          <w:color w:val="auto"/>
        </w:rPr>
      </w:pPr>
    </w:p>
    <w:p>
      <w:pPr>
        <w:jc w:val="both"/>
        <w:ind w:firstLine="6"/>
        <w:spacing w:after="0" w:line="253" w:lineRule="auto"/>
        <w:tabs>
          <w:tab w:leader="none" w:pos="17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fiscal 2027, expenses related to the Marc Jacobs transaction primarily related to professional fees, (iii) in fiscal 2026, asset impairments, (iv) in fiscal 2026, professional fees related to a potential strategic opportunity that did not come to fruition and (v) in fiscal 2026, one-time severance expenses related to a closed warehouse. Adjusted EBITDA is being presented as a supplemental disclosure because management believes that it is a common measure of operating performance in the apparel industry. Adjusted EBITDA should not be construed as an alternative to net income, as an indicator of the Company’s operating performance, or as an alternative to cash flows from operating activities as a measure of the Company’s liquidity, as determined in accordance with GAAP.</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FORECASTED AND ACTUAL GAAP NET INCOME TO FORECASTED AND ACTUAL NON-GAAP NET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Forecasted Three</w:t>
            </w:r>
          </w:p>
        </w:tc>
        <w:tc>
          <w:tcPr>
            <w:tcW w:w="20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Actual Three</w:t>
            </w:r>
          </w:p>
        </w:tc>
        <w:tc>
          <w:tcPr>
            <w:tcW w:w="30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Forecasted Twelve</w:t>
            </w:r>
          </w:p>
        </w:tc>
        <w:tc>
          <w:tcPr>
            <w:tcW w:w="180" w:type="dxa"/>
            <w:vAlign w:val="bottom"/>
          </w:tcPr>
          <w:p>
            <w:pPr>
              <w:spacing w:after="0"/>
              <w:rPr>
                <w:sz w:val="10"/>
                <w:szCs w:val="10"/>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rPr>
              <w:t>Actual Twelve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Months Ending</w:t>
            </w:r>
          </w:p>
        </w:tc>
        <w:tc>
          <w:tcPr>
            <w:tcW w:w="2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Months Ended</w:t>
            </w:r>
          </w:p>
        </w:tc>
        <w:tc>
          <w:tcPr>
            <w:tcW w:w="30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Months Ending</w:t>
            </w:r>
          </w:p>
        </w:tc>
        <w:tc>
          <w:tcPr>
            <w:tcW w:w="180" w:type="dxa"/>
            <w:vAlign w:val="bottom"/>
          </w:tcPr>
          <w:p>
            <w:pPr>
              <w:spacing w:after="0"/>
              <w:rPr>
                <w:sz w:val="13"/>
                <w:szCs w:val="13"/>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rPr>
              <w:t>Months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rPr>
              <w:t>July 31, 2026</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rPr>
              <w:t>July 31, 2025</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rPr>
              <w:t>January 31, 2027</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rPr>
              <w:t>January 31, 2026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color w:val="auto"/>
              </w:rPr>
              <w:t>(Unaudited)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7,000 - 11,000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171,000 - 175,000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Excluded from non-GAAP:</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IEEPA tariff refund receivable</w:t>
            </w:r>
          </w:p>
        </w:tc>
        <w:tc>
          <w:tcPr>
            <w:tcW w:w="1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(102,681)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Expenses related to Marc Jacobs acquisition</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Asset impairments</w:t>
            </w:r>
          </w:p>
        </w:tc>
        <w:tc>
          <w:tcPr>
            <w:tcW w:w="1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Strategic opportunity related professional fees</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One-time warehouse related severance expenses</w:t>
            </w:r>
          </w:p>
        </w:tc>
        <w:tc>
          <w:tcPr>
            <w:tcW w:w="1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impact of non-GAAP adjustments</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Non-GAAP net income, as defined</w:t>
            </w:r>
          </w:p>
        </w:tc>
        <w:tc>
          <w:tcPr>
            <w:tcW w:w="1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7,000 - 11,000</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11,180</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95,000 - 99,000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116,226</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Non-GAAP net income is a “non-GAAP financial measure” that excludes (i) in fiscal 2027, the benefit recognized in connection with the expected recovery of previously incurred tariffs imposed under the IEEPA on inventory sold in the prior year included in cost of goods sold, (ii) in fiscal 2027, expenses related to the Marc Jacobs transaction primarily related to professional fees, (iii) in fiscal 2026, asset impairments, (iv) in fiscal 2026, professional fees related to a potential strategic opportunity that did not come to fruition and (v) in fiscal 2026, one-time severance expenses related to a closed warehouse. The income tax impact of non-GAAP adjustments is calculated using the applicable statutory tax rate for the respective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61207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200" w:top="120" w:right="1059" w:bottom="1440" w:gutter="0" w:footer="0" w:header="0"/>
        </w:sectPr>
      </w:pPr>
    </w:p>
    <w:bookmarkStart w:id="13" w:name="page14"/>
    <w:bookmarkEnd w:id="13"/>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RECONCILIATION OF FORECASTED AND ACTUAL GAAP DILUTED NET INCOME PER SHARE TO FORECASTED AND ACTUAL NON-GAAP</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DILUTED NET INCOME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Forecasted Three</w:t>
            </w:r>
          </w:p>
        </w:tc>
        <w:tc>
          <w:tcPr>
            <w:tcW w:w="200" w:type="dxa"/>
            <w:vAlign w:val="bottom"/>
          </w:tcPr>
          <w:p>
            <w:pPr>
              <w:spacing w:after="0"/>
              <w:rPr>
                <w:sz w:val="10"/>
                <w:szCs w:val="1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Actual Three</w:t>
            </w:r>
          </w:p>
        </w:tc>
        <w:tc>
          <w:tcPr>
            <w:tcW w:w="240" w:type="dxa"/>
            <w:vAlign w:val="bottom"/>
          </w:tcPr>
          <w:p>
            <w:pPr>
              <w:spacing w:after="0"/>
              <w:rPr>
                <w:sz w:val="10"/>
                <w:szCs w:val="1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Forecasted Twelve</w:t>
            </w:r>
          </w:p>
        </w:tc>
        <w:tc>
          <w:tcPr>
            <w:tcW w:w="200" w:type="dxa"/>
            <w:vAlign w:val="bottom"/>
          </w:tcPr>
          <w:p>
            <w:pPr>
              <w:spacing w:after="0"/>
              <w:rPr>
                <w:sz w:val="10"/>
                <w:szCs w:val="10"/>
                <w:color w:val="auto"/>
              </w:rPr>
            </w:pPr>
          </w:p>
        </w:tc>
        <w:tc>
          <w:tcPr>
            <w:tcW w:w="1160" w:type="dxa"/>
            <w:vAlign w:val="bottom"/>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w w:val="97"/>
              </w:rPr>
              <w:t>Actual Twelve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Months Ending</w:t>
            </w:r>
          </w:p>
        </w:tc>
        <w:tc>
          <w:tcPr>
            <w:tcW w:w="200" w:type="dxa"/>
            <w:vAlign w:val="bottom"/>
          </w:tcPr>
          <w:p>
            <w:pPr>
              <w:spacing w:after="0"/>
              <w:rPr>
                <w:sz w:val="11"/>
                <w:szCs w:val="1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Months Ended</w:t>
            </w:r>
          </w:p>
        </w:tc>
        <w:tc>
          <w:tcPr>
            <w:tcW w:w="240" w:type="dxa"/>
            <w:vAlign w:val="bottom"/>
          </w:tcPr>
          <w:p>
            <w:pPr>
              <w:spacing w:after="0"/>
              <w:rPr>
                <w:sz w:val="11"/>
                <w:szCs w:val="11"/>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Months Ending</w:t>
            </w:r>
          </w:p>
        </w:tc>
        <w:tc>
          <w:tcPr>
            <w:tcW w:w="200" w:type="dxa"/>
            <w:vAlign w:val="bottom"/>
          </w:tcPr>
          <w:p>
            <w:pPr>
              <w:spacing w:after="0"/>
              <w:rPr>
                <w:sz w:val="11"/>
                <w:szCs w:val="11"/>
                <w:color w:val="auto"/>
              </w:rPr>
            </w:pPr>
          </w:p>
        </w:tc>
        <w:tc>
          <w:tcPr>
            <w:tcW w:w="1160" w:type="dxa"/>
            <w:vAlign w:val="bottom"/>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rPr>
              <w:t>Months Ended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rPr>
              <w:t>July 31, 2026</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rPr>
              <w:t>July 31, 2025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0"/>
                <w:szCs w:val="10"/>
                <w:b w:val="1"/>
                <w:bCs w:val="1"/>
                <w:color w:val="auto"/>
              </w:rPr>
              <w:t>January 31, 2027</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rPr>
              <w:t>January 31, 2026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(Unaudited)</w:t>
            </w: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diluted net income per common share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0.15 - 0.25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3.85 - 3.95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Excluded from non-GAAP:</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IEEPA tariff refund receivable</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Expenses related to Marc Jacobs acquisition</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Asset impairments</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Strategic opportunity related professional fees</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One-time warehouse related severance expenses</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impact of non-GAAP adjustments</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Non-GAAP diluted net income per common share, as defined</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0.15 - 0.25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0.25</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2.15 - 2.25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2"/>
          <w:szCs w:val="12"/>
          <w:color w:val="auto"/>
        </w:rPr>
        <w:t>Non-GAAP diluted net income per common share is a “non-GAAP financial measure” that excludes (i) in fiscal 2027, the benefit recognized in connection with the expected recovery of previously incurred tariffs imposed under the IEEPA on inventory sold in the prior year included in cost of goods sold, (ii) in fiscal 2027, expenses related to the Marc Jacobs transaction primarily related to professional fees, (iii) in fiscal 2026, asset impairments, (iv) in fiscal 2026, professional fees related to a potential strategic opportunity that did not come to fruition and (v) in fiscal 2026, one-time severance expenses related to a closed warehouse. The income tax impact of non-GAAP adjustments is calculated using the applicable statutory tax rate for the respective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G-III Apparel Group, Ltd.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Nick Bacchus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SVP of Investor Relations and Treasurer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IR@g-iii.com</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335280</wp:posOffset>
            </wp:positionV>
            <wp:extent cx="61207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740"/>
          </w:cols>
          <w:pgMar w:left="1200" w:top="120" w:right="959" w:bottom="1440" w:gutter="0" w:footer="0" w:header="0"/>
        </w:sectPr>
      </w:pPr>
    </w:p>
    <w:bookmarkStart w:id="14" w:name="page15"/>
    <w:bookmarkEnd w:id="14"/>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6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2026-06-05T06:31:51Z</dcterms:created>
  <dcterms:modified xsi:type="dcterms:W3CDTF">2026-06-05T06:31:51Z</dcterms:modified>
</cp:coreProperties>
</file>