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60778952_8k.htm"/>
      <w:bookmarkStart w:id="1" w:name="kseh260778952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12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C_edei--DocumentType_c20260514__20"/>
      <w:bookmarkEnd w:id="2"/>
      <w:r>
        <w:rPr>
          <w:rFonts w:ascii="Times New Roman;Times;Serif" w:hAnsi="Times New Roman;Times;Serif"/>
          <w:b/>
          <w:i w:val="false"/>
          <w:caps w:val="false"/>
          <w:smallCaps w:val="false"/>
          <w:sz w:val="36"/>
        </w:rPr>
        <w:t>8-K</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May 14, 2026 (May 14, 2026)</w:t>
      </w:r>
    </w:p>
    <w:p>
      <w:pPr>
        <w:pStyle w:val="TextBody"/>
        <w:bidi w:val="0"/>
        <w:spacing w:before="0" w:after="12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A_edei--EntityRegistrantName_dxH_c"/>
      <w:bookmarkEnd w:id="4"/>
      <w:r>
        <w:rPr>
          <w:rFonts w:ascii="Times New Roman;Times;Serif" w:hAnsi="Times New Roman;Times;Serif"/>
          <w:b/>
          <w:i w:val="false"/>
          <w:caps w:val="false"/>
          <w:smallCaps w:val="false"/>
          <w:sz w:val="32"/>
        </w:rPr>
        <w:t>G-III APPAREL GROUP,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540"/>
        <w:gridCol w:w="60"/>
        <w:gridCol w:w="1295"/>
        <w:gridCol w:w="60"/>
        <w:gridCol w:w="1775"/>
      </w:tblGrid>
      <w:tr>
        <w:trPr/>
        <w:tc>
          <w:tcPr>
            <w:tcW w:w="2540" w:type="dxa"/>
            <w:tcBorders/>
            <w:vAlign w:val="center"/>
          </w:tcPr>
          <w:p>
            <w:pPr>
              <w:pStyle w:val="TableContents"/>
              <w:bidi w:val="0"/>
              <w:spacing w:before="0" w:after="283"/>
              <w:jc w:val="center"/>
              <w:rPr>
                <w:b/>
              </w:rPr>
            </w:pPr>
            <w:bookmarkStart w:id="5" w:name="xdx_909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60514"/>
            <w:bookmarkEnd w:id="6"/>
            <w:r>
              <w:rPr>
                <w:rFonts w:ascii="Times New Roman;Times;Serif" w:hAnsi="Times New Roman;Times;Serif"/>
                <w:b/>
                <w:i w:val="false"/>
                <w:caps w:val="false"/>
                <w:smallCaps w:val="false"/>
                <w:sz w:val="20"/>
              </w:rPr>
              <w:t>0-18183</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hd w:fill="FFFFFF" w:val="clear"/>
              </w:rPr>
            </w:pPr>
            <w:bookmarkStart w:id="7" w:name="xdx_904_edei--EntityTaxIdentificationNum"/>
            <w:bookmarkEnd w:id="7"/>
            <w:r>
              <w:rPr>
                <w:b/>
                <w:shd w:fill="FFFFFF" w:val="clear"/>
              </w:rPr>
              <w:t>41-1590959</w:t>
            </w:r>
          </w:p>
        </w:tc>
      </w:tr>
      <w:tr>
        <w:trPr/>
        <w:tc>
          <w:tcPr>
            <w:tcW w:w="254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875"/>
        <w:gridCol w:w="60"/>
        <w:gridCol w:w="1085"/>
      </w:tblGrid>
      <w:tr>
        <w:trPr/>
        <w:tc>
          <w:tcPr>
            <w:tcW w:w="3875" w:type="dxa"/>
            <w:tcBorders/>
            <w:vAlign w:val="center"/>
          </w:tcPr>
          <w:p>
            <w:pPr>
              <w:pStyle w:val="TableContents"/>
              <w:shd w:fill="FFFFFF" w:val="clear"/>
              <w:bidi w:val="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512 Seventh Avenue</w:t>
            </w:r>
          </w:p>
          <w:p>
            <w:pPr>
              <w:pStyle w:val="TableContents"/>
              <w:shd w:fill="FFFFFF" w:val="clear"/>
              <w:bidi w:val="0"/>
              <w:spacing w:before="0" w:after="20"/>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New York, </w:t>
            </w:r>
            <w:bookmarkStart w:id="10" w:name="xdx_905_edei--EntityAddressStateOrProvin"/>
            <w:bookmarkEnd w:id="10"/>
            <w:r>
              <w:rPr>
                <w:rFonts w:ascii="Times New Roman;Times;Serif" w:hAnsi="Times New Roman;Times;Serif"/>
                <w:b/>
                <w:i w:val="false"/>
                <w:caps w:val="false"/>
                <w:smallCaps w:val="false"/>
                <w:sz w:val="20"/>
              </w:rPr>
              <w:t>NY</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shd w:fill="FFFFFF" w:val="clear"/>
              </w:rPr>
            </w:pPr>
            <w:bookmarkStart w:id="11" w:name="xdx_90F_edei--EntityAddressPostalZipCode"/>
            <w:bookmarkEnd w:id="11"/>
            <w:r>
              <w:rPr>
                <w:b/>
                <w:shd w:fill="FFFFFF" w:val="clear"/>
              </w:rPr>
              <w:t>10018</w:t>
            </w:r>
          </w:p>
        </w:tc>
      </w:tr>
      <w:tr>
        <w:trPr/>
        <w:tc>
          <w:tcPr>
            <w:tcW w:w="387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1_edei--CityAreaCode_c20260514__20"/>
      <w:bookmarkEnd w:id="12"/>
      <w:r>
        <w:rPr>
          <w:rFonts w:ascii="Times New Roman;Times;Serif" w:hAnsi="Times New Roman;Times;Serif"/>
          <w:b/>
          <w:i w:val="false"/>
          <w:caps w:val="false"/>
          <w:smallCaps w:val="false"/>
          <w:sz w:val="20"/>
        </w:rPr>
        <w:t xml:space="preserve">212) </w:t>
      </w:r>
      <w:bookmarkStart w:id="13" w:name="xdx_903_edei--LocalPhoneNumber_c20260514"/>
      <w:bookmarkEnd w:id="13"/>
      <w:r>
        <w:rPr>
          <w:rFonts w:ascii="Times New Roman;Times;Serif" w:hAnsi="Times New Roman;Times;Serif"/>
          <w:b/>
          <w:i w:val="false"/>
          <w:caps w:val="false"/>
          <w:smallCaps w:val="false"/>
          <w:sz w:val="20"/>
        </w:rPr>
        <w:t xml:space="preserve">403-0500 </w:t>
      </w:r>
    </w:p>
    <w:p>
      <w:pPr>
        <w:pStyle w:val="TextBody"/>
        <w:bidi w:val="0"/>
        <w:spacing w:before="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8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2_edei--SolicitingMaterial_c202605"/>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9660" w:type="dxa"/>
        <w:jc w:val="left"/>
        <w:tblInd w:w="0" w:type="dxa"/>
        <w:tblLayout w:type="fixed"/>
        <w:tblCellMar>
          <w:top w:w="0" w:type="dxa"/>
          <w:left w:w="0" w:type="dxa"/>
          <w:bottom w:w="28" w:type="dxa"/>
          <w:right w:w="0" w:type="dxa"/>
        </w:tblCellMar>
      </w:tblPr>
      <w:tblGrid>
        <w:gridCol w:w="4025"/>
        <w:gridCol w:w="60"/>
        <w:gridCol w:w="1925"/>
        <w:gridCol w:w="60"/>
        <w:gridCol w:w="3590"/>
      </w:tblGrid>
      <w:tr>
        <w:trPr/>
        <w:tc>
          <w:tcPr>
            <w:tcW w:w="402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b/>
              </w:rPr>
            </w:pPr>
            <w:r>
              <w:rPr>
                <w:b/>
              </w:rPr>
              <w:t>Name of Each Exchange on Which</w:t>
              <w:br/>
              <w:t>Registered</w:t>
            </w:r>
          </w:p>
        </w:tc>
      </w:tr>
      <w:tr>
        <w:trPr/>
        <w:tc>
          <w:tcPr>
            <w:tcW w:w="4025" w:type="dxa"/>
            <w:tcBorders/>
            <w:tcMar>
              <w:bottom w:w="0" w:type="dxa"/>
            </w:tcMar>
            <w:vAlign w:val="center"/>
          </w:tcPr>
          <w:p>
            <w:pPr>
              <w:pStyle w:val="TableContents"/>
              <w:bidi w:val="0"/>
              <w:spacing w:before="0" w:after="283"/>
              <w:jc w:val="center"/>
              <w:rPr/>
            </w:pPr>
            <w:bookmarkStart w:id="18" w:name="xdx_907_edei--Security12bTitle_c20260514"/>
            <w:bookmarkEnd w:id="18"/>
            <w:r>
              <w:rPr/>
              <w:t>Common Stock, $0.01 par value per share</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pPr>
            <w:bookmarkStart w:id="19" w:name="xdx_905_edei--TradingSymbol_c20260514__2"/>
            <w:bookmarkEnd w:id="19"/>
            <w:r>
              <w:rPr/>
              <w:t>GIII</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pPr>
            <w:bookmarkStart w:id="20" w:name="xdx_903_edei--SecurityExchangeName_c2026"/>
            <w:bookmarkEnd w:id="20"/>
            <w:r>
              <w:rPr/>
              <w:t>The Nasdaq Stock Market</w:t>
            </w:r>
          </w:p>
        </w:tc>
      </w:tr>
    </w:tbl>
    <w:p>
      <w:pPr>
        <w:pStyle w:val="TextBody"/>
        <w:bidi w:val="0"/>
        <w:jc w:val="both"/>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being filed by G-III Apparel Group, Ltd. (the “Company”) in connection with its or its subsidiaries’ entry into certain agreements on May 14, 2026 (the “Signing Date”), relating to the acquisition of the Marc Jacobs business from LVMH Moet Hennessy Louis Vuitton Inc. and its affiliates (“LVMH”). The transaction is structured such that (i) MJ Topco, LLC (“IPCo”), a newly formed joint venture between a subsidiary of the Company and an affiliate of WHP Global (“WHP”), will acquire all of the issued and outstanding units of Marc Jacobs Holdings, LLC through a wholly owned indirect subsidiary, Majestic AcqCo, LLC (“Purchaser”), (ii) following such acquisition, the Company will acquire the Marc Jacobs operating business through its subsidiaries, and (iii) IPCo will retain the Marc Jacobs intellectual property and certain other retained assets (collectively, the “Transactions”). The Company will fund its approximately $500 million investment using cash on hand and borrowings under its revolving credit facility. The Company will operate the business pursuant to a license from IPCo.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Unit Purchase Agreement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Signing Date, Purchaser entered into a Unit Purchase Agreement (the “Unit Purchase Agreement”) with the owners of all of the issued and outstanding units of Marc Jacobs Holdings, LLC (together, the “Sellers”) and, solely for specified sections, WH Borrower, LLC (“Purchaser Parent”), pursuant to which Purchaser agreed to purchase from Sellers all of the issued and outstanding common units of Marc Jacobs Holdings, LLC (the “Acquisition”).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IPCo has obtained a buy-side representation and warranty insurance policy (the “R&amp;W Insurance Policy”), conditionally bound prior to or contemporaneously with signing. The closing of the Unit Purchase Agreement (the “Closing”) is subject to customary conditions, including the accuracy of certain representations and warranties, absence of legal prohibitions and receipt of required antitrust approvals. The Unit Purchase Agreement may be terminated: (i) by mutual consent; (ii) by either party if the Closing has not occurred by the six-month anniversary of signing (the “Outside Closing Date”), provided that this right is not available to a party whose failure to perform its obligations in any material respect was the primary cause of the failure to close, and provided further that if, at any time prior to five business days prior to the Outside Closing Date, all conditions other than antitrust approvals have been satisfied or are reasonably capable of being satisfied, either party may extend the Outside Closing Date by an additional 60 days to obtain such approvals; (iii) by either party for the other party’s uncured material breach; or (iv) by either party if a final legal prohibition prevents consummation. No reverse termination fee applies. The Unit Purchase Agreement is governed by the laws of the State of New York and provides for confidential JAMS arbitration seated in New York, with specific performance available to compel closing in certain circumstances and a guarantee of performance provided by Purchaser Parent.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the Signing Date, the Company entered into the Equity Commitment Letter (the “Commitment Letter”) with IPCo. Pursuant to the Commitment Letter, the Company committed to contribute equity capital to IPCo for an aggregate amount equal to the sum of WHP’s equity contribution, thereby funding 50% of IPCo, to be funded on or prior to the Closing. The obligations of the Company to contribute such equity capital under the Commitment Letter are subject to the substantially concurrent receipt by IPCo of the WHP contribution and consummation of the Closing.</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Commitment Letter does not purport to be complete and is qualified in its entirety by reference to the full text of the Commitment Letter, a copy of which is filed as Exhibit 10.1 to this Current Report on Form 8-K and is incorporated herein by reference.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Interim Investors’ Agreement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Signing Date, IPCo, Purchaser, MJWHP, LLC, a Delaware limited liability company (“WHP Member”), the Company and Purchaser Parent entered into an Interim Investors’ Agreement (the “Interim Investors’ Agreement”) which will govern the relationship between the Company and the WHP Member until the Closing. The Interim</w:t>
      </w:r>
    </w:p>
    <w:p>
      <w:pPr>
        <w:pStyle w:val="TextBody"/>
        <w:bidi w:val="0"/>
        <w:ind w:left="0" w:right="0" w:firstLine="36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Agreement provides for (i) cooperation obligations requiring each of the WHP Member and the Company to take certain actions to cause IPCo and Purchaser to comply with the Unit Purchase Agreement, (ii) allocation of pre-Closing expenses with certain costs (e.g., regulatory filing costs, R&amp;W insurance costs) to be borne by Purchaser, (iii) advance notice of the anticipated Closing date, and (iv) customary confidentiality, publicity and antitrust cooperation provisions.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Transition Services Agreement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Marc Jacobs International, L.L.C. (“Marc Jacobs International”), LVMH and, solely for guaranty purposes, Purchaser, Purchaser Parent and the Company will enter into a Transition Services Agreement (the “TSA”), pursuant to which, following Closing, LVMH and/or third-party providers will provide certain transition services to Marc Jacobs International and its subsidiaries. Pursuant to the TSA, the Company has guaranteed the due, prompt and full performance by Marc Jacobs International and its subsidiaries of all of their payment and indemnification obligations arising under the TSA.</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IPCo, G-III Leather Fashions, Inc. and G-III Apparel Canada, ULC (together with G-III Leather Fashions, Inc., the “Licensee”), will enter into a License Agreement (the “License Agreement”), pursuant to which IPCo will provide an exclusive license to the Licensee to use the Marc Jacobs brands and related intellectual property held by IPCo, as well as certain other intellectual property rights developed in the future (collectively, the “Licensed IP”) in the United States, Canada, Mexico and Western Europe for the operation of Marc Jacobs-branded retail stores and branded e-commerce sites and the distribution, sale and promotion of specified categories of products, including women’s and men’s apparel, handbags, footwear, swim, small leather goods, luggage and cold weather accessories (through wholesale, branded retail stores and branded e-commerce sites). The Licensee will also provide certain services to IPCo’s other licensees, distributors and franchisees, including information related to research and development, designs and packaging and will assist IPCo in overseeing compliance with the Marc Jacobs brand guidelines by such third parties.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the License Agreement is from the effective date through December 2041, and the License Agreement automatically renews for 10 successive periods of 5 years each (unless the Licensee provides notice of non-renewal at least 18 months prior to the end of the initial or applicable renewal term). The License Agreement is terminable by IPCo if the Licensee breaches its obligation to make required payments or otherwise materially breaches the License Agreement, in each case subject to an opportunity to cure such breach within a specified period of time.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Equity Purchase and Distribution Agreement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Signing Date, G-III Leather Fashions, Inc. (“G-III Buyer”), a wholly owned subsidiary of the Company, entered into an Equity Purchase and Distribution Agreement (the “Equity Purchase and Distribution Agreement”) with IPCo, Majestic Parent, LLC, a subsidiary of IPCo (“MJ Buyer Parent”), and, solely for specified sections, Purchaser Parent and the Company, pursuant to which, immediately following the Closing under the Unit Purchase Agreement and the completion of a related pre-closing restructuring (“Pre-Closing Restructuring”), IPCo agreed to sell, and G-III Buyer agreed to purchase, all of the equity interests of MJ Buyer Parent, which will hold the Marc Jacobs operating business (excluding the Marc Jacobs intellectual property, certain employment agreements and, to the extent sold to third party buyers at Closing, certain other specified operating assets and liabilities in China and Japan retained by IPCo).</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may be terminated by mutual consent, upon valid termination of the Unit Purchase Agreement, or by either party if a permanent injunction prohibits consummation. The Equity Purchase and Distribution Agreement is governed by New York law and includes a parent guaranty by the Company of G-III Buyer’s post-Closing obligations, and a corresponding parent guaranty by WHP Parent of IPCo’s obligations through Closing. Pursuant to the Equity Purchase and Distribution Agreement, the Company has guaranteed the due, prompt and full performance by G-III Buyer and MJ Buyer Parent of all of their covenants, obligations, agreements and undertakings, including any payment and indemnification obligations, arising under the Equity Purchase and Distribution Agreement.</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Equity Purchase and Distribution Agreement does not purport to be complete and is qualified in its entirety by reference to the full text of the Equity Purchase and Distribution Agreement, a copy of which is filed as Exhibit 10.2 to this Current Report on Form 8-K and is incorporated by reference herein.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Amended and Restated Operating Agreement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G-III Investments, Inc. (the “G-III Member”) and the WHP Member will enter into the Amended and Restated Operating Agreement of IPCo (the “A&amp;R Operating Agreement”), which is in substantially agreed form as of the date hereof, pursuant to which IPCo will have a single class of membership interests (the “Units”), with the G-III Member owning 50% of the Units and the WHP Member owning 50% of the Units.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IPCo will be governed by a board of managers (the “IPCo Board”) initially consisting of five managers, with two managers appointed by the G-III Member and three managers appointed by the WHP Member, which is subject to change in the future based on the relative ownership percentages of the G-III Member and the WHP Member in IPCo, and other circumstances provided in the A&amp;R Operating Agreement. Certain decisions (including amendments to the A&amp;R Operating Agreement, mergers, acquisitions, dispositions, incurrence of indebtedness above certain thresholds, related party transactions and bankruptcy) require approval of both members for so long as they continue to own certain ownership percentages.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A&amp;R Operating Agreement, the G-III Member and the WHP Member generally may not transfer their Units prior to the third anniversary of Closing (other than to permitted transferees or with the prior written consent of the other member). After the third anniversary of the Closing, each party may transfer its respective Units but subject to a right of first offer and tag along right in favor of the other parties.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A&amp;R Operating Agreement does not purport to be complete and is qualified in its entirety by reference to the full text of the A&amp;R Operating Agreement, a form of which is filed as Exhibit 10.3 to this Current Report on Form 8-K and is incorporated herein by reference.</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1.01 regarding the Commitment Letter is incorporated herein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7.01 Regulation FD. </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Communications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Signing Date, the Company issued a press release, announcing the Transactions, a copy of which is furnished herewith as Exhibit 99.1 and incorporated by reference herein.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(including Exhibit 99.1) is being furnished pursuant to Item 7.01 and will not be deemed to be filed for purposes of Section 18 of the Securities Exchange Act of 1934, as amended (the “Exchange Act”), or otherwise be subject to the liabilities of that section, nor will it be deemed to be incorporated by reference in any filing under the Securities Act of 1933, as amended, or the Exchange Act.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Forward-Looking Statements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Statements that are not historical or current facts, including statements about beliefs and expectations, are “forward-looking statements” as that term is defined under the federal securities laws. Forward-looking statements are subject to risks, uncertainties and factors which include, but are not limited to, (i) risks relating to completing the proposed acquisition in the anticipated timeframe, or at all; (ii) risks relating to the ability to realize the anticipated benefits of the proposed acquisition; (iii) risks relating to the receipt of regulatory approvals without unexpected delays or conditions and possibility of regulatory action; (iv) risks relating to significant costs related to the proposed acquisition; (v) the expected financial and operating performance and future opportunities following the consummation of the proposed acquisition; (vi) risks relating to the reliance on licensed product; (vii) reliance on foreign manufacturers; (viii) risk of doing business abroad; (ix) the</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economic and credit environment risks; (x) the nature of the apparel industry, including changing customer demand and tastes; (xi) risks of operating a retail business; (xii) customer concentration; (xiii) seasonality; (xiv) customer acceptance of new products, (xv) the impact of competitive products and pricing, (xvi) dependence on existing management, (xvii) possible disruption from acquisitions, as well as other risks detailed in G-III’s filings with the Securities and Exchange Commission. G-III assumes no obligation to update the information in this Current Report on Form 8-K.</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1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24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Exhibits.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bl>
      <w:tblPr>
        <w:tblW w:w="10205" w:type="dxa"/>
        <w:jc w:val="left"/>
        <w:tblInd w:w="0" w:type="dxa"/>
        <w:tblLayout w:type="fixed"/>
        <w:tblCellMar>
          <w:top w:w="0" w:type="dxa"/>
          <w:left w:w="0" w:type="dxa"/>
          <w:bottom w:w="0" w:type="dxa"/>
          <w:right w:w="0" w:type="dxa"/>
        </w:tblCellMar>
      </w:tblPr>
      <w:tblGrid>
        <w:gridCol w:w="811"/>
        <w:gridCol w:w="60"/>
        <w:gridCol w:w="9334"/>
      </w:tblGrid>
      <w:tr>
        <w:trPr/>
        <w:tc>
          <w:tcPr>
            <w:tcW w:w="811" w:type="dxa"/>
            <w:tcBorders/>
            <w:vAlign w:val="center"/>
          </w:tcPr>
          <w:p>
            <w:pPr>
              <w:pStyle w:val="TableContents"/>
              <w:pBdr>
                <w:bottom w:val="single" w:sz="6"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9334" w:type="dxa"/>
            <w:tcBorders/>
            <w:vAlign w:val="center"/>
          </w:tcPr>
          <w:p>
            <w:pPr>
              <w:pStyle w:val="TableContents"/>
              <w:pBdr>
                <w:bottom w:val="single" w:sz="6"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 Description</w:t>
            </w:r>
          </w:p>
        </w:tc>
      </w:tr>
      <w:tr>
        <w:trPr/>
        <w:tc>
          <w:tcPr>
            <w:tcW w:w="811" w:type="dxa"/>
            <w:tcBorders/>
            <w:vAlign w:val="center"/>
          </w:tcPr>
          <w:p>
            <w:pPr>
              <w:pStyle w:val="TableContents"/>
              <w:bidi w:val="0"/>
              <w:spacing w:before="0" w:after="283"/>
              <w:jc w:val="left"/>
              <w:rPr>
                <w:sz w:val="20"/>
              </w:rPr>
            </w:pPr>
            <w:r>
              <w:rPr>
                <w:sz w:val="20"/>
              </w:rPr>
              <w:t>10.1*</w:t>
            </w:r>
          </w:p>
        </w:tc>
        <w:tc>
          <w:tcPr>
            <w:tcW w:w="60"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w:anchor="eh260778952_ex1001.htm">
              <w:r>
                <w:rPr>
                  <w:rStyle w:val="InternetLink"/>
                  <w:sz w:val="20"/>
                </w:rPr>
                <w:t>Equity Commitment Letter, dated as of May 14, 2026, by and between the Company and MJ Topco, LLC</w:t>
              </w:r>
            </w:hyperlink>
          </w:p>
        </w:tc>
      </w:tr>
      <w:tr>
        <w:trPr/>
        <w:tc>
          <w:tcPr>
            <w:tcW w:w="811" w:type="dxa"/>
            <w:tcBorders/>
            <w:vAlign w:val="center"/>
          </w:tcPr>
          <w:p>
            <w:pPr>
              <w:pStyle w:val="TableContents"/>
              <w:bidi w:val="0"/>
              <w:spacing w:before="0" w:after="283"/>
              <w:jc w:val="left"/>
              <w:rPr>
                <w:sz w:val="20"/>
              </w:rPr>
            </w:pPr>
            <w:r>
              <w:rPr>
                <w:sz w:val="20"/>
              </w:rPr>
              <w:t>10.2*</w:t>
            </w:r>
          </w:p>
        </w:tc>
        <w:tc>
          <w:tcPr>
            <w:tcW w:w="60"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w:anchor="eh260778952_ex1002.htm">
              <w:r>
                <w:rPr>
                  <w:rStyle w:val="InternetLink"/>
                  <w:sz w:val="20"/>
                </w:rPr>
                <w:t>Equity Purchase and Distribution Agreement, dated as of May 14, 2026, by and among G-III Leather Fashions, Inc., MJ Topco, LLC and MJ Buyer Parent, LLC, and, solely for specified sections, G-III Apparel Group, Ltd. and WH Borrower, LLC</w:t>
              </w:r>
            </w:hyperlink>
          </w:p>
        </w:tc>
      </w:tr>
      <w:tr>
        <w:trPr/>
        <w:tc>
          <w:tcPr>
            <w:tcW w:w="811" w:type="dxa"/>
            <w:tcBorders/>
            <w:vAlign w:val="center"/>
          </w:tcPr>
          <w:p>
            <w:pPr>
              <w:pStyle w:val="TableContents"/>
              <w:bidi w:val="0"/>
              <w:spacing w:before="0" w:after="283"/>
              <w:jc w:val="left"/>
              <w:rPr>
                <w:sz w:val="20"/>
              </w:rPr>
            </w:pPr>
            <w:r>
              <w:rPr>
                <w:sz w:val="20"/>
              </w:rPr>
              <w:t>10.3*</w:t>
            </w:r>
          </w:p>
        </w:tc>
        <w:tc>
          <w:tcPr>
            <w:tcW w:w="60"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w:anchor="eh260778952_ex1003.htm">
              <w:r>
                <w:rPr>
                  <w:rStyle w:val="InternetLink"/>
                  <w:sz w:val="20"/>
                </w:rPr>
                <w:t>Form of the Amended and Restated Operating Agreement of MJ Topco, LLC, dated as of May 14, 2026, by and among MJ Topco, LLC, MJWHP, LLC and G-III Investments, Inc.</w:t>
              </w:r>
            </w:hyperlink>
          </w:p>
        </w:tc>
      </w:tr>
      <w:tr>
        <w:trPr/>
        <w:tc>
          <w:tcPr>
            <w:tcW w:w="811" w:type="dxa"/>
            <w:tcBorders/>
            <w:vAlign w:val="center"/>
          </w:tcPr>
          <w:p>
            <w:pPr>
              <w:pStyle w:val="TableContents"/>
              <w:bidi w:val="0"/>
              <w:spacing w:before="0" w:after="283"/>
              <w:jc w:val="left"/>
              <w:rPr>
                <w:sz w:val="20"/>
              </w:rPr>
            </w:pPr>
            <w:r>
              <w:rPr>
                <w:sz w:val="20"/>
              </w:rPr>
              <w:t>99.1</w:t>
            </w:r>
          </w:p>
        </w:tc>
        <w:tc>
          <w:tcPr>
            <w:tcW w:w="60"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pPr>
            <w:hyperlink w:anchor="eh260778952_ex9901.htm">
              <w:r>
                <w:rPr>
                  <w:rStyle w:val="InternetLink"/>
                  <w:sz w:val="20"/>
                </w:rPr>
                <w:t>Press Release, dated May 14, 2026</w:t>
              </w:r>
            </w:hyperlink>
          </w:p>
        </w:tc>
      </w:tr>
      <w:tr>
        <w:trPr/>
        <w:tc>
          <w:tcPr>
            <w:tcW w:w="811"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9334"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10005" w:type="dxa"/>
            <w:tcBorders/>
            <w:vAlign w:val="center"/>
          </w:tcPr>
          <w:p>
            <w:pPr>
              <w:pStyle w:val="TableContents"/>
              <w:bidi w:val="0"/>
              <w:spacing w:before="0" w:after="283"/>
              <w:jc w:val="left"/>
              <w:rPr>
                <w:sz w:val="20"/>
              </w:rPr>
            </w:pPr>
            <w:r>
              <w:rPr>
                <w:sz w:val="20"/>
              </w:rPr>
              <w:t>Schedules and/or exhibits have been omitted pursuant to Item 601(a)(5) of Regulation S-K. The Company agrees to furnish supplementally a copy of any omitted schedules and/or exhibits to the SEC on a confidential basis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4704" w:type="dxa"/>
        <w:jc w:val="left"/>
        <w:tblInd w:w="0" w:type="dxa"/>
        <w:tblLayout w:type="fixed"/>
        <w:tblCellMar>
          <w:top w:w="0" w:type="dxa"/>
          <w:left w:w="0" w:type="dxa"/>
          <w:bottom w:w="0" w:type="dxa"/>
          <w:right w:w="0" w:type="dxa"/>
        </w:tblCellMar>
      </w:tblPr>
      <w:tblGrid>
        <w:gridCol w:w="1940"/>
        <w:gridCol w:w="667"/>
        <w:gridCol w:w="2022"/>
        <w:gridCol w:w="75"/>
      </w:tblGrid>
      <w:tr>
        <w:trPr/>
        <w:tc>
          <w:tcPr>
            <w:tcW w:w="1940"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202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202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Date: May 14, 2026</w:t>
            </w:r>
          </w:p>
        </w:tc>
        <w:tc>
          <w:tcPr>
            <w:tcW w:w="667" w:type="dxa"/>
            <w:tcBorders/>
            <w:vAlign w:val="center"/>
          </w:tcPr>
          <w:p>
            <w:pPr>
              <w:pStyle w:val="TableContents"/>
              <w:bidi w:val="0"/>
              <w:spacing w:before="0" w:after="283"/>
              <w:jc w:val="left"/>
              <w:rPr/>
            </w:pPr>
            <w:r>
              <w:rPr/>
              <w:t>By:</w:t>
            </w:r>
          </w:p>
        </w:tc>
        <w:tc>
          <w:tcPr>
            <w:tcW w:w="2022" w:type="dxa"/>
            <w:tcBorders>
              <w:bottom w:val="single" w:sz="8" w:space="0" w:color="000000"/>
            </w:tcBorders>
            <w:tcMar>
              <w:bottom w:w="28" w:type="dxa"/>
            </w:tcMar>
            <w:vAlign w:val="center"/>
          </w:tcPr>
          <w:p>
            <w:pPr>
              <w:pStyle w:val="TableContents"/>
              <w:bidi w:val="0"/>
              <w:spacing w:before="0" w:after="283"/>
              <w:jc w:val="left"/>
              <w:rPr/>
            </w:pPr>
            <w:r>
              <w:rPr/>
              <w:t>/s/ Neal S. Nackman</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Name:</w:t>
            </w:r>
          </w:p>
        </w:tc>
        <w:tc>
          <w:tcPr>
            <w:tcW w:w="20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S. Nackman</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Title:</w:t>
            </w:r>
          </w:p>
        </w:tc>
        <w:tc>
          <w:tcPr>
            <w:tcW w:w="20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bookmarkStart w:id="22" w:name="eh260778952_ex1001.htm"/>
      <w:bookmarkStart w:id="23" w:name="kseh260778952_ex1001"/>
      <w:bookmarkEnd w:id="22"/>
      <w:bookmarkEnd w:id="23"/>
      <w:r>
        <w:rPr>
          <w:rFonts w:ascii="Times New Roman;Times;Serif" w:hAnsi="Times New Roman;Times;Serif"/>
          <w:b/>
          <w:i w:val="false"/>
          <w:caps w:val="false"/>
          <w:smallCaps w:val="false"/>
          <w:sz w:val="20"/>
        </w:rPr>
        <w:t>EXHIBIT 10.1 </w:t>
      </w:r>
      <w:r>
        <w:br w:type="page"/>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w:t>
      </w:r>
    </w:p>
    <w:p>
      <w:pPr>
        <w:pStyle w:val="TextBody"/>
        <w:bidi w:val="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512 7th Ave</w:t>
      </w:r>
    </w:p>
    <w:p>
      <w:pPr>
        <w:pStyle w:val="TextBody"/>
        <w:bidi w:val="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New York, New York 10018</w:t>
      </w:r>
    </w:p>
    <w:p>
      <w:pPr>
        <w:pStyle w:val="TextBody"/>
        <w:bidi w:val="0"/>
        <w:spacing w:before="0" w:after="48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May 14, 2026</w:t>
      </w:r>
    </w:p>
    <w:p>
      <w:pPr>
        <w:pStyle w:val="TextBody"/>
        <w:bidi w:val="0"/>
        <w:spacing w:before="0" w:after="2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MJ Topco, LLC</w:t>
      </w:r>
      <w:r>
        <w:rPr>
          <w:rFonts w:ascii="Times New Roman;Times;Serif" w:hAnsi="Times New Roman;Times;Serif"/>
          <w:b w:val="false"/>
          <w:i w:val="false"/>
          <w:caps w:val="false"/>
          <w:smallCaps w:val="false"/>
          <w:color w:val="000000"/>
          <w:sz w:val="20"/>
          <w:shd w:fill="FFFF00" w:val="clear"/>
        </w:rPr>
        <w:br/>
      </w:r>
      <w:r>
        <w:rPr>
          <w:rFonts w:ascii="Times New Roman;Times;Serif" w:hAnsi="Times New Roman;Times;Serif"/>
          <w:b w:val="false"/>
          <w:i w:val="false"/>
          <w:caps w:val="false"/>
          <w:smallCaps w:val="false"/>
          <w:color w:val="000000"/>
          <w:sz w:val="20"/>
        </w:rPr>
        <w:t xml:space="preserve">c/o WHP Investments, LLC </w:t>
      </w:r>
      <w:r>
        <w:rPr>
          <w:rFonts w:ascii="Times New Roman;Times;Serif" w:hAnsi="Times New Roman;Times;Serif"/>
          <w:b w:val="false"/>
          <w:i w:val="false"/>
          <w:caps w:val="false"/>
          <w:smallCaps w:val="false"/>
          <w:color w:val="000000"/>
          <w:sz w:val="20"/>
          <w:shd w:fill="FFFF00" w:val="clear"/>
        </w:rPr>
        <w:br/>
      </w:r>
      <w:r>
        <w:rPr>
          <w:rFonts w:ascii="Times New Roman;Times;Serif" w:hAnsi="Times New Roman;Times;Serif"/>
          <w:b w:val="false"/>
          <w:i w:val="false"/>
          <w:caps w:val="false"/>
          <w:smallCaps w:val="false"/>
          <w:color w:val="000000"/>
          <w:sz w:val="20"/>
        </w:rPr>
        <w:t>530 Fifth Avenue, 12th Floor</w:t>
      </w:r>
      <w:r>
        <w:rPr>
          <w:rFonts w:ascii="Times New Roman;Times;Serif" w:hAnsi="Times New Roman;Times;Serif"/>
          <w:b w:val="false"/>
          <w:i w:val="false"/>
          <w:caps w:val="false"/>
          <w:smallCaps w:val="false"/>
          <w:color w:val="000000"/>
          <w:sz w:val="20"/>
          <w:shd w:fill="FFFF00" w:val="clear"/>
        </w:rPr>
        <w:br/>
      </w:r>
      <w:r>
        <w:rPr>
          <w:rFonts w:ascii="Times New Roman;Times;Serif" w:hAnsi="Times New Roman;Times;Serif"/>
          <w:b w:val="false"/>
          <w:i w:val="false"/>
          <w:caps w:val="false"/>
          <w:smallCaps w:val="false"/>
          <w:color w:val="000000"/>
          <w:sz w:val="20"/>
        </w:rPr>
        <w:t>New York, NY 10036</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Email</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Back-to-Back Commitment Letter</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(a) that certain Unit Purchase Agreement, dated as of May 14, 2026 (as amended, restated, supplemented or otherwise modified from time to time in accordance with its terms and the Interim Investors’ Agreement (as defined below),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and among (i) LVMH MJ Holdings Inc., a Delaware corporation (“</w:t>
      </w:r>
      <w:r>
        <w:rPr>
          <w:rFonts w:ascii="Times New Roman;Times;Serif" w:hAnsi="Times New Roman;Times;Serif"/>
          <w:b w:val="false"/>
          <w:i w:val="false"/>
          <w:caps w:val="false"/>
          <w:smallCaps w:val="false"/>
          <w:sz w:val="20"/>
          <w:u w:val="single"/>
        </w:rPr>
        <w:t>LVMH MJ Holdings</w:t>
      </w:r>
      <w:r>
        <w:rPr>
          <w:rFonts w:ascii="Times New Roman;Times;Serif" w:hAnsi="Times New Roman;Times;Serif"/>
          <w:b w:val="false"/>
          <w:i w:val="false"/>
          <w:caps w:val="false"/>
          <w:smallCaps w:val="false"/>
          <w:sz w:val="20"/>
        </w:rPr>
        <w:t>”), (ii) MJH Employee Aggregator LLC, a Delaware limited liability company (“</w:t>
      </w:r>
      <w:r>
        <w:rPr>
          <w:rFonts w:ascii="Times New Roman;Times;Serif" w:hAnsi="Times New Roman;Times;Serif"/>
          <w:b w:val="false"/>
          <w:i w:val="false"/>
          <w:caps w:val="false"/>
          <w:smallCaps w:val="false"/>
          <w:sz w:val="20"/>
          <w:u w:val="single"/>
        </w:rPr>
        <w:t>Aggregator</w:t>
      </w:r>
      <w:r>
        <w:rPr>
          <w:rFonts w:ascii="Times New Roman;Times;Serif" w:hAnsi="Times New Roman;Times;Serif"/>
          <w:b w:val="false"/>
          <w:i w:val="false"/>
          <w:caps w:val="false"/>
          <w:smallCaps w:val="false"/>
          <w:sz w:val="20"/>
        </w:rPr>
        <w:t>”), (iii) Marc Jacobs, an individual (“</w:t>
      </w:r>
      <w:r>
        <w:rPr>
          <w:rFonts w:ascii="Times New Roman;Times;Serif" w:hAnsi="Times New Roman;Times;Serif"/>
          <w:b w:val="false"/>
          <w:i w:val="false"/>
          <w:caps w:val="false"/>
          <w:smallCaps w:val="false"/>
          <w:sz w:val="20"/>
          <w:u w:val="single"/>
        </w:rPr>
        <w:t>Mr. Jacobs</w:t>
      </w:r>
      <w:r>
        <w:rPr>
          <w:rFonts w:ascii="Times New Roman;Times;Serif" w:hAnsi="Times New Roman;Times;Serif"/>
          <w:b w:val="false"/>
          <w:i w:val="false"/>
          <w:caps w:val="false"/>
          <w:smallCaps w:val="false"/>
          <w:sz w:val="20"/>
        </w:rPr>
        <w:t>”), (iv) Robert Duffy, an individual (“</w:t>
      </w:r>
      <w:r>
        <w:rPr>
          <w:rFonts w:ascii="Times New Roman;Times;Serif" w:hAnsi="Times New Roman;Times;Serif"/>
          <w:b w:val="false"/>
          <w:i w:val="false"/>
          <w:caps w:val="false"/>
          <w:smallCaps w:val="false"/>
          <w:sz w:val="20"/>
          <w:u w:val="single"/>
        </w:rPr>
        <w:t>Mr. Duffy</w:t>
      </w:r>
      <w:r>
        <w:rPr>
          <w:rFonts w:ascii="Times New Roman;Times;Serif" w:hAnsi="Times New Roman;Times;Serif"/>
          <w:b w:val="false"/>
          <w:i w:val="false"/>
          <w:caps w:val="false"/>
          <w:smallCaps w:val="false"/>
          <w:sz w:val="20"/>
        </w:rPr>
        <w:t>” and together with LVMH MJ Holdings, Aggregator and Mr. Jacobs, each a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collectively,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(v) LVMH MJ Holdings, in its capacity as a representative of Sellers (the “</w:t>
      </w:r>
      <w:r>
        <w:rPr>
          <w:rFonts w:ascii="Times New Roman;Times;Serif" w:hAnsi="Times New Roman;Times;Serif"/>
          <w:b w:val="false"/>
          <w:i w:val="false"/>
          <w:caps w:val="false"/>
          <w:smallCaps w:val="false"/>
          <w:sz w:val="20"/>
          <w:u w:val="single"/>
        </w:rPr>
        <w:t>Sellers’ Representative</w:t>
      </w:r>
      <w:r>
        <w:rPr>
          <w:rFonts w:ascii="Times New Roman;Times;Serif" w:hAnsi="Times New Roman;Times;Serif"/>
          <w:b w:val="false"/>
          <w:i w:val="false"/>
          <w:caps w:val="false"/>
          <w:smallCaps w:val="false"/>
          <w:sz w:val="20"/>
        </w:rPr>
        <w:t>”), (vi) Majestic AcqCo, LLC, a Delaware limited liability company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(vii) solely for the purposes of Section 11.11 of the Purchase Agreement, LVMH Moet Hennessy Louis Vuitton Inc., a Delaware corporation (“</w:t>
      </w:r>
      <w:r>
        <w:rPr>
          <w:rFonts w:ascii="Times New Roman;Times;Serif" w:hAnsi="Times New Roman;Times;Serif"/>
          <w:b w:val="false"/>
          <w:i w:val="false"/>
          <w:caps w:val="false"/>
          <w:smallCaps w:val="false"/>
          <w:sz w:val="20"/>
          <w:u w:val="single"/>
        </w:rPr>
        <w:t>Seller Parent</w:t>
      </w:r>
      <w:r>
        <w:rPr>
          <w:rFonts w:ascii="Times New Roman;Times;Serif" w:hAnsi="Times New Roman;Times;Serif"/>
          <w:b w:val="false"/>
          <w:i w:val="false"/>
          <w:caps w:val="false"/>
          <w:smallCaps w:val="false"/>
          <w:sz w:val="20"/>
        </w:rPr>
        <w:t>”) and (viii) solely for purposes of Section 11.10 of the Purchase Agreement, WH Borrower, LLC, a Delaware limited liability company (the “</w:t>
      </w:r>
      <w:r>
        <w:rPr>
          <w:rFonts w:ascii="Times New Roman;Times;Serif" w:hAnsi="Times New Roman;Times;Serif"/>
          <w:b w:val="false"/>
          <w:i w:val="false"/>
          <w:caps w:val="false"/>
          <w:smallCaps w:val="false"/>
          <w:sz w:val="20"/>
          <w:u w:val="single"/>
        </w:rPr>
        <w:t>Parent Guarantor</w:t>
      </w:r>
      <w:r>
        <w:rPr>
          <w:rFonts w:ascii="Times New Roman;Times;Serif" w:hAnsi="Times New Roman;Times;Serif"/>
          <w:b w:val="false"/>
          <w:i w:val="false"/>
          <w:caps w:val="false"/>
          <w:smallCaps w:val="false"/>
          <w:sz w:val="20"/>
        </w:rPr>
        <w:t xml:space="preserve">”), pursuant to which, among other things, the Parent Guarantor has guaranteed the payment obligations of Purchaser set forth therein pursuant to the Purchaser Parent Guaranty, (b) that certain 2026-2 Incremental Commitment Letter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dated as of the date hereof, by and among Morgan Stanley Senior Funding, Inc., the Additional Commitment Parties signatory thereto (together with Morgan Stanley Senior Funding, Inc., the “</w:t>
      </w:r>
      <w:r>
        <w:rPr>
          <w:rFonts w:ascii="Times New Roman;Times;Serif" w:hAnsi="Times New Roman;Times;Serif"/>
          <w:b w:val="false"/>
          <w:i w:val="false"/>
          <w:caps w:val="false"/>
          <w:smallCaps w:val="false"/>
          <w:sz w:val="20"/>
          <w:u w:val="single"/>
        </w:rPr>
        <w:t>Debt Financing Sources</w:t>
      </w:r>
      <w:r>
        <w:rPr>
          <w:rFonts w:ascii="Times New Roman;Times;Serif" w:hAnsi="Times New Roman;Times;Serif"/>
          <w:b w:val="false"/>
          <w:i w:val="false"/>
          <w:caps w:val="false"/>
          <w:smallCaps w:val="false"/>
          <w:sz w:val="20"/>
        </w:rPr>
        <w:t xml:space="preserve">”) and Parent Guarantor, as the borrower thereunder, (c) that certain Equity Commitment Letter, dated as of the date hereof,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WHP Equity Commitment Letter</w:t>
      </w:r>
      <w:r>
        <w:rPr>
          <w:rFonts w:ascii="Times New Roman;Times;Serif" w:hAnsi="Times New Roman;Times;Serif"/>
          <w:b w:val="false"/>
          <w:i w:val="false"/>
          <w:caps w:val="false"/>
          <w:smallCaps w:val="false"/>
          <w:sz w:val="20"/>
        </w:rPr>
        <w:t>”), by and between Oaktree Special Situations Fund II AIF Holdings (Delaware), L.P. a Delaware limited partnership, Oaktree Huntington Investment Fund II AIF (Delaware), L.P., a Delaware limited partnership and Oaktree Star Investment Fund II AIF (Delaware), L.P., a Delaware limited partnership (collectively,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and Purchaser, pursuant to which the Sponsor is committing to contribute (indirectly) to Purchaser, on the Closing Date, an aggregate amount set forth therein (the “</w:t>
      </w:r>
      <w:r>
        <w:rPr>
          <w:rFonts w:ascii="Times New Roman;Times;Serif" w:hAnsi="Times New Roman;Times;Serif"/>
          <w:b w:val="false"/>
          <w:i w:val="false"/>
          <w:caps w:val="false"/>
          <w:smallCaps w:val="false"/>
          <w:sz w:val="20"/>
          <w:u w:val="single"/>
        </w:rPr>
        <w:t>Sponsor Contribution Amount</w:t>
      </w:r>
      <w:r>
        <w:rPr>
          <w:rFonts w:ascii="Times New Roman;Times;Serif" w:hAnsi="Times New Roman;Times;Serif"/>
          <w:b w:val="false"/>
          <w:i w:val="false"/>
          <w:caps w:val="false"/>
          <w:smallCaps w:val="false"/>
          <w:sz w:val="20"/>
        </w:rPr>
        <w:t>” and the commitment to fund the Sponsor Contribution Amount, the “</w:t>
      </w:r>
      <w:r>
        <w:rPr>
          <w:rFonts w:ascii="Times New Roman;Times;Serif" w:hAnsi="Times New Roman;Times;Serif"/>
          <w:b w:val="false"/>
          <w:i w:val="false"/>
          <w:caps w:val="false"/>
          <w:smallCaps w:val="false"/>
          <w:sz w:val="20"/>
          <w:u w:val="single"/>
        </w:rPr>
        <w:t>WHP Equity Commitment</w:t>
      </w:r>
      <w:r>
        <w:rPr>
          <w:rFonts w:ascii="Times New Roman;Times;Serif" w:hAnsi="Times New Roman;Times;Serif"/>
          <w:b w:val="false"/>
          <w:i w:val="false"/>
          <w:caps w:val="false"/>
          <w:smallCaps w:val="false"/>
          <w:sz w:val="20"/>
        </w:rPr>
        <w:t>”), and (d) that certain Interim Investors’ Agreement, dated as of the date hereof (as amended, restated, supplemented or otherwise modified from time to time in accordance with its terms, the “</w:t>
      </w:r>
      <w:r>
        <w:rPr>
          <w:rFonts w:ascii="Times New Roman;Times;Serif" w:hAnsi="Times New Roman;Times;Serif"/>
          <w:b w:val="false"/>
          <w:i w:val="false"/>
          <w:caps w:val="false"/>
          <w:smallCaps w:val="false"/>
          <w:sz w:val="20"/>
          <w:u w:val="single"/>
        </w:rPr>
        <w:t>Interim Investors’ Agreement</w:t>
      </w:r>
      <w:r>
        <w:rPr>
          <w:rFonts w:ascii="Times New Roman;Times;Serif" w:hAnsi="Times New Roman;Times;Serif"/>
          <w:b w:val="false"/>
          <w:i w:val="false"/>
          <w:caps w:val="false"/>
          <w:smallCaps w:val="false"/>
          <w:sz w:val="20"/>
        </w:rPr>
        <w:t>”), by and among MJ Topco, LLC, a Delaware limited liability company (“</w:t>
      </w:r>
      <w:r>
        <w:rPr>
          <w:rFonts w:ascii="Times New Roman;Times;Serif" w:hAnsi="Times New Roman;Times;Serif"/>
          <w:b w:val="false"/>
          <w:i w:val="false"/>
          <w:caps w:val="false"/>
          <w:smallCaps w:val="false"/>
          <w:sz w:val="20"/>
          <w:u w:val="single"/>
        </w:rPr>
        <w:t>IPCo</w:t>
      </w:r>
      <w:r>
        <w:rPr>
          <w:rFonts w:ascii="Times New Roman;Times;Serif" w:hAnsi="Times New Roman;Times;Serif"/>
          <w:b w:val="false"/>
          <w:i w:val="false"/>
          <w:caps w:val="false"/>
          <w:smallCaps w:val="false"/>
          <w:sz w:val="20"/>
        </w:rPr>
        <w:t>”), Purchaser, MJWHP Member, LLC,</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 and Affiliate of IPCo (the “</w:t>
      </w:r>
      <w:r>
        <w:rPr>
          <w:rFonts w:ascii="Times New Roman;Times;Serif" w:hAnsi="Times New Roman;Times;Serif"/>
          <w:b w:val="false"/>
          <w:i w:val="false"/>
          <w:caps w:val="false"/>
          <w:smallCaps w:val="false"/>
          <w:sz w:val="20"/>
          <w:u w:val="single"/>
        </w:rPr>
        <w:t>WHP Member</w:t>
      </w:r>
      <w:r>
        <w:rPr>
          <w:rFonts w:ascii="Times New Roman;Times;Serif" w:hAnsi="Times New Roman;Times;Serif"/>
          <w:b w:val="false"/>
          <w:i w:val="false"/>
          <w:caps w:val="false"/>
          <w:smallCaps w:val="false"/>
          <w:sz w:val="20"/>
        </w:rPr>
        <w:t>”), Parent Guarantor and the Indirect Committing Party. Unless the context otherwise requires or as otherwise specified herein, capitalized terms used but not defined herein have the respective meanings ascribed to them in the Purchase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sets forth certain commitments of the undersigned (the “</w:t>
      </w:r>
      <w:r>
        <w:rPr>
          <w:rFonts w:ascii="Times New Roman;Times;Serif" w:hAnsi="Times New Roman;Times;Serif"/>
          <w:b w:val="false"/>
          <w:i w:val="false"/>
          <w:caps w:val="false"/>
          <w:smallCaps w:val="false"/>
          <w:sz w:val="20"/>
          <w:u w:val="single"/>
        </w:rPr>
        <w:t>Indirect Committing Party</w:t>
      </w:r>
      <w:r>
        <w:rPr>
          <w:rFonts w:ascii="Times New Roman;Times;Serif" w:hAnsi="Times New Roman;Times;Serif"/>
          <w:b w:val="false"/>
          <w:i w:val="false"/>
          <w:caps w:val="false"/>
          <w:smallCaps w:val="false"/>
          <w:sz w:val="20"/>
        </w:rPr>
        <w:t>”) to IPCo.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Funding Commitments</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contained herein and in the Interim Investors’ Agreement, the Indirect Committing Party hereby commits to contribute, directly or indirectly, to IPCo up to an aggregate of $425,000,000 (such amount, the “</w:t>
      </w:r>
      <w:r>
        <w:rPr>
          <w:rFonts w:ascii="Times New Roman;Times;Serif" w:hAnsi="Times New Roman;Times;Serif"/>
          <w:b w:val="false"/>
          <w:i w:val="false"/>
          <w:caps w:val="false"/>
          <w:smallCaps w:val="false"/>
          <w:sz w:val="20"/>
          <w:u w:val="single"/>
        </w:rPr>
        <w:t>Indirect Contribution Amount</w:t>
      </w:r>
      <w:r>
        <w:rPr>
          <w:rFonts w:ascii="Times New Roman;Times;Serif" w:hAnsi="Times New Roman;Times;Serif"/>
          <w:b w:val="false"/>
          <w:i w:val="false"/>
          <w:caps w:val="false"/>
          <w:smallCaps w:val="false"/>
          <w:sz w:val="20"/>
        </w:rPr>
        <w:t>” and the commitment to fund the Indirect Contribution Amount, the “</w:t>
      </w:r>
      <w:r>
        <w:rPr>
          <w:rFonts w:ascii="Times New Roman;Times;Serif" w:hAnsi="Times New Roman;Times;Serif"/>
          <w:b w:val="false"/>
          <w:i w:val="false"/>
          <w:caps w:val="false"/>
          <w:smallCaps w:val="false"/>
          <w:sz w:val="20"/>
          <w:u w:val="single"/>
        </w:rPr>
        <w:t>G-III Commitment</w:t>
      </w:r>
      <w:r>
        <w:rPr>
          <w:rFonts w:ascii="Times New Roman;Times;Serif" w:hAnsi="Times New Roman;Times;Serif"/>
          <w:b w:val="false"/>
          <w:i w:val="false"/>
          <w:caps w:val="false"/>
          <w:smallCaps w:val="false"/>
          <w:sz w:val="20"/>
        </w:rPr>
        <w:t xml:space="preserve">”) in exchange for 50% of the outstanding Units of IPCo, consisting of not less than a number of Units of IPCo equal to the result of (x) the Indirect Contribution Amount,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(y) $1.00 per Unit, which Indirect Contribution Amount shall (i) directly or indirectly (including through an Affiliate thereof) be immediately contributed by IPCo to Majestic Parent, LLC, a Delaware limited liability company, to Purchaser in respect of the amounts payable by Purchaser at Closing pursuant to and in accordance with the Purchase Agreement, (ii) reduce the actual amount required to be contributed by the Debt Financing Sources under the Debt Commitment Letter, and (iii) in any event, equal (and not exceed) the amount paid by the WHP Member to IPCo at Closing (such that each of the Indirect Committing Party and the WHP Member’s respective total payment at Closing in respect of amounts paid to the Sellers shall not, in each case, exceed the amount of the Indirect Contribution Amount). Each of the G-III Commitment, the Debt Financing and the WHP Equity Commitment will be used at the Closing solely for the purpose of funding, and to the extent necessary to fund, all amounts payable by Purchaser at the Closing pursuant to and in accordance with the Purchase Agreement and for each of the Indirect Committing Party and the WHP Member or their respective Affiliates to pay (or cause to be paid) the Pro Rata Percentage fees and expenses of Purchaser (and IPCo, as applicable) contemplated thereby (as contemplated by the Interim Investors’ Agreement). The Units to be received by the Indirect Committing Party in accordance with clauses (x) and (y) above shall equal the number and class of Common Units received by the WHP Member and shall be issued at the same per-Unit price.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and conditions contained herein and in the Interim Investors’ Agreement, as an alternative to (and not in addition to) funding all or any portion of the Indirect Contribution Amount, in the event that (i) the Purchase Agreement has been validly terminated, (ii) Parent Guarantor becomes obligated to pay any portion of the Guaranteed Obligations (as defined in the Purchase Agreement) in accordance with the terms and conditions of the Purchaser Parent Guaranty, and (iii) the WHP Member pays its Pro Rata Percentage (as defined in the Interim Investors’ Agreement) of the amount of the Guaranteed Obligations prior to or substantially concurrently with the payment of the Damages Contribution Amount by the Indirect Committing Party, then the Indirect Committing Party hereby commits to promptly pay its Pro Rata Percentage of (A) any Damages payable by Purchaser to Sellers pursuant to a final and non-appealable order or judgment by a court of competent jurisdiction finding the existence of a breach by Purchaser of any of its obligations under the Purchase Agreement and the award of</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damages in connection therewith (a “</w:t>
      </w:r>
      <w:r>
        <w:rPr>
          <w:rFonts w:ascii="Times New Roman;Times;Serif" w:hAnsi="Times New Roman;Times;Serif"/>
          <w:b w:val="false"/>
          <w:i w:val="false"/>
          <w:caps w:val="false"/>
          <w:smallCaps w:val="false"/>
          <w:sz w:val="20"/>
          <w:u w:val="single"/>
        </w:rPr>
        <w:t>Damages Judgment</w:t>
      </w:r>
      <w:r>
        <w:rPr>
          <w:rFonts w:ascii="Times New Roman;Times;Serif" w:hAnsi="Times New Roman;Times;Serif"/>
          <w:b w:val="false"/>
          <w:i w:val="false"/>
          <w:caps w:val="false"/>
          <w:smallCaps w:val="false"/>
          <w:sz w:val="20"/>
        </w:rPr>
        <w:t>”) or (B) an amount in Damages, as agreed in writing between the Sellers’ Representative and Purchaser, to be paid by Purchaser in full and final settlement of any breach or alleged breach by Purchaser of any of its obligations under the Purchase Agreement (a “</w:t>
      </w:r>
      <w:r>
        <w:rPr>
          <w:rFonts w:ascii="Times New Roman;Times;Serif" w:hAnsi="Times New Roman;Times;Serif"/>
          <w:b w:val="false"/>
          <w:i w:val="false"/>
          <w:caps w:val="false"/>
          <w:smallCaps w:val="false"/>
          <w:sz w:val="20"/>
          <w:u w:val="single"/>
        </w:rPr>
        <w:t>Damages Settlement</w:t>
      </w:r>
      <w:r>
        <w:rPr>
          <w:rFonts w:ascii="Times New Roman;Times;Serif" w:hAnsi="Times New Roman;Times;Serif"/>
          <w:b w:val="false"/>
          <w:i w:val="false"/>
          <w:caps w:val="false"/>
          <w:smallCaps w:val="false"/>
          <w:sz w:val="20"/>
        </w:rPr>
        <w:t>”) (the amounts described in the foregoing clauses (A) and (B), the “</w:t>
      </w:r>
      <w:r>
        <w:rPr>
          <w:rFonts w:ascii="Times New Roman;Times;Serif" w:hAnsi="Times New Roman;Times;Serif"/>
          <w:b w:val="false"/>
          <w:i w:val="false"/>
          <w:caps w:val="false"/>
          <w:smallCaps w:val="false"/>
          <w:sz w:val="20"/>
          <w:u w:val="single"/>
        </w:rPr>
        <w:t>Damages Contribution Amount</w:t>
      </w:r>
      <w:r>
        <w:rPr>
          <w:rFonts w:ascii="Times New Roman;Times;Serif" w:hAnsi="Times New Roman;Times;Serif"/>
          <w:b w:val="false"/>
          <w:i w:val="false"/>
          <w:caps w:val="false"/>
          <w:smallCaps w:val="false"/>
          <w:sz w:val="20"/>
        </w:rPr>
        <w:t>” and the commitment to fund the Damages Contribution Amount, the “</w:t>
      </w:r>
      <w:r>
        <w:rPr>
          <w:rFonts w:ascii="Times New Roman;Times;Serif" w:hAnsi="Times New Roman;Times;Serif"/>
          <w:b w:val="false"/>
          <w:i w:val="false"/>
          <w:caps w:val="false"/>
          <w:smallCaps w:val="false"/>
          <w:sz w:val="20"/>
          <w:u w:val="single"/>
        </w:rPr>
        <w:t>G-III Damages Commitment</w:t>
      </w:r>
      <w:r>
        <w:rPr>
          <w:rFonts w:ascii="Times New Roman;Times;Serif" w:hAnsi="Times New Roman;Times;Serif"/>
          <w:b w:val="false"/>
          <w:i w:val="false"/>
          <w:caps w:val="false"/>
          <w:smallCaps w:val="false"/>
          <w:sz w:val="20"/>
        </w:rPr>
        <w:t>” and collectively with the G-III Commitment, the “</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xml:space="preserve">”), solely for the purpose of allowing the WHP Member to fund (or cause Purchaser to fund) such Damages Judgment or Damages Settlement, and to cause such funds to be used only for such purpose, which amount shall reduce the actual amount required to be paid by the WHP Member thereunder, directly or indirectly, on a dollar-for-dollar basis, consistent with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In all cases, the Damages Contribution Amount shall equal the Damages paid by the WHP Member or the Parent Guarantor in respect of the Guaranteed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no event shall the Damages Contribution Amount exceed the Indirect Contribution Amount.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and notwithstanding anything to the contrary herein or otherwise, in no event shall the Indirect Committing Party be required to make any payment under both clause (a) and clause (b) of this Section 1. In no event will the Indirect Committing Party be under any obligation under any circumstances to provide an aggregate amount of funds in excess of the amount of the Indirect Contribution Amount, including in respect of clauses (a) or (b) of this Section 1, as applicable.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Indirect Committing Party and IPCo acknowledge and agree that upon the actual funding by the Indirect Committing Party of the Indirect Contribution Amount (or any portion thereof) pursuant to and in accordance with Section 1(a) of this letter agreement and the Interim Investors’ Agreement, the commitment of the Debt Financing Sources under the Debt Commitment Letter shall be automatically and permanently reduced on a dollar-for-dollar basis by the amount so funded.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Conditions</w:t>
      </w:r>
      <w:r>
        <w:rPr>
          <w:rFonts w:ascii="Times New Roman;Times;Serif" w:hAnsi="Times New Roman;Times;Serif"/>
          <w:b w:val="false"/>
          <w:i w:val="false"/>
          <w:caps w:val="false"/>
          <w:smallCaps w:val="false"/>
          <w:sz w:val="20"/>
        </w:rPr>
        <w:t>. The Indirect Committing Party’s obligations under this letter agreement to fund or cause the funding of its Commitment shall be subject to, (a) with respect to the Indirect Contribution Amount, (i) the satisfaction or waiver by Purchaser (to the extent permitted by the Interim Investors’ Agreement) of all conditions precedent to Purchaser’s obligations to consummate the Closing set forth in Article VIII of the Purchase Agreement (other than any conditions that, by their nature, are to be satisfied at the Closing, but subject to the substantially concurrent satisfaction of such conditions at the Closing) and (ii) the prior or concurrent funding of a portion of the Sponsor Contribution Amount, the Debt Financing or such other funding of WHP Member (it being understood and agreed the amounts funded hereby shall equal and not exceed the Indirect Contribution Amount) equal to the Indirect Contribution Amount in accordance with the Interim Investors’ Agreement and concurrent consummation of the Closing in accordance with the terms of the Purchase Agreement; and, (b) with respect to the G-III Damages Commitment, subject to (A) either (x) an award for damages having actually been awarded to Sellers pursuant to a Damages Judgment or (y) Purchaser and Sellers (or Sellers’ Representative on their behalf) having agreed in writing upon a Damages Settlement, and (B) the prior or concurrent funding by the WHP Member or Parent Guarantor of its applicable portion of the Guaranteed Obligations in accordance with the terms and conditions of the Purchaser Parent Guaranty.</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Funding</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in this letter agreement and the Interim Investors’ Agreement, the Indirect Committing Party shall be obligated to fund the entire Indirect Contribution Amount on the Business Day immediately prior to the Closing Date, (the “</w:t>
      </w:r>
      <w:r>
        <w:rPr>
          <w:rFonts w:ascii="Times New Roman;Times;Serif" w:hAnsi="Times New Roman;Times;Serif"/>
          <w:b w:val="false"/>
          <w:i w:val="false"/>
          <w:caps w:val="false"/>
          <w:smallCaps w:val="false"/>
          <w:sz w:val="20"/>
          <w:u w:val="single"/>
        </w:rPr>
        <w:t>Funding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IPCo shall provide at least five (5) Business Days’ notice (email being sufficient) in advance of the anticipated Closing Date, into an account designated by IPCo to hold the funds of the Indirect Committing Party for the purpose set forth in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Funding Account</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the Closing is not consummated within ten (10) Business Days of the Funding Date, the Indirect Contribution Amount will be promptly returned to the Indirect Committing Party or its designee.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to any obligations of IPCo, the Parent Guarantor or the WHP Member set forth in this letter agreement or the Interim Investors’ Agreement, IPCo will keep the Indirect Committing Party reasonably informed of the status of the funding contemplated hereunder, including the status of the Closing.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Reduction of Indirect Contribution Amount</w:t>
      </w:r>
      <w:r>
        <w:rPr>
          <w:rFonts w:ascii="Times New Roman;Times;Serif" w:hAnsi="Times New Roman;Times;Serif"/>
          <w:b w:val="false"/>
          <w:i w:val="false"/>
          <w:caps w:val="false"/>
          <w:smallCaps w:val="false"/>
          <w:sz w:val="20"/>
        </w:rPr>
        <w:t xml:space="preserve">. In accordance with this letter agreement and the Interim Investors’ Agreement, the WHP Member and the Indirect Committing Party may agree to reduce the Indirect Contribution Amount in accordance with the Interim Investors’ Agreement if the total proceeds required to consummate the Closing is reduced;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reduction (i) will be made pro rata with the WHP Member in accordance with the Interim Investors’ Agreement (such that the Indirect Contribution Amount shall equal the amount funded by the WHP Member to IPCo at Closing) and (ii) shall automatically and permanently reduce the commitment of the Debt Financing Sources under the Debt Commitment Letter on a dollar-for-dollar basis by the Indirect Contribution Amount so reduced. If the Indirect Committing Party has previously funded the entire Indirect Contribution Amount into the Funding Account, IPCo shall cause the difference between the original Indirect Contribution Amount and the reduced Indirect Contribution Amount to be promptly (and in no event more than five (5) Business Days following the reduction of the total equity required to consummate the Closing) returned to the Indirect Committing Party together with any interest accrued thereon.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Enforceability; Specific Performance</w:t>
      </w:r>
      <w:r>
        <w:rPr>
          <w:rFonts w:ascii="Times New Roman;Times;Serif" w:hAnsi="Times New Roman;Times;Serif"/>
          <w:b w:val="false"/>
          <w:i w:val="false"/>
          <w:caps w:val="false"/>
          <w:smallCaps w:val="false"/>
          <w:sz w:val="20"/>
        </w:rPr>
        <w:t xml:space="preserve">. This letter agreement shall be binding on the Indirect Committing Party for the benefit of the WHP Member and IPCo and nothing set forth in this letter agreement shall (or shall be construed to) confer upon or give to any Person other than the WHP Member or IPCo any benefits, rights or remedies under or by reason of, or any rights to enforce, the obligations of the Indirect Committing Party hereunder or any provision of this letter agreement. The Indirect Committing Party hereby agrees that irreparable damage would occur in the event that any of the provisions of this letter agreement were not performed by it in accordance with the terms hereof or were otherwise breached and that the WHP Member shall be entitled to seek an injunction or injunctions to prevent breaches of the provisions hereof and to seek specific performance of the terms hereof, including causing the Indirect Committing Party to make the payments described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The Indirect Committing Party agrees that it will not oppose the granting of an injunction, specific performance and other equitable relief on the basis that an adequate remedy at law is available or that any award of specific performance is not an appropriate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remedy for any reason at law or in equity, and the WHP Member and IPCo shall not be required to provide any bond or other security in connection with any such injunction.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Each of the Indirect Committing Party, the WHP Member and IPCo represents and warrants to the other parties that: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all power and authority to execute, deliver and perform this letter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of this letter agreement has been duly and validly authorized and approved by all necessary action, and no other proceedings or actions on the part of such party or its equity holders are necessary therefor;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letter agreement has been duly and validly executed and delivered by it and constitutes a valid and legally binding obligation of it, enforceable against it in accordance with its terms, except insofar as enforceability may be limited by applicable bankruptcy, insolvency, reorganization, moratorium or similar requirement of law now or hereafter in effect affecting creditors’ rights generally, or by principles governing the availability of equitable remedies;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delivery and performance by it pursuant to this letter agreement does not and will not (i) violate its organizational documents, (ii) violate any applicable Law binding on it or its assets, or (iii) result in any violation of, or default (with or without notice or lapse of time or both) under, or give rise to a right of termination, cancellation or acceleration of any obligation or to the loss of any benefit under, any contract or agreement to which it is a party;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solely in the case of the Indirect Committing Party, it has and will have on the date on which it will be obligated to fund the entire Indirect Contribution Amount the financial capacity to pay and perform its obligations under this letter agreement, including to fund the Indirect Contribution Amount or the Damages Contribution Amount, in each case, if, as, and when payable in accordance with the terms of this letter agreement and the Interim Investors’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solely in the case of the Indirect Committing Party, the Indirect Contribution Amount is less than the maximum amount that it is permitted to invest in any one portfolio investment pursuant to the terms of its organizational or governing documents or otherwise; and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solely in the case of the WHP Member,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(Purchase Agreement) to this letter agreement contains a true, complete and correct copy of the duly executed and final Purchase Agreement, including any amendments thereto through the date 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Independent Investigation</w:t>
      </w:r>
      <w:r>
        <w:rPr>
          <w:rFonts w:ascii="Times New Roman;Times;Serif" w:hAnsi="Times New Roman;Times;Serif"/>
          <w:b w:val="false"/>
          <w:i w:val="false"/>
          <w:caps w:val="false"/>
          <w:smallCaps w:val="false"/>
          <w:sz w:val="20"/>
        </w:rPr>
        <w:t>. The Indirect Committing Party represents, warrants, acknowledges and agrees that it is an informed and sophisticated participant in the transactions contemplated hereby and has undertaken such investigation, and has been provided with and has evaluated such documents and information, as it has deemed necessary in connection with the execution, delivery and performance of this letter agreement. The Indirect Committing Party acknowledges that the Indirect Committing Party is relying on its own investigation and analysis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entering into this letter agreement and the transactions contemplated hereby, including payment of the Indirect Contribution Amount, and has consulted its own legal, tax, financial and accounting advisors to determine the merits and risks thereof. The Indirect Committing Party acknowledges that none of the Purchaser, IPCo or the WHP Member, nor any of their respective officers, directors, employees, Affiliates or advisors makes any representation or warranty (except for any such representations or warranties made by such party in this letter agreement, the Interim Investors’ Agreement or that certain Equity Purchase and Distribution Agreement, dated as of the date hereof, by and among G-III Buyer (as defined therein), IPCo, MJ Buyer Parent (as defined therein), and, for limited purposes, G-III Buyer Parent (as defined therein) and WHP Parent (as defined therein) (the “</w:t>
      </w:r>
      <w:r>
        <w:rPr>
          <w:rFonts w:ascii="Times New Roman;Times;Serif" w:hAnsi="Times New Roman;Times;Serif"/>
          <w:b w:val="false"/>
          <w:i w:val="false"/>
          <w:caps w:val="false"/>
          <w:smallCaps w:val="false"/>
          <w:sz w:val="20"/>
          <w:u w:val="single"/>
        </w:rPr>
        <w:t>Back-to-Back Agreement</w:t>
      </w:r>
      <w:r>
        <w:rPr>
          <w:rFonts w:ascii="Times New Roman;Times;Serif" w:hAnsi="Times New Roman;Times;Serif"/>
          <w:b w:val="false"/>
          <w:i w:val="false"/>
          <w:caps w:val="false"/>
          <w:smallCaps w:val="false"/>
          <w:sz w:val="20"/>
        </w:rPr>
        <w:t>”)) as to any oral or written materials prepared or presented by the WHP Member, its Affiliates or any of their advisors in connection with the transactions contemplated by the Purchase Agreement, including any projections, forecasts or return on investment illustrations prepared by the WHP Member, its Affiliates or any of its advisors (including to it being all-inclusive or to contain all information that may be desirable or required in order to properly evaluate (i) the obligations with respect to the Indirect Contribution Amount or (ii) the transactions contemplated hereby).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Amendment and Waiver; Entire Agreement</w:t>
      </w:r>
      <w:r>
        <w:rPr>
          <w:rFonts w:ascii="Times New Roman;Times;Serif" w:hAnsi="Times New Roman;Times;Serif"/>
          <w:b w:val="false"/>
          <w:i w:val="false"/>
          <w:caps w:val="false"/>
          <w:smallCaps w:val="false"/>
          <w:sz w:val="20"/>
        </w:rPr>
        <w:t xml:space="preserve">. This letter agreement may not be amended, and no provision hereof waived or modified, except by an instrument signed by each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amendment or waiver of any provision of this letter agreement that would (i) reduce (or would reasonably be expected to have the effect of reducing) the aggregate amount of the Indirect Contribution Amount (other than as expressly permitted herein and in accordance with the Interim Investors’ Agreement); (ii) adversely impair the funding of the Indirect Contribution Amount to IPCo; or (iii) adversely affect the rights of the Debt Financing Sources as third-party beneficiaries as granted pursuant to Section 15; shall require the prior written consent of the affected Debt Financing Source. This letter agreement and the other documents referenced herein constitute the entire agreement and supersede all prior agreements and understandings, both written and oral, among or between any of the parties hereto with respect to the subject matter hereof and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caps w:val="false"/>
          <w:smallCaps w:val="false"/>
          <w:sz w:val="20"/>
        </w:rPr>
        <w:t>Assignment</w:t>
      </w:r>
      <w:r>
        <w:rPr>
          <w:rFonts w:ascii="Times New Roman;Times;Serif" w:hAnsi="Times New Roman;Times;Serif"/>
          <w:b w:val="false"/>
          <w:i w:val="false"/>
          <w:caps w:val="false"/>
          <w:smallCaps w:val="false"/>
          <w:sz w:val="20"/>
        </w:rPr>
        <w:t xml:space="preserve">. Subject to the Interim Investors’ Agreement, the Indirect Committing Party shall be entitled to assign all or a portion of its obligations hereunder to one or more Affiliates that agree to assume the Indirect Committing Party’s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Indirect Committing Party shall remain obligated to perform its obligations hereunder to the extent not performed by such Person(s). Except as provided above, this letter agreement shall not be assignable without the prior written consent of each other party hereto, and any attempted assignment without such consent shall be null and void and of no force and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caps w:val="false"/>
          <w:smallCaps w:val="false"/>
          <w:sz w:val="20"/>
        </w:rPr>
        <w:t>Governing Law and Jurisdiction</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letter agreement, and all claims or causes of action (whether in contract or tort) that may be based upon, arise out of or relate to this letter agreement or the negotiation, execution or performance of this letter agreement (including any claim or cause of action based upon, arising out of or related to any representation or warranty made in or in connection with this letter agreement) will be governed by and construed in accordance with the internal laws of the State of Delaware applicable to agreements executed and performed entirely within such state, without giving effect to any choice or conflict of law provision or rule (whether of the State of</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or any other jurisdiction) that would cause the application of the laws of any jurisdiction other than the State of Delaware.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TO THIS LETTER AGREEMENT SUBMIT TO THE EXCLUSIVE JURISDICTION OF THE STATE COURTS LOCATED IN DELAWARE OR THE COURTS OF THE UNITED STATES LOCATED IN DELAWARE IN RESPECT OF THE INTERPRETATION AND ENFORCEMENT OF THE PROVISIONS OF THIS LETTER AGREEMENT AND BY THIS LETTER AGREEMENT WAIVE, AND AGREE NOT TO ASSERT, ANY DEFENSE IN ANY ACTION FOR THE INTERPRETATION OR ENFORCEMENT OF THIS LETTER AGREEMENT THAT THEY ARE NOT SUBJECT THERETO OR THAT SUCH ACTION MAY NOT BE BROUGHT OR IS NOT MAINTAINABLE IN SUCH COURTS OR THAT THIS LETTER AGREEMENT MAY NOT BE ENFORCED IN OR BY SUCH COURTS OR THAT THEIR PROPERTY IS EXEMPT OR IMMUNE FROM EXECUTION, THAT THE ACTION IS BROUGHT IN AN INCONVENIENT FORUM, OR THAT THE VENUE OF THE ACTION IS IMPROPER.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caps w:val="false"/>
          <w:smallCaps w:val="false"/>
          <w:sz w:val="20"/>
        </w:rPr>
        <w:t xml:space="preserve">Waiver of Jury Trial. </w:t>
      </w:r>
      <w:r>
        <w:rPr>
          <w:rFonts w:ascii="Times New Roman;Times;Serif" w:hAnsi="Times New Roman;Times;Serif"/>
          <w:b w:val="false"/>
          <w:i w:val="false"/>
          <w:caps w:val="false"/>
          <w:smallCaps w:val="false"/>
          <w:sz w:val="20"/>
        </w:rPr>
        <w:t xml:space="preserve">EACH PARTY HERETO HEREBY ACKNOWLEDGES AND AGREES THAT ANY CONTROVERSY WHICH MAY ARISE UNDER THIS LETTER AGREEMENT IS LIKELY TO INVOLVE COMPLICATED AND DIFFICULT ISSUES, AND THEREFORE EACH SUCH PARTY HEREBY IRREVOCABLY AND UNCONDITIONALLY WAIVES ANY RIGHT SUCH PARTY MAY HAVE TO A TRIAL BY JURY IN RESPECT OF ANY LITIGATION DIRECTLY OR INDIRECTLY ARISING OUT OF OR RELATING TO THIS LETTER AGREEMENT OR THE TRANSACTIONS CONTEMPLATED BY THIS LETTER AGREEMENT.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LETTER AGREEMENT BY, AMONG OTHER THINGS, THE MUTUAL WAIVERS AND CERTIFICATIONS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letter agreement, including the obligations of the Indirect Committing Party hereunder, will terminate automatically and immediately upon the earliest to occur of (a) the Parent Guarantor, WHP Member and/or any of their respective Affiliates (including IPCo, Majestic Parent, LLC or Purchaser) commencing any litigation, lawsuit or proceeding at law or equity against (i) the Indirect Committing Party or its Affiliates in connection with the Purchase Agreement or any of the transactions contemplated thereby (except for those arising out of (and permitted by) this letter agreement, the Interim Investors’ Agreement, the Back-to-Back Agreement and any confidentiality agreement or exclusivity agreement entered into by the WHP Member, or its Affiliates, on the one hand, and the Indirect Committing Party, and its Affiliates, on the other hand, in connection with the transactions contemplated by the Purchase Agreement; in each case, a “</w:t>
      </w:r>
      <w:r>
        <w:rPr>
          <w:rFonts w:ascii="Times New Roman;Times;Serif" w:hAnsi="Times New Roman;Times;Serif"/>
          <w:b w:val="false"/>
          <w:i w:val="false"/>
          <w:caps w:val="false"/>
          <w:smallCaps w:val="false"/>
          <w:sz w:val="20"/>
          <w:u w:val="single"/>
        </w:rPr>
        <w:t>Permitted Claim</w:t>
      </w:r>
      <w:r>
        <w:rPr>
          <w:rFonts w:ascii="Times New Roman;Times;Serif" w:hAnsi="Times New Roman;Times;Serif"/>
          <w:b w:val="false"/>
          <w:i w:val="false"/>
          <w:caps w:val="false"/>
          <w:smallCaps w:val="false"/>
          <w:sz w:val="20"/>
        </w:rPr>
        <w:t>”), or (ii) any Non-Recourse Party (as defined below) based on or in respect of this letter agreement, the Back-to-Back Agreement or the Interim Investors’ Agreement (except for Permitted Claims), (b) the Parent Guarantor, WHP Member and/or any of their respective Affiliates (including IPCo, Buyer Parent or Purchaser) or any other</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Person on its or their behalf, directly or indirectly, bringing any claim, in any litigation or other proceeding (including for equitable relief), against the Indirect Committing Party or any Non-Recourse Party that (i) the Indirect Committing Party’s liability under or in respect of this letter agreement is not limited to the amount of the Indirect Contribution Amount, or that the Damages Contribution Amount is not limited to fifty percent (50%) of any Damages Judgment or Damages Settlement, or that the limitation of any such liability is illegal, invalid or unenforceable in whole or in part, or (ii) asserts any theory of liability against the Indirect Committing Party or any Non-Recourse Party with respect to the Purchase Agreement, this letter agreement, the Interim Investors’ Agreement, the Back-to-Back Agreement, any agreement or instrument executed in connection herewith or therewith or any of the transactions contemplated hereby or thereby, except in the case of Permitted Claims and claims against the Indirect Committing Party by the WHP Member in accordance with the terms and conditions of this letter agreement and the Interim Investors’ Agreement, or (c) termination of the WHP Equity Commitment Letter in accordance with its terms. For the avoidance of doubt, IPCo’s obligations to return funds to the Indirect Committing Party pursuant to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shall survive any such termination until performed in full.</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Any term or provision of this letter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caps w:val="false"/>
          <w:smallCaps w:val="false"/>
          <w:sz w:val="20"/>
        </w:rPr>
        <w:t xml:space="preserve">No Recourse. </w:t>
      </w:r>
      <w:r>
        <w:rPr>
          <w:rFonts w:ascii="Times New Roman;Times;Serif" w:hAnsi="Times New Roman;Times;Serif"/>
          <w:b w:val="false"/>
          <w:i w:val="false"/>
          <w:caps w:val="false"/>
          <w:smallCaps w:val="false"/>
          <w:sz w:val="20"/>
        </w:rPr>
        <w:t>Notwithstanding anything that may be expressed or implied in this letter agreement, each party hereto, by its acceptance of the benefits of this letter agreement, covenants, agrees and acknowledges that no Person other than the Indirect Committing Party shall have any obligation hereunder and that no recourse hereunder or under any documents or instruments delivered in connection herewith shall be had against any former, current or future director, officer, employee, agent, representative, general or limited partner, manager, member, stockholder, Affiliate or assignee of the Indirect Committing Party (except the Indirect Committing Party) or any former, current or future director, officer, employee, agent, representative, general or limited partner, manager, member, stockholder, Affiliate or assignee of any of the foregoing (collectively, but excluding the Indirect Committing Party, the “</w:t>
      </w:r>
      <w:r>
        <w:rPr>
          <w:rFonts w:ascii="Times New Roman;Times;Serif" w:hAnsi="Times New Roman;Times;Serif"/>
          <w:b w:val="false"/>
          <w:i w:val="false"/>
          <w:caps w:val="false"/>
          <w:smallCaps w:val="false"/>
          <w:sz w:val="20"/>
          <w:u w:val="single"/>
        </w:rPr>
        <w:t>Non-Recourse Parties</w:t>
      </w:r>
      <w:r>
        <w:rPr>
          <w:rFonts w:ascii="Times New Roman;Times;Serif" w:hAnsi="Times New Roman;Times;Serif"/>
          <w:b w:val="false"/>
          <w:i w:val="false"/>
          <w:caps w:val="false"/>
          <w:smallCaps w:val="false"/>
          <w:sz w:val="20"/>
        </w:rPr>
        <w:t>”), whether by the enforcement of any assessment or by any suit, claim, action or proceeding, or by virtue of any statute, regulation or other applicable Law, it being expressly agreed and acknowledged that no personal liability whatsoever shall attach to, be imposed on or otherwise be incurred by any Non-Recourse Party, as such, for any obligations of the Indirect Committing Party under this letter agreement or any documents or instruments delivered in connection herewith or for any claim based on, in respect of, or by reason of such obligation or their creation, other than the Permitted Claims and any other action to enforce or claim permitted under any of this letter agreement, the Purchase Agreement, the WHP Equity Commitment Letter, the Interim Investors’ Agreement or the transactions contemplated hereby or thereby, against the Indirect Committing Party or any Non-Recourse Party. Notwithstanding the foregoing, except in respect of Permitted Claims, the WHP Member hereby covenants and agrees that it shall not directly or indirectly institute, and shall cause its Affiliates not to institute, any proceeding or bring any other claim solely against the Indirect Committing Party under this letter agreement or the Interim Investors’ Agreement. The provisions of this Section are intended to be for the benefit of, and enforceable by, the Non-Recourse Parties and each such Person shall be a third-party beneficiary of this Section.</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caps w:val="false"/>
          <w:smallCaps w:val="false"/>
          <w:sz w:val="20"/>
        </w:rPr>
        <w:t>No Third Party Beneficiaries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(i) the parties hereto hereby agree that their respective representations, warranties and covenants set forth herein are solely for the benefit of the other party hereto and its successors and permitted assigns, in accordance with and subject to the terms of this letter agreement, and (ii) nothing in this letter agreement, express or implied, is intended to, and does not, confer upon any Person other than the parties hereto and their respective successors and permitted assigns any rights or remedies hereunder or any rights under this letter agreement. Notwithstanding anything else contained herein, the Debt Financing Sources shall have rights as a third party beneficiary with respect to Sections 1(d), 8, 10, 11, 12, 14 and 15 of this letter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caps w:val="false"/>
          <w:smallCaps w:val="false"/>
          <w:sz w:val="20"/>
        </w:rPr>
        <w:t>Acknowledgement</w:t>
      </w:r>
      <w:r>
        <w:rPr>
          <w:rFonts w:ascii="Times New Roman;Times;Serif" w:hAnsi="Times New Roman;Times;Serif"/>
          <w:b w:val="false"/>
          <w:i w:val="false"/>
          <w:caps w:val="false"/>
          <w:smallCaps w:val="false"/>
          <w:sz w:val="20"/>
        </w:rPr>
        <w:t>. Each party hereto acknowledges and agrees that nothing in this letter agreement shall create a fiduciary duty of any party hereto or any of their respective Affiliates to any other party hereto or any of their respective equity holders or Affiliates.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following provisions shall be applied wherever appropriate herein: (a) “herein,” “hereby,” “hereunder,” “hereof” and other equivalent words shall refer to this letter agreement as an entirety and not solely to the particular portion of this letter agreement in which any such word is used; (b) all definitions set forth herein shall be deemed applicable whether the words defined are used herein in the singular or the plural; (c) wherever used herein, any pronoun or pronouns shall be deemed to include both the singular and plural and to cover all genders; and (d) the word “including” or any variation thereof shall mean including, without limitation.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This letter agreement may be executed in multiple counterparts (including by means of telecopied signature pages or electronic transmission in portable document format (pdf)), any one of which need not contain the signatures of more than one party, but all such counterparts taken together will constitute one and the same instrument.</w:t>
      </w:r>
    </w:p>
    <w:p>
      <w:pPr>
        <w:pStyle w:val="TextBody"/>
        <w:bidi w:val="0"/>
        <w:jc w:val="left"/>
        <w:rPr>
          <w:caps w:val="false"/>
          <w:smallCaps w:val="false"/>
        </w:rPr>
      </w:pPr>
      <w:r>
        <w:rPr>
          <w:caps w:val="false"/>
          <w:smallCaps w:val="false"/>
        </w:rPr>
        <w:t> </w:t>
      </w:r>
    </w:p>
    <w:p>
      <w:pPr>
        <w:pStyle w:val="TextBody"/>
        <w:bidi w:val="0"/>
        <w:spacing w:before="217" w:after="217"/>
        <w:ind w:left="217" w:right="217"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217" w:after="217"/>
        <w:ind w:left="217" w:right="217"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do not hesitate to contact me if you would like to discuss our commitment to this transaction.</w:t>
      </w:r>
    </w:p>
    <w:p>
      <w:pPr>
        <w:pStyle w:val="TextBody"/>
        <w:bidi w:val="0"/>
        <w:spacing w:before="0" w:after="0"/>
        <w:ind w:left="0" w:right="0" w:hanging="0"/>
        <w:jc w:val="left"/>
        <w:rPr>
          <w:caps w:val="false"/>
          <w:smallCaps w:val="false"/>
        </w:rPr>
      </w:pPr>
      <w:r>
        <w:rPr>
          <w:caps w:val="false"/>
          <w:smallCaps w:val="false"/>
        </w:rPr>
        <w:t> </w:t>
      </w:r>
    </w:p>
    <w:tbl>
      <w:tblPr>
        <w:tblW w:w="3570" w:type="dxa"/>
        <w:jc w:val="left"/>
        <w:tblInd w:w="0" w:type="dxa"/>
        <w:tblLayout w:type="fixed"/>
        <w:tblCellMar>
          <w:top w:w="0" w:type="dxa"/>
          <w:left w:w="0" w:type="dxa"/>
          <w:bottom w:w="0" w:type="dxa"/>
          <w:right w:w="0" w:type="dxa"/>
        </w:tblCellMar>
      </w:tblPr>
      <w:tblGrid>
        <w:gridCol w:w="75"/>
        <w:gridCol w:w="365"/>
        <w:gridCol w:w="650"/>
        <w:gridCol w:w="2405"/>
        <w:gridCol w:w="75"/>
      </w:tblGrid>
      <w:tr>
        <w:trPr/>
        <w:tc>
          <w:tcPr>
            <w:tcW w:w="75" w:type="dxa"/>
            <w:tcBorders/>
            <w:vAlign w:val="center"/>
          </w:tcPr>
          <w:p>
            <w:pPr>
              <w:pStyle w:val="TableContents"/>
              <w:bidi w:val="0"/>
              <w:spacing w:before="0" w:after="283"/>
              <w:jc w:val="left"/>
              <w:rPr/>
            </w:pPr>
            <w:r>
              <w:rPr/>
              <w:t> </w:t>
            </w:r>
          </w:p>
        </w:tc>
        <w:tc>
          <w:tcPr>
            <w:tcW w:w="3420" w:type="dxa"/>
            <w:gridSpan w:val="3"/>
            <w:tcBorders/>
            <w:vAlign w:val="center"/>
          </w:tcPr>
          <w:p>
            <w:pPr>
              <w:pStyle w:val="TableContents"/>
              <w:bidi w:val="0"/>
              <w:spacing w:before="0" w:after="283"/>
              <w:jc w:val="left"/>
              <w:rPr/>
            </w:pPr>
            <w:r>
              <w:rPr/>
              <w:t>Sincerely,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2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20" w:type="dxa"/>
            <w:gridSpan w:val="3"/>
            <w:tcBorders/>
            <w:vAlign w:val="center"/>
          </w:tcPr>
          <w:p>
            <w:pPr>
              <w:pStyle w:val="TableContents"/>
              <w:bidi w:val="0"/>
              <w:spacing w:before="0" w:after="283"/>
              <w:jc w:val="left"/>
              <w:rPr/>
            </w:pPr>
            <w:r>
              <w:rPr/>
              <w:t>G-III APPAREL GROUP,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55" w:type="dxa"/>
            <w:gridSpan w:val="2"/>
            <w:tcBorders>
              <w:bottom w:val="single" w:sz="8" w:space="0" w:color="000000"/>
            </w:tcBorders>
            <w:tcMar>
              <w:bottom w:w="28" w:type="dxa"/>
            </w:tcMar>
            <w:vAlign w:val="center"/>
          </w:tcPr>
          <w:p>
            <w:pPr>
              <w:pStyle w:val="TableContents"/>
              <w:bidi w:val="0"/>
              <w:spacing w:before="0" w:after="283"/>
              <w:jc w:val="left"/>
              <w:rPr/>
            </w:pPr>
            <w:r>
              <w:rPr/>
              <w:t>/s/ Jeffrey Goldfarb</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405" w:type="dxa"/>
            <w:tcBorders/>
            <w:vAlign w:val="center"/>
          </w:tcPr>
          <w:p>
            <w:pPr>
              <w:pStyle w:val="TableContents"/>
              <w:bidi w:val="0"/>
              <w:spacing w:before="0" w:after="283"/>
              <w:jc w:val="left"/>
              <w:rPr/>
            </w:pPr>
            <w:r>
              <w:rPr/>
              <w:t>Jeffrey Goldfarb</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405" w:type="dxa"/>
            <w:tcBorders/>
            <w:vAlign w:val="center"/>
          </w:tcPr>
          <w:p>
            <w:pPr>
              <w:pStyle w:val="TableContents"/>
              <w:bidi w:val="0"/>
              <w:spacing w:before="0" w:after="283"/>
              <w:jc w:val="left"/>
              <w:rPr/>
            </w:pPr>
            <w:r>
              <w:rPr/>
              <w:t>Executive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Back-to-Back Commitment Letter</w:t>
      </w:r>
      <w:r>
        <w:rPr>
          <w:rFonts w:ascii="Times New Roman;Times;Serif" w:hAnsi="Times New Roman;Times;Serif"/>
          <w:b w:val="false"/>
          <w:i w:val="false"/>
          <w:caps w:val="false"/>
          <w:smallCaps w:val="false"/>
          <w:sz w:val="20"/>
        </w:rPr>
        <w:t>]</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380"/>
        <w:gridCol w:w="650"/>
        <w:gridCol w:w="2285"/>
        <w:gridCol w:w="60"/>
        <w:gridCol w:w="75"/>
      </w:tblGrid>
      <w:tr>
        <w:trPr/>
        <w:tc>
          <w:tcPr>
            <w:tcW w:w="3315" w:type="dxa"/>
            <w:gridSpan w:val="3"/>
            <w:tcBorders/>
            <w:vAlign w:val="center"/>
          </w:tcPr>
          <w:p>
            <w:pPr>
              <w:pStyle w:val="TableContents"/>
              <w:bidi w:val="0"/>
              <w:spacing w:before="0" w:after="283"/>
              <w:jc w:val="left"/>
              <w:rPr/>
            </w:pPr>
            <w:r>
              <w:rPr/>
              <w:t>Agreed to and accepted: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1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15" w:type="dxa"/>
            <w:gridSpan w:val="3"/>
            <w:tcBorders/>
            <w:vAlign w:val="center"/>
          </w:tcPr>
          <w:p>
            <w:pPr>
              <w:pStyle w:val="TableContents"/>
              <w:bidi w:val="0"/>
              <w:spacing w:before="0" w:after="283"/>
              <w:jc w:val="left"/>
              <w:rPr/>
            </w:pPr>
            <w:r>
              <w:rPr/>
              <w:t>MJ Topco, LLC</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35" w:type="dxa"/>
            <w:gridSpan w:val="2"/>
            <w:tcBorders>
              <w:bottom w:val="single" w:sz="8" w:space="0" w:color="000000"/>
            </w:tcBorders>
            <w:tcMar>
              <w:bottom w:w="28" w:type="dxa"/>
            </w:tcMar>
            <w:vAlign w:val="center"/>
          </w:tcPr>
          <w:p>
            <w:pPr>
              <w:pStyle w:val="TableContents"/>
              <w:bidi w:val="0"/>
              <w:spacing w:before="0" w:after="283"/>
              <w:jc w:val="left"/>
              <w:rPr/>
            </w:pPr>
            <w:r>
              <w:rPr/>
              <w:t>/s/ Yehuda Shmidman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Yehuda Shmidman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Back-to-Back Commitment Letter</w:t>
      </w:r>
      <w:r>
        <w:rPr>
          <w:rFonts w:ascii="Times New Roman;Times;Serif" w:hAnsi="Times New Roman;Times;Serif"/>
          <w:b w:val="false"/>
          <w:i w:val="false"/>
          <w:caps w:val="false"/>
          <w:smallCaps w:val="false"/>
          <w:sz w:val="20"/>
        </w:rPr>
        <w:t>]</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Debt Commitment Letter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 WHP Equity Commitment Letter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 – Purchase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0"/>
        </w:rPr>
      </w:pPr>
      <w:bookmarkStart w:id="24" w:name="eh260778952_ex1002.htm"/>
      <w:bookmarkStart w:id="25" w:name="kseh260778952_ex1002"/>
      <w:bookmarkEnd w:id="24"/>
      <w:bookmarkEnd w:id="25"/>
      <w:r>
        <w:rPr>
          <w:rFonts w:ascii="Times New Roman;Times;Serif" w:hAnsi="Times New Roman;Times;Serif"/>
          <w:b/>
          <w:i w:val="false"/>
          <w:caps w:val="false"/>
          <w:smallCaps w:val="false"/>
          <w:sz w:val="20"/>
        </w:rPr>
        <w:t>EXHIBIT 10.2</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PURCHASE AND DISTRIBUTION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PURCHASE AND DISTRIBUTION AGREEMENT, dated as of May 14, 2026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by and among G-III Leather Fashions, Inc., a New York corporation (</w:t>
      </w:r>
      <w:r>
        <w:rPr>
          <w:rFonts w:ascii="Times New Roman;Times;Serif" w:hAnsi="Times New Roman;Times;Serif"/>
          <w:b/>
          <w:i w:val="false"/>
          <w:caps w:val="false"/>
          <w:smallCaps w:val="false"/>
          <w:sz w:val="20"/>
          <w:u w:val="single"/>
        </w:rPr>
        <w:t>G-III Buyer</w:t>
      </w:r>
      <w:r>
        <w:rPr>
          <w:rFonts w:ascii="Times New Roman;Times;Serif" w:hAnsi="Times New Roman;Times;Serif"/>
          <w:b w:val="false"/>
          <w:i w:val="false"/>
          <w:caps w:val="false"/>
          <w:smallCaps w:val="false"/>
          <w:sz w:val="20"/>
        </w:rPr>
        <w:t>), MJ Topco, LLC, a Delaware limited liability company (</w:t>
      </w:r>
      <w:r>
        <w:rPr>
          <w:rFonts w:ascii="Times New Roman;Times;Serif" w:hAnsi="Times New Roman;Times;Serif"/>
          <w:b/>
          <w:i w:val="false"/>
          <w:caps w:val="false"/>
          <w:smallCaps w:val="false"/>
          <w:sz w:val="20"/>
          <w:u w:val="single"/>
        </w:rPr>
        <w:t>Majestic IPCo</w:t>
      </w:r>
      <w:r>
        <w:rPr>
          <w:rFonts w:ascii="Times New Roman;Times;Serif" w:hAnsi="Times New Roman;Times;Serif"/>
          <w:b w:val="false"/>
          <w:i w:val="false"/>
          <w:caps w:val="false"/>
          <w:smallCaps w:val="false"/>
          <w:sz w:val="20"/>
        </w:rPr>
        <w:t>), Majestic Parent, LLC, a Delaware limited liability company (</w:t>
      </w:r>
      <w:r>
        <w:rPr>
          <w:rFonts w:ascii="Times New Roman;Times;Serif" w:hAnsi="Times New Roman;Times;Serif"/>
          <w:b/>
          <w:i w:val="false"/>
          <w:caps w:val="false"/>
          <w:smallCaps w:val="false"/>
          <w:sz w:val="20"/>
          <w:u w:val="single"/>
        </w:rPr>
        <w:t>MJ Buyer Parent</w:t>
      </w:r>
      <w:r>
        <w:rPr>
          <w:rFonts w:ascii="Times New Roman;Times;Serif" w:hAnsi="Times New Roman;Times;Serif"/>
          <w:b w:val="false"/>
          <w:i w:val="false"/>
          <w:caps w:val="false"/>
          <w:smallCaps w:val="false"/>
          <w:sz w:val="20"/>
        </w:rPr>
        <w:t xml:space="preserve">), and (x) solely for purposes of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G-III Apparel Group, Ltd., a Delaware corporation (</w:t>
      </w:r>
      <w:r>
        <w:rPr>
          <w:rFonts w:ascii="Times New Roman;Times;Serif" w:hAnsi="Times New Roman;Times;Serif"/>
          <w:b/>
          <w:i w:val="false"/>
          <w:caps w:val="false"/>
          <w:smallCaps w:val="false"/>
          <w:sz w:val="20"/>
          <w:u w:val="single"/>
        </w:rPr>
        <w:t>G-III Buyer Parent</w:t>
      </w:r>
      <w:r>
        <w:rPr>
          <w:rFonts w:ascii="Times New Roman;Times;Serif" w:hAnsi="Times New Roman;Times;Serif"/>
          <w:b w:val="false"/>
          <w:i w:val="false"/>
          <w:caps w:val="false"/>
          <w:smallCaps w:val="false"/>
          <w:sz w:val="20"/>
        </w:rPr>
        <w:t xml:space="preserve">) and (y) solely for purposes of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WH Borrower, LLC, a Delaware limited liability company (</w:t>
      </w:r>
      <w:r>
        <w:rPr>
          <w:rFonts w:ascii="Times New Roman;Times;Serif" w:hAnsi="Times New Roman;Times;Serif"/>
          <w:b/>
          <w:i w:val="false"/>
          <w:caps w:val="false"/>
          <w:smallCaps w:val="false"/>
          <w:sz w:val="20"/>
          <w:u w:val="single"/>
        </w:rPr>
        <w:t>WHP Parent</w:t>
      </w:r>
      <w:r>
        <w:rPr>
          <w:rFonts w:ascii="Times New Roman;Times;Serif" w:hAnsi="Times New Roman;Times;Serif"/>
          <w:b w:val="false"/>
          <w:i w:val="false"/>
          <w:caps w:val="false"/>
          <w:smallCaps w:val="false"/>
          <w:sz w:val="20"/>
        </w:rPr>
        <w:t>). Each of Majestic IPCo, MJ Buyer Parent and G-III Buyer are sometimes individually referenced herein as a </w:t>
      </w:r>
      <w:r>
        <w:rPr>
          <w:rFonts w:ascii="Times New Roman;Times;Serif" w:hAnsi="Times New Roman;Times;Serif"/>
          <w:b/>
          <w:i w:val="false"/>
          <w:caps w:val="false"/>
          <w:smallCaps w:val="false"/>
          <w:sz w:val="20"/>
          <w:u w:val="single"/>
        </w:rPr>
        <w:t>Party</w:t>
      </w:r>
      <w:r>
        <w:rPr>
          <w:rFonts w:ascii="Times New Roman;Times;Serif" w:hAnsi="Times New Roman;Times;Serif"/>
          <w:b w:val="false"/>
          <w:i w:val="false"/>
          <w:caps w:val="false"/>
          <w:smallCaps w:val="false"/>
          <w:sz w:val="20"/>
        </w:rPr>
        <w:t> and collectively referenced herein as the </w:t>
      </w:r>
      <w:r>
        <w:rPr>
          <w:rFonts w:ascii="Times New Roman;Times;Serif" w:hAnsi="Times New Roman;Times;Serif"/>
          <w:b/>
          <w:i w:val="false"/>
          <w:caps w:val="false"/>
          <w:smallCaps w:val="false"/>
          <w:sz w:val="20"/>
          <w:u w:val="single"/>
        </w:rPr>
        <w:t>Parties</w:t>
      </w:r>
      <w:r>
        <w:rPr>
          <w:rFonts w:ascii="Times New Roman;Times;Serif" w:hAnsi="Times New Roman;Times;Serif"/>
          <w:b w:val="false"/>
          <w:i w:val="false"/>
          <w:caps w:val="false"/>
          <w:smallCaps w:val="false"/>
          <w:sz w:val="20"/>
        </w:rPr>
        <w:t>. Certain capitalized terms used herein have the applicable meanings set forth in Annex A. Capitalized terms otherwise used, but not defined herein shall (including in Annex A) have the meanings ascribed to such terms in the UPA (as defined below).</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concurrently with the execution of this Agreement, Majestic AcqCo, LLC, a Delaware limited liability company and a wholly-owned subsidiary of MJ Buyer Parent (“</w:t>
      </w:r>
      <w:r>
        <w:rPr>
          <w:rFonts w:ascii="Times New Roman;Times;Serif" w:hAnsi="Times New Roman;Times;Serif"/>
          <w:b/>
          <w:i w:val="false"/>
          <w:caps w:val="false"/>
          <w:smallCaps w:val="false"/>
          <w:sz w:val="20"/>
          <w:u w:val="single"/>
        </w:rPr>
        <w:t>MJ Buyer</w:t>
      </w:r>
      <w:r>
        <w:rPr>
          <w:rFonts w:ascii="Times New Roman;Times;Serif" w:hAnsi="Times New Roman;Times;Serif"/>
          <w:b w:val="false"/>
          <w:i w:val="false"/>
          <w:caps w:val="false"/>
          <w:smallCaps w:val="false"/>
          <w:sz w:val="20"/>
        </w:rPr>
        <w:t xml:space="preserve">”), is entering into that certain Unit Purchase Agreement, a copy of which is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by and among MJ Buyer, LVMH MJ Holdings Inc., a Delaware corporation, MJH Employee Aggregator LLC, a Delaware limited liability company, Marc Jacobs, an individual, Robert Duffy, an individual, LVMH MJ Holdings Inc., in its capacity as Sellers’ Representative thereunder, WHP Parent, solely for purposes of Section 11.10 thereof, and LVMH Moet Hennessy Louis Vuitton Inc., a Delaware corporation, solely for purposes of Section 11.11 thereof (as amended, restated, supplemented or otherwise modified from time to time, in accordance with the terms hereof, and inclusive of any transaction document or other deliverable contemplated thereby, the “</w:t>
      </w:r>
      <w:r>
        <w:rPr>
          <w:rFonts w:ascii="Times New Roman;Times;Serif" w:hAnsi="Times New Roman;Times;Serif"/>
          <w:b/>
          <w:i w:val="false"/>
          <w:caps w:val="false"/>
          <w:smallCaps w:val="false"/>
          <w:sz w:val="20"/>
          <w:u w:val="single"/>
        </w:rPr>
        <w:t>Unit Purchase Agreement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u w:val="single"/>
        </w:rPr>
        <w:t>UPA</w:t>
      </w:r>
      <w:r>
        <w:rPr>
          <w:rFonts w:ascii="Times New Roman;Times;Serif" w:hAnsi="Times New Roman;Times;Serif"/>
          <w:b w:val="false"/>
          <w:i w:val="false"/>
          <w:caps w:val="false"/>
          <w:smallCaps w:val="false"/>
          <w:sz w:val="20"/>
        </w:rPr>
        <w:t>”), to purchase 100% of the equity interests of Marc Jacobs Holdings, LLC, a Delaware limited liability company (“</w:t>
      </w:r>
      <w:r>
        <w:rPr>
          <w:rFonts w:ascii="Times New Roman;Times;Serif" w:hAnsi="Times New Roman;Times;Serif"/>
          <w:b/>
          <w:i w:val="false"/>
          <w:caps w:val="false"/>
          <w:smallCaps w:val="false"/>
          <w:sz w:val="20"/>
          <w:u w:val="single"/>
        </w:rPr>
        <w:t>Holdings</w:t>
      </w:r>
      <w:r>
        <w:rPr>
          <w:rFonts w:ascii="Times New Roman;Times;Serif" w:hAnsi="Times New Roman;Times;Serif"/>
          <w:b w:val="false"/>
          <w:i w:val="false"/>
          <w:caps w:val="false"/>
          <w:smallCaps w:val="false"/>
          <w:sz w:val="20"/>
        </w:rPr>
        <w:t>” and such transaction, the “</w:t>
      </w:r>
      <w:r>
        <w:rPr>
          <w:rFonts w:ascii="Times New Roman;Times;Serif" w:hAnsi="Times New Roman;Times;Serif"/>
          <w:b/>
          <w:i w:val="false"/>
          <w:caps w:val="false"/>
          <w:smallCaps w:val="false"/>
          <w:sz w:val="20"/>
          <w:u w:val="single"/>
        </w:rPr>
        <w:t>MJ Transaction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an equity commitment letter dated as of the date hereof, G-III Buyer Parent has committed to contribute, directly or indirectly (through one or more affiliated entities), up to $425,000,000 in cash to Majestic IPCo at the Closing in exchange for equity securities in Majestic IPCo representing 50% of the equity interests of Majestic IPCo (which amount will, on the Closing Date and before the Closing, (i) be contributed by Majestic IPCo to MJ Buyer Parent and (ii) immediately after the contribution in clause (i), be contributed by MJ Buyer Parent to MJ Buyer as a source of cash for MJ Buyer to fund the purchase price and other amounts payable by MJ Buyer at the UPA Closing (the “</w:t>
      </w:r>
      <w:r>
        <w:rPr>
          <w:rFonts w:ascii="Times New Roman;Times;Serif" w:hAnsi="Times New Roman;Times;Serif"/>
          <w:b/>
          <w:i w:val="false"/>
          <w:caps w:val="false"/>
          <w:smallCaps w:val="false"/>
          <w:sz w:val="20"/>
          <w:u w:val="single"/>
        </w:rPr>
        <w:t>UPA Closing</w:t>
      </w:r>
      <w:r>
        <w:rPr>
          <w:rFonts w:ascii="Times New Roman;Times;Serif" w:hAnsi="Times New Roman;Times;Serif"/>
          <w:b w:val="false"/>
          <w:i w:val="false"/>
          <w:caps w:val="false"/>
          <w:smallCaps w:val="false"/>
          <w:sz w:val="20"/>
        </w:rPr>
        <w:t>”)) (such equity financing, the “</w:t>
      </w:r>
      <w:r>
        <w:rPr>
          <w:rFonts w:ascii="Times New Roman;Times;Serif" w:hAnsi="Times New Roman;Times;Serif"/>
          <w:b/>
          <w:i w:val="false"/>
          <w:caps w:val="false"/>
          <w:smallCaps w:val="false"/>
          <w:sz w:val="20"/>
          <w:u w:val="single"/>
        </w:rPr>
        <w:t>G-III Contribution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contemporaneously with the G-III Contribution, using proceeds from the Commitment Letters or otherwise in accordance with the Interim Investors’ Agreement (as hereinafter defined), the WHP Member (as defined in the Interim Investors’ Agreement) shall contribute up to $425,000,000 million in cash to Majestic IPCo at the Closing in exchange for equity securities in Majestic IPCo representing 50% of the equity interests of Majestic IPCo (which amount will on the Closing Date and before the Closing (i) be contributed by Majestic IPCo to MJ Buyer Parent and (ii) immediately after the contribution in clause (i), be contributed by MJ Buyer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to MJ Buyer as a source of cash for MJ Buyer to fund the purchase price and other amounts payable by MJ Buyer at the UPA Closing) (the “</w:t>
      </w:r>
      <w:r>
        <w:rPr>
          <w:rFonts w:ascii="Times New Roman;Times;Serif" w:hAnsi="Times New Roman;Times;Serif"/>
          <w:b/>
          <w:i w:val="false"/>
          <w:caps w:val="false"/>
          <w:smallCaps w:val="false"/>
          <w:sz w:val="20"/>
          <w:u w:val="single"/>
        </w:rPr>
        <w:t>WHP Contribution</w:t>
      </w:r>
      <w:r>
        <w:rPr>
          <w:rFonts w:ascii="Times New Roman;Times;Serif" w:hAnsi="Times New Roman;Times;Serif"/>
          <w:b w:val="false"/>
          <w:i w:val="false"/>
          <w:caps w:val="false"/>
          <w:smallCaps w:val="false"/>
          <w:sz w:val="20"/>
        </w:rPr>
        <w:t>”), such that, upon the completion of the G-III Contribution and the WHP Contribution, the Unit Consideration shall be funded in full and affiliates of each of G-III Buyer Parent and WHP Parent shall own 50% of Majestic IPCo;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the UPA Closing and immediately prior to the Closing, Majestic IPCo, MJ Buyer Parent and their respective Subsidiaries will undertake (and Majestic IPCo and MJ Buyer Parent shall cause MJ Buyer to take) certain restructuring transactions, pursuant to which (A) Marc Jacobs International, LLC, a Delaware limited liability company (“</w:t>
      </w:r>
      <w:r>
        <w:rPr>
          <w:rFonts w:ascii="Times New Roman;Times;Serif" w:hAnsi="Times New Roman;Times;Serif"/>
          <w:b/>
          <w:i w:val="false"/>
          <w:caps w:val="false"/>
          <w:smallCaps w:val="false"/>
          <w:sz w:val="20"/>
          <w:u w:val="single"/>
        </w:rPr>
        <w:t>MJ International</w:t>
      </w:r>
      <w:r>
        <w:rPr>
          <w:rFonts w:ascii="Times New Roman;Times;Serif" w:hAnsi="Times New Roman;Times;Serif"/>
          <w:b w:val="false"/>
          <w:i w:val="false"/>
          <w:caps w:val="false"/>
          <w:smallCaps w:val="false"/>
          <w:sz w:val="20"/>
        </w:rPr>
        <w:t>”) shall distribute, transfer, assign or convey to Holdings (or directly or indirectly to one or more Subsidiaries of Holdings) all of the intellectual property of any kind or nature, including any registered or unregistered intellectual property located anywhere in the world, as well as any and all license agreements, of MJ International and its Subsidiaries (together with MJ Buyer Parent, the “</w:t>
      </w:r>
      <w:r>
        <w:rPr>
          <w:rFonts w:ascii="Times New Roman;Times;Serif" w:hAnsi="Times New Roman;Times;Serif"/>
          <w:b/>
          <w:i w:val="false"/>
          <w:caps w:val="false"/>
          <w:smallCaps w:val="false"/>
          <w:sz w:val="20"/>
          <w:u w:val="single"/>
        </w:rPr>
        <w:t>MJ International Group</w:t>
      </w:r>
      <w:r>
        <w:rPr>
          <w:rFonts w:ascii="Times New Roman;Times;Serif" w:hAnsi="Times New Roman;Times;Serif"/>
          <w:b w:val="false"/>
          <w:i w:val="false"/>
          <w:caps w:val="false"/>
          <w:smallCaps w:val="false"/>
          <w:sz w:val="20"/>
        </w:rPr>
        <w:t>” and together with the employment agreement of Marc Jacobs, the “</w:t>
      </w:r>
      <w:r>
        <w:rPr>
          <w:rFonts w:ascii="Times New Roman;Times;Serif" w:hAnsi="Times New Roman;Times;Serif"/>
          <w:b/>
          <w:i w:val="false"/>
          <w:caps w:val="false"/>
          <w:smallCaps w:val="false"/>
          <w:sz w:val="20"/>
          <w:u w:val="single"/>
        </w:rPr>
        <w:t>Excluded Business</w:t>
      </w:r>
      <w:r>
        <w:rPr>
          <w:rFonts w:ascii="Times New Roman;Times;Serif" w:hAnsi="Times New Roman;Times;Serif"/>
          <w:b w:val="false"/>
          <w:i w:val="false"/>
          <w:caps w:val="false"/>
          <w:smallCaps w:val="false"/>
          <w:sz w:val="20"/>
        </w:rPr>
        <w:t>”) (the transactions in this clause (A), the “</w:t>
      </w:r>
      <w:r>
        <w:rPr>
          <w:rFonts w:ascii="Times New Roman;Times;Serif" w:hAnsi="Times New Roman;Times;Serif"/>
          <w:b/>
          <w:i w:val="false"/>
          <w:caps w:val="false"/>
          <w:smallCaps w:val="false"/>
          <w:sz w:val="20"/>
          <w:u w:val="single"/>
        </w:rPr>
        <w:t>Excluded Business Distributions</w:t>
      </w:r>
      <w:r>
        <w:rPr>
          <w:rFonts w:ascii="Times New Roman;Times;Serif" w:hAnsi="Times New Roman;Times;Serif"/>
          <w:b w:val="false"/>
          <w:i w:val="false"/>
          <w:caps w:val="false"/>
          <w:smallCaps w:val="false"/>
          <w:sz w:val="20"/>
        </w:rPr>
        <w:t>”), (B) following the transactions described in clause (A), Holdings shall distribute, transfer, assign or convey to MJ Buyer, and MJ Buyer shall distribute to MJ Buyer Parent, all of the equity interests in MJ International (the distributions in this clause (B), the “</w:t>
      </w:r>
      <w:r>
        <w:rPr>
          <w:rFonts w:ascii="Times New Roman;Times;Serif" w:hAnsi="Times New Roman;Times;Serif"/>
          <w:b/>
          <w:i w:val="false"/>
          <w:caps w:val="false"/>
          <w:smallCaps w:val="false"/>
          <w:sz w:val="20"/>
          <w:u w:val="single"/>
        </w:rPr>
        <w:t>MJ International Distributions</w:t>
      </w:r>
      <w:r>
        <w:rPr>
          <w:rFonts w:ascii="Times New Roman;Times;Serif" w:hAnsi="Times New Roman;Times;Serif"/>
          <w:b w:val="false"/>
          <w:i w:val="false"/>
          <w:caps w:val="false"/>
          <w:smallCaps w:val="false"/>
          <w:sz w:val="20"/>
        </w:rPr>
        <w:t>”), and (C) following the distributions described in clause (B), MJ Buyer Parent shall distribute, transfer, assign or convey to Majestic IPCo all of the equity interests in MJ Buyer (the distribution in this clause (C), the “</w:t>
      </w:r>
      <w:r>
        <w:rPr>
          <w:rFonts w:ascii="Times New Roman;Times;Serif" w:hAnsi="Times New Roman;Times;Serif"/>
          <w:b/>
          <w:i w:val="false"/>
          <w:caps w:val="false"/>
          <w:smallCaps w:val="false"/>
          <w:sz w:val="20"/>
          <w:u w:val="single"/>
        </w:rPr>
        <w:t>MJ Buyer Distribution</w:t>
      </w:r>
      <w:r>
        <w:rPr>
          <w:rFonts w:ascii="Times New Roman;Times;Serif" w:hAnsi="Times New Roman;Times;Serif"/>
          <w:b w:val="false"/>
          <w:i w:val="false"/>
          <w:caps w:val="false"/>
          <w:smallCaps w:val="false"/>
          <w:sz w:val="20"/>
        </w:rPr>
        <w:t>” and together with the Excluded Business Distributions and MJ International Distributions, the “</w:t>
      </w:r>
      <w:r>
        <w:rPr>
          <w:rFonts w:ascii="Times New Roman;Times;Serif" w:hAnsi="Times New Roman;Times;Serif"/>
          <w:b/>
          <w:i w:val="false"/>
          <w:caps w:val="false"/>
          <w:smallCaps w:val="false"/>
          <w:sz w:val="20"/>
          <w:u w:val="single"/>
        </w:rPr>
        <w:t>Pre-Closing Restructuring</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the completion of the Pre-Closing Restructuring, MJ Buyer Parent will, through MJ International, hold all of the operating assets and liabilities, including all real estate, employees (other than, for the avoidance of doubt, Marc Jacobs and Robert Duffy), inventory and other working capital of the MJ International Group, other than the IPCO Retained Liabilities (collectively, the “</w:t>
      </w:r>
      <w:r>
        <w:rPr>
          <w:rFonts w:ascii="Times New Roman;Times;Serif" w:hAnsi="Times New Roman;Times;Serif"/>
          <w:b/>
          <w:i w:val="false"/>
          <w:caps w:val="false"/>
          <w:smallCaps w:val="false"/>
          <w:sz w:val="20"/>
          <w:u w:val="single"/>
        </w:rPr>
        <w:t>Business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Majestic IPCo desires to sell, and G-III Buyer desires to purchase from Majestic IPCo, all of the equity interests in MJ Buyer Parent (the “</w:t>
      </w:r>
      <w:r>
        <w:rPr>
          <w:rFonts w:ascii="Times New Roman;Times;Serif" w:hAnsi="Times New Roman;Times;Serif"/>
          <w:b/>
          <w:i w:val="false"/>
          <w:caps w:val="false"/>
          <w:smallCaps w:val="false"/>
          <w:sz w:val="20"/>
          <w:u w:val="single"/>
        </w:rPr>
        <w:t>Equity Interests</w:t>
      </w:r>
      <w:r>
        <w:rPr>
          <w:rFonts w:ascii="Times New Roman;Times;Serif" w:hAnsi="Times New Roman;Times;Serif"/>
          <w:b w:val="false"/>
          <w:i w:val="false"/>
          <w:caps w:val="false"/>
          <w:smallCaps w:val="false"/>
          <w:sz w:val="20"/>
        </w:rPr>
        <w:t>” and such sale and purchase, the “</w:t>
      </w:r>
      <w:r>
        <w:rPr>
          <w:rFonts w:ascii="Times New Roman;Times;Serif" w:hAnsi="Times New Roman;Times;Serif"/>
          <w:b/>
          <w:i w:val="false"/>
          <w:caps w:val="false"/>
          <w:smallCaps w:val="false"/>
          <w:sz w:val="20"/>
          <w:u w:val="single"/>
        </w:rPr>
        <w:t>Equity Interest Purchase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immediately following the Equity Interest Purchase, Majestic IPCo shall distribute all cash in its possession to its equityholders on a pro rata basis, including the Estimated G-III Assumed Working Capital to its equityholders on a pro rata basis, less $15,000,000 (the “</w:t>
      </w:r>
      <w:r>
        <w:rPr>
          <w:rFonts w:ascii="Times New Roman;Times;Serif" w:hAnsi="Times New Roman;Times;Serif"/>
          <w:b/>
          <w:i w:val="false"/>
          <w:caps w:val="false"/>
          <w:smallCaps w:val="false"/>
          <w:sz w:val="20"/>
          <w:u w:val="single"/>
        </w:rPr>
        <w:t>Proceeds Distribution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without limiting the terms of this Agreement, Majestic IPCo shall retain and maintain full responsibility for the IPCo Retained Liabilities; and following the Closing, G-III Buyer shall assume and maintain full responsibility for the liabilities and obligations arising from the Business (the “</w:t>
      </w:r>
      <w:r>
        <w:rPr>
          <w:rFonts w:ascii="Times New Roman;Times;Serif" w:hAnsi="Times New Roman;Times;Serif"/>
          <w:b/>
          <w:i w:val="false"/>
          <w:caps w:val="false"/>
          <w:smallCaps w:val="false"/>
          <w:sz w:val="20"/>
          <w:u w:val="single"/>
        </w:rPr>
        <w:t>OpCo Retained Liabilities</w:t>
      </w:r>
      <w:r>
        <w:rPr>
          <w:rFonts w:ascii="Times New Roman;Times;Serif" w:hAnsi="Times New Roman;Times;Serif"/>
          <w:b w:val="false"/>
          <w:i w:val="false"/>
          <w:caps w:val="false"/>
          <w:smallCaps w:val="false"/>
          <w:sz w:val="20"/>
        </w:rPr>
        <w:t>”);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execution of the Unit Purchase Agreement is a condition to the execution of this Agreement.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foregoing and the mutual covenants and agreements herein contained, and intending to be legally bound hereby, the Parties agree as follows:</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w:t>
      </w:r>
      <w:r>
        <w:rPr>
          <w:rFonts w:ascii="Times New Roman;Times;Serif" w:hAnsi="Times New Roman;Times;Serif"/>
          <w:b/>
          <w:i w:val="false"/>
          <w:caps/>
          <w:sz w:val="20"/>
          <w:u w:val="single"/>
        </w:rPr>
        <w:br/>
        <w:t>PURCHASE AND SALE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1.1         </w:t>
      </w:r>
      <w:r>
        <w:rPr>
          <w:rFonts w:ascii="Times New Roman;Times;Serif" w:hAnsi="Times New Roman;Times;Serif"/>
          <w:b w:val="false"/>
          <w:i w:val="false"/>
          <w:caps w:val="false"/>
          <w:smallCaps w:val="false"/>
          <w:sz w:val="20"/>
          <w:u w:val="single"/>
        </w:rPr>
        <w:t>Purchase and Sale of the Equity Interests</w:t>
      </w:r>
      <w:r>
        <w:rPr>
          <w:rFonts w:ascii="Times New Roman;Times;Serif" w:hAnsi="Times New Roman;Times;Serif"/>
          <w:b w:val="false"/>
          <w:i w:val="false"/>
          <w:caps w:val="false"/>
          <w:smallCaps w:val="false"/>
          <w:color w:val="000000"/>
          <w:sz w:val="20"/>
        </w:rPr>
        <w:t>. Upon the terms and subject to the conditions of this Agreement, at the Closing, Majestic IPCo shall distribute, sell, assign, transfer and deliver the Equity Interests to G-III Buyer free and clear of any and all Encumbrances (other than restrictions on transfer under applicable securities Laws) in consideration of: (x) a cash payment by G-III Buyer to Majestic IPCo (which may not be less than zero) equal to the sum of (A) the G-III Assumed Working Capital (determined based on the amount of Estimated Working Capital set forth in the Estimated Closing Date Balance Sheet Statement) (the “</w:t>
      </w:r>
      <w:r>
        <w:rPr>
          <w:rFonts w:ascii="Times New Roman;Times;Serif" w:hAnsi="Times New Roman;Times;Serif"/>
          <w:b/>
          <w:i w:val="false"/>
          <w:caps w:val="false"/>
          <w:smallCaps w:val="false"/>
          <w:sz w:val="20"/>
          <w:u w:val="single"/>
        </w:rPr>
        <w:t>Estimated G-III Assumed Working Capital</w:t>
      </w:r>
      <w:r>
        <w:rPr>
          <w:rFonts w:ascii="Times New Roman;Times;Serif" w:hAnsi="Times New Roman;Times;Serif"/>
          <w:b w:val="false"/>
          <w:i w:val="false"/>
          <w:caps w:val="false"/>
          <w:smallCaps w:val="false"/>
          <w:sz w:val="20"/>
        </w:rPr>
        <w:t>”), which amount shall be subject to adjustment as set forth in the UPA and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hereof, and (B) an amount equal to (1) the G-III Assumed Cash (determined based on the applicable Cash components of Estimated Net Financial Debt calculation set forth in the Estimated Closing Date Balance Sheet Statement)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(2) the G-III Assumed Financial Debt (determined based on the applicable Financial Debt components of the Estimated Net Financial Debt calculation set forth in the Estimated Closing Date Balance Sheet Statement) (the result of the foregoing clauses (1) and (2), the “</w:t>
      </w:r>
      <w:r>
        <w:rPr>
          <w:rFonts w:ascii="Times New Roman;Times;Serif" w:hAnsi="Times New Roman;Times;Serif"/>
          <w:b/>
          <w:i w:val="false"/>
          <w:caps w:val="false"/>
          <w:smallCaps w:val="false"/>
          <w:sz w:val="20"/>
          <w:u w:val="single"/>
        </w:rPr>
        <w:t>Estimated Net Cash Amount</w:t>
      </w:r>
      <w:r>
        <w:rPr>
          <w:rFonts w:ascii="Times New Roman;Times;Serif" w:hAnsi="Times New Roman;Times;Serif"/>
          <w:b w:val="false"/>
          <w:i w:val="false"/>
          <w:caps w:val="false"/>
          <w:smallCaps w:val="false"/>
          <w:sz w:val="20"/>
        </w:rPr>
        <w:t>”) and (y) the assumption of all liabilities and obligations of the Business (other than any IPCo Retained Liabilities, which shall be retained by Majestic IPCo).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sale and purchase of the Equity Interests shall take place at a closing (the “</w:t>
      </w:r>
      <w:r>
        <w:rPr>
          <w:rFonts w:ascii="Times New Roman;Times;Serif" w:hAnsi="Times New Roman;Times;Serif"/>
          <w:b/>
          <w:i w:val="false"/>
          <w:caps w:val="false"/>
          <w:smallCaps w:val="false"/>
          <w:sz w:val="20"/>
          <w:u w:val="single"/>
        </w:rPr>
        <w:t>Closing</w:t>
      </w:r>
      <w:r>
        <w:rPr>
          <w:rFonts w:ascii="Times New Roman;Times;Serif" w:hAnsi="Times New Roman;Times;Serif"/>
          <w:b w:val="false"/>
          <w:i w:val="false"/>
          <w:caps w:val="false"/>
          <w:smallCaps w:val="false"/>
          <w:sz w:val="20"/>
        </w:rPr>
        <w:t>”) to be held immediately following the UPA Closing and the consummation in all material respects of the Pre-Closing Restructuring (which shall occur immediately following the UPA Closing) (the date on which the Closing occurs, the “</w:t>
      </w:r>
      <w:r>
        <w:rPr>
          <w:rFonts w:ascii="Times New Roman;Times;Serif" w:hAnsi="Times New Roman;Times;Serif"/>
          <w:b/>
          <w:i w:val="false"/>
          <w:caps w:val="false"/>
          <w:smallCaps w:val="false"/>
          <w:sz w:val="20"/>
          <w:u w:val="single"/>
        </w:rPr>
        <w:t>Closing Date</w:t>
      </w:r>
      <w:r>
        <w:rPr>
          <w:rFonts w:ascii="Times New Roman;Times;Serif" w:hAnsi="Times New Roman;Times;Serif"/>
          <w:b w:val="false"/>
          <w:i w:val="false"/>
          <w:caps w:val="false"/>
          <w:smallCaps w:val="false"/>
          <w:sz w:val="20"/>
        </w:rPr>
        <w:t>”), or at such other place or at such other time or on such other date as Majestic IPCo and G-III Buyer mutually may agree in writing, it being understood and agreed that the Closing shall be conditioned on and subject to the completion of the UPA Closing and the completion in all material respects of the Pre-Closing Restructuring. At the Closing, (a) G-III Buyer shall deliver to Majestic IPCo an amount (which may not be less than zero) equal to the G-III Assumed Working Capital plus the Estimated Net Cash Amount (which may be a positive or negative number), (b) if the Estimated Net Cash Amount is a positive number, MJ Buyer Parent will contribute the Estimated Net Cash Amount to MJ Buyer to fund the purchase price payable by MJ Buyer at the UPA Closing, (d) Majestic IPCo shall deliver to G-III Buyer evidence of book-entry transfer of the Equity Interests, and (e)  Majestic IPCo shall consummate the Proceeds Distribution.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1.3         </w:t>
      </w:r>
      <w:r>
        <w:rPr>
          <w:rFonts w:ascii="Times New Roman;Times;Serif" w:hAnsi="Times New Roman;Times;Serif"/>
          <w:b w:val="false"/>
          <w:i w:val="false"/>
          <w:caps w:val="false"/>
          <w:smallCaps w:val="false"/>
          <w:sz w:val="20"/>
          <w:u w:val="single"/>
        </w:rPr>
        <w:t>Estimated G-III Assumed Working Capital; Estimated Net Cash Amount; Estimated Closing Date Balance Sheet Statement</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Parties acknowledge and agree that (i) the Estimated G-III Assumed Working Capital and the Estimated Net Cash Amount shall be calculated in accordance with the terms of the UPA applicable to the calculation of the Estimated Unit Consideration thereunder,</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including the Accounting Principles and the applicable definitions set forth herein, and (ii) in furtherance of the foregoing and to facilitate the calculations contemplated by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upon delivery by the Sellers’ Representative to MJ Buyer pursuant to Section 2.2 of the UPA, Majestic IPCo shall provide (and cause MJ Buyer to provide) G-III Buyer with a copy of the Estimated Closing Date Balance Sheet Statement and all supporting information provided by the Sellers’ Representative. During the period after the delivery of the Estimated Closing Date Balance Sheet Statement and prior to Closing, G-III Buyer shall have an opportunity to review the Estimated Closing Date Balance Sheet Statement and Majestic IPCo shall reasonably cooperate with G-III Buyer in good faith to respond to (or to coordinate responses via the Sellers’ Representative to) any questions regarding the Estimated Closing Date Balance Sheet Statement raised by G-III Buyer if G-III Buyer disputes any item proposed to be set forth on such statement.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Upon final determination of the Closing Date Balance Sheet Statement in accordance with Section 2.4 of the UPA and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below, the Actual Working Capital, Actual Net Financial Debt and Actual Company Transaction Expenses shall be used by G-III Buyer to recalculate the G-III Assumed Working Capital and Net Cash Amount for purposes of determining the actual G-III Assumed Working Capital (the “</w:t>
      </w:r>
      <w:r>
        <w:rPr>
          <w:rFonts w:ascii="Times New Roman;Times;Serif" w:hAnsi="Times New Roman;Times;Serif"/>
          <w:b/>
          <w:i w:val="false"/>
          <w:caps w:val="false"/>
          <w:smallCaps w:val="false"/>
          <w:sz w:val="20"/>
          <w:u w:val="single"/>
        </w:rPr>
        <w:t>Actual G-III Assumed Working Capital</w:t>
      </w:r>
      <w:r>
        <w:rPr>
          <w:rFonts w:ascii="Times New Roman;Times;Serif" w:hAnsi="Times New Roman;Times;Serif"/>
          <w:b w:val="false"/>
          <w:i w:val="false"/>
          <w:caps w:val="false"/>
          <w:smallCaps w:val="false"/>
          <w:sz w:val="20"/>
        </w:rPr>
        <w:t>”) and the actual Net Cash Amount (the “</w:t>
      </w:r>
      <w:r>
        <w:rPr>
          <w:rFonts w:ascii="Times New Roman;Times;Serif" w:hAnsi="Times New Roman;Times;Serif"/>
          <w:b/>
          <w:i w:val="false"/>
          <w:caps w:val="false"/>
          <w:smallCaps w:val="false"/>
          <w:sz w:val="20"/>
          <w:u w:val="single"/>
        </w:rPr>
        <w:t>Actual Net Cash Amount</w:t>
      </w:r>
      <w:r>
        <w:rPr>
          <w:rFonts w:ascii="Times New Roman;Times;Serif" w:hAnsi="Times New Roman;Times;Serif"/>
          <w:b w:val="false"/>
          <w:i w:val="false"/>
          <w:caps w:val="false"/>
          <w:smallCaps w:val="false"/>
          <w:sz w:val="20"/>
        </w:rPr>
        <w:t xml:space="preserve">”) for the purposes of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and G-III Buyer shall deliver a written statement of such calculation within 10 Business Days of receipt of the Closing Date Balance Sheet Statement, as finally determined, from IPCo. Majestic IPCo shall have 15 Business Days to review G-III Buyer’s proposal and deliver to G-III Buyer a notice of any proposed modifications thereto. During such review period, the G-III Buyer shall provide, and shall cause its Subsidiaries and Representatives to provide, Majestic IPCo and its Affiliates and Representatives reasonable access during normal business hours, which shall not unreasonably interfere with the business of the G-III Buyer or its Subsidiaries or Affiliates, as applicable, to the relevant personnel materially involved in, and reasonable underlying documentation and reasonable data pertinent to, the preparation of the calculation of the Actual G-III Assumed Working Capital and Actual Net Cash Amount. If Majestic IPCo fails to deliver any such notice within such time, the Actual G-III Assumed Working Capital and Actual Net Cash Amount proposed by G-III Buyer shall be considered final and binding on the Parties. If Majestic IPCo delivers a notice of proposed modifications, G-III Buyer and Majestic IPCo shall negotiate in good faith for a period of 30 days to try to resolve any remaining disputes. At the conclusion of such 30 day period, any matters that remain in dispute with respect to the Actual G-III Assumed Working Capital and Actual Net Cash Amount or the components thereof shall be submitted to the Selected Accountant for prompt resolution in accordance with the procedures described in Section 2.5 of the UPA, applied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except for the fact that the Selected Accountant shall deliver its written determination within 30 days of the submission.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1.4         </w:t>
      </w:r>
      <w:r>
        <w:rPr>
          <w:rFonts w:ascii="Times New Roman;Times;Serif" w:hAnsi="Times New Roman;Times;Serif"/>
          <w:b w:val="false"/>
          <w:i w:val="false"/>
          <w:caps w:val="false"/>
          <w:smallCaps w:val="false"/>
          <w:sz w:val="20"/>
          <w:u w:val="single"/>
        </w:rPr>
        <w:t>Actual G-III Assumed Working Capital; Actual Net Cash Amount; Closing Date Balance Sheet Statement.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Parties acknowledge and agree that the determination of the Closing Date Balance Sheet Statement, as finally determined in accordance with Section 2.4 of the UPA, shall be binding upon the Parties with respect to, and serve as a final determination of, the corresponding components of the Actual G-III Assumed Working Capital and Actual Net Cash Amount (as set forth herein).</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G-III Buyer shall, and shall cause each member of the MJ International Group to, and Majestic IPCo shall, and shall cause MJ Buyer and its Subsidiaries to, reasonably cooperate with each other with respect to the preparation and delivery by MJ Buyer to the Sellers’ Representative of the Closing Date Balance Sheet Statement in accordance with Section 2.4 of the UPA (it being understood and agreed that in the event of any dispute in connection with any calculation or amount applicable to the preparation of the Closing Date Balance Sheet Statement as it relates to MJ International Group, G-III Buyer’s position(s) shall control, provided that such position(s) is not inconsistent with the terms of the UPA). G-III Buyer shall, and shall cause each member of the MJ International Group to, and Majestic IPCo shall, and shall cause MJ Buyer and its Subsidiaries to, comply with the provisions of Section 2.4 and Section 2.5 of the UPA, including with respect to providing the Sellers’ Representative, its Affiliates and Representatives access to Persons and materials and participating in meetings and discussions with the Sellers’ Representative, its Affiliates and Representatives (including with respect to resolution of any disagreements), in each case in accordance with the terms thereof.</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Majestic IPCo shall, within two Business Days of receipt by Majestic IPCo or MJ Buyer from Sellers’ Representative of a Seller Closing Date Balance Sheet Statement or Notice of Disagreement delivered pursuant to Section 2.4 of the UPA, deliver to G-III Buyer a copy of such Seller Closing Date Balance Sheet Statement or Notice of Disagreement, as applicable, together with all supporting documentation and correspondence received from Sellers’ Representative in connection therewith. To the extent (i) Sellers’ Representative delivers a Seller Closing Date Balance Sheet Statement or Notice of Disagreement, (ii) such Seller Closing Date Balance Sheet Statement or Notice of Disagreement, as applicable, sets forth a disagreement with any calculation or amount applicable to the Business and (iii) G-III Buyer desires to dispute such disagreement (to the extent related to the MJ International Group) in accordance with Section 2.5 of the UPA, G-III Buyer shall provide written notice to MJ Buyer prior to the end of the Resolution Period that it elects to dispute such disagreement in accordance with Section 2.5 of the UPA (a “</w:t>
      </w:r>
      <w:r>
        <w:rPr>
          <w:rFonts w:ascii="Times New Roman;Times;Serif" w:hAnsi="Times New Roman;Times;Serif"/>
          <w:b/>
          <w:i w:val="false"/>
          <w:caps w:val="false"/>
          <w:smallCaps w:val="false"/>
          <w:sz w:val="20"/>
          <w:u w:val="single"/>
        </w:rPr>
        <w:t>Dispute Election 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Dispute Election Notice must be delivered no later than the earlier of (x) the end of the Resolution Period and (y) 15 Business Days after G-III Buyer’s receipt of the applicable Seller Closing Date Balance Sheet Statement or Notice of Disagreement from Majestic IPCo or MJ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in no event shall G-III Buyer have fewer than 15 Business Days from its actual receipt of the applicable Seller Closing Date Balance Sheet Statement or Notice of Disagreement to deliver a Dispute Election Notice. In the event MJ Buyer receives a timely Dispute Election Notice, Majestic IPCo (on behalf of itself and MJ Buyer) shall use its commercially reasonable efforts, acting in good faith, to resolve such disagreement with Sellers’ Representative on behalf of G-III Buyer, including, if applicable, by submitting materials and information to, and participating in meetings and presentations involving, the Selected Accountant, in each case in accordance with Section 2.5 of the UPA,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G-III Buyer shall have the right to direct the resolution of such disagreement, to the extent related to the MJ International Group, and Majestic IPCo (on behalf of itself and MJ Buyer) shall (x) reasonably cooperate to facilitate such direction, (y) promptly provide G-III Buyer with copies of, and give G-III Buyer a reasonable opportunity to review and comment on, all material correspondence and submissions relating to such disagreement and (z) not settle, compromise or otherwise resolve such disagreement, or waive any material right therein, without G-III Buyer’s prior written consent, (B) subject to applicable Law, Contract and preservation of attorney-client privilege, work product and common-interest protections (which may be maintained through redaction, withholding or use of clean teams), G-III Buyer shall, and shall cause MJ International</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Group to, cooperate with each of Majestic IPCo and MJ Buyer in connection therewith, including by providing such Persons with access to materials, information and applicable Persons reasonably requested and reasonably necessary to resolve such dispute;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G-III Buyer shall not be responsible for any fees, costs or expenses of the Selected Accountant incurred with respect to issues not disputed by G-III Buyer, incurred without G-III Buyer’s prior written consent or otherwise incurred as a result of Majestic IPCo or MJ Buyer’s failure to comply with the terms hereof, and each of Majestic IPCo or MJ Buyer shall use commercially reasonable efforts, acting in good faith, to mitigate all such fees, costs and expenses.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If the Actual G-III Assumed Working Capital, as finally determined pursuant to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is less than the initial Estimated G-III Assumed Working Capital (the absolute value of such difference, if any, the “</w:t>
      </w:r>
      <w:r>
        <w:rPr>
          <w:rFonts w:ascii="Times New Roman;Times;Serif" w:hAnsi="Times New Roman;Times;Serif"/>
          <w:b/>
          <w:i w:val="false"/>
          <w:caps w:val="false"/>
          <w:smallCaps w:val="false"/>
          <w:sz w:val="20"/>
          <w:u w:val="single"/>
        </w:rPr>
        <w:t>Negative Working Capital Adjustment Amount</w:t>
      </w:r>
      <w:r>
        <w:rPr>
          <w:rFonts w:ascii="Times New Roman;Times;Serif" w:hAnsi="Times New Roman;Times;Serif"/>
          <w:b w:val="false"/>
          <w:i w:val="false"/>
          <w:caps w:val="false"/>
          <w:smallCaps w:val="false"/>
          <w:sz w:val="20"/>
        </w:rPr>
        <w:t>”), Majestic IPCo shall (and shall cause MJ Buyer to), within five Business Days after the date of such final determination, jointly and severally, pay to G-III Buyer, by wire transfer of immediately available funds denominated in United States dollars to an account designated by G-III Buyer, an amount equal to the absolute value of the Negative Working Capital Adjustment Amount.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If the Actual G-III Assumed Working Capital, as finally determined pursuant to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is greater than the Estimated G-III Assumed Working Capital (such difference, if any, the “</w:t>
      </w:r>
      <w:r>
        <w:rPr>
          <w:rFonts w:ascii="Times New Roman;Times;Serif" w:hAnsi="Times New Roman;Times;Serif"/>
          <w:b/>
          <w:i w:val="false"/>
          <w:caps w:val="false"/>
          <w:smallCaps w:val="false"/>
          <w:sz w:val="20"/>
          <w:u w:val="single"/>
        </w:rPr>
        <w:t>Positive Working Capital Adjustment Amount</w:t>
      </w:r>
      <w:r>
        <w:rPr>
          <w:rFonts w:ascii="Times New Roman;Times;Serif" w:hAnsi="Times New Roman;Times;Serif"/>
          <w:b w:val="false"/>
          <w:i w:val="false"/>
          <w:caps w:val="false"/>
          <w:smallCaps w:val="false"/>
          <w:sz w:val="20"/>
        </w:rPr>
        <w:t>”), G-III Buyer shall, within five Business Days after the date of such final determination, pay to Majestic IPCo by wire transfer of immediately available funds denominated in United States dollars to an account designated by Majestic IPCo, an amount equal to the Positive Working Capital Adjustment Amount.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 xml:space="preserve">If the Actual Net Cash Amount, as finally determined pursuant to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is less than the initial Estimated Net Cash Amount (the absolute value of such difference, if any, the “</w:t>
      </w:r>
      <w:r>
        <w:rPr>
          <w:rFonts w:ascii="Times New Roman;Times;Serif" w:hAnsi="Times New Roman;Times;Serif"/>
          <w:b/>
          <w:i w:val="false"/>
          <w:caps w:val="false"/>
          <w:smallCaps w:val="false"/>
          <w:sz w:val="20"/>
          <w:u w:val="single"/>
        </w:rPr>
        <w:t>Negative Net Cash Adjustment</w:t>
      </w:r>
      <w:r>
        <w:rPr>
          <w:rFonts w:ascii="Times New Roman;Times;Serif" w:hAnsi="Times New Roman;Times;Serif"/>
          <w:b w:val="false"/>
          <w:i w:val="false"/>
          <w:caps w:val="false"/>
          <w:smallCaps w:val="false"/>
          <w:sz w:val="20"/>
        </w:rPr>
        <w:t>”), Majestic IPCo shall cause MJ Buyer to, within five Business Days after the date of such final determination, jointly and severally, pay to G-III Buyer, by wire transfer of immediately available funds denominated in United States dollars to an account designated by G-III Buyer, an amount equal to the Negative Net Cash Adjustment.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 xml:space="preserve">If the Actual Net Cash Amount, as finally determined pursuant to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is greater than the Estimated Net Cash Amount (such difference, if any, the “</w:t>
      </w:r>
      <w:r>
        <w:rPr>
          <w:rFonts w:ascii="Times New Roman;Times;Serif" w:hAnsi="Times New Roman;Times;Serif"/>
          <w:b/>
          <w:i w:val="false"/>
          <w:caps w:val="false"/>
          <w:smallCaps w:val="false"/>
          <w:sz w:val="20"/>
          <w:u w:val="single"/>
        </w:rPr>
        <w:t>Positive Net Cash Adjustment</w:t>
      </w:r>
      <w:r>
        <w:rPr>
          <w:rFonts w:ascii="Times New Roman;Times;Serif" w:hAnsi="Times New Roman;Times;Serif"/>
          <w:b w:val="false"/>
          <w:i w:val="false"/>
          <w:caps w:val="false"/>
          <w:smallCaps w:val="false"/>
          <w:sz w:val="20"/>
        </w:rPr>
        <w:t>”), G-III Buyer shall, within five Business Days after the date of such final determination, pay to Majestic IPCo by wire transfer of immediately available funds denominated in United States dollars to an account designated by Majestic IPCo, an amount equal to the Positive Net Cash Adjustment.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1.5         </w:t>
      </w:r>
      <w:r>
        <w:rPr>
          <w:rFonts w:ascii="Times New Roman;Times;Serif" w:hAnsi="Times New Roman;Times;Serif"/>
          <w:b w:val="false"/>
          <w:i w:val="false"/>
          <w:caps w:val="false"/>
          <w:smallCaps w:val="false"/>
          <w:sz w:val="20"/>
          <w:u w:val="single"/>
        </w:rPr>
        <w:t>Offsets</w:t>
      </w:r>
      <w:r>
        <w:rPr>
          <w:rFonts w:ascii="Times New Roman;Times;Serif" w:hAnsi="Times New Roman;Times;Serif"/>
          <w:b w:val="false"/>
          <w:i w:val="false"/>
          <w:caps w:val="false"/>
          <w:smallCaps w:val="false"/>
          <w:color w:val="000000"/>
          <w:sz w:val="20"/>
        </w:rPr>
        <w:t xml:space="preserve">. The Parties agree that, for administrative convenience and to avoid multiple wires, in connection with the UPA Closing, amounts payable to and payable by the same Parties pursuant to this Agreement and/or the Unit Purchase Agreement shall be offset such that only net amounts are paid, in each case, subject to the written agreement of the payor and the payee at the time of such transaction. Notwithstanding the foregoing, any amounts payable by any Party on a date other than the Closing Date (in the case of the Closing Date, consistent with the foregoing sentence), including payment by WHP Parent pursuant to </w:t>
      </w:r>
      <w:r>
        <w:rPr>
          <w:rFonts w:ascii="Times New Roman;Times;Serif" w:hAnsi="Times New Roman;Times;Serif"/>
          <w:b w:val="false"/>
          <w:i w:val="false"/>
          <w:caps w:val="false"/>
          <w:smallCaps w:val="false"/>
          <w:color w:val="000000"/>
          <w:sz w:val="20"/>
          <w:u w:val="single"/>
        </w:rPr>
        <w:t>Section 4.5,</w:t>
      </w:r>
      <w:r>
        <w:rPr>
          <w:rFonts w:ascii="Times New Roman;Times;Serif" w:hAnsi="Times New Roman;Times;Serif"/>
          <w:b w:val="false"/>
          <w:i w:val="false"/>
          <w:caps w:val="false"/>
          <w:smallCaps w:val="false"/>
          <w:color w:val="000000"/>
          <w:sz w:val="20"/>
        </w:rPr>
        <w:t xml:space="preserve"> shall not be subject to such offset.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1.6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Notwithstanding anything to the contrary in this Agreement, each Party shall be entitled to deduct and withhold from all amounts otherwise payable pursuant to this Agreement such amounts as it reasonably determines it is required to deduct and withhold with respect to the making of such payment under applicable Law. To the extent any such amounts are so withheld or deducted, such amounts so deducted or withheld shall be treated for all purposes under this Agreement as having been paid to the person in respect of which such deduction or withholding was made. The Parties shall use commercially reasonable efforts to provide the relevant payee with advance notice of such determination and shall cooperate in good faith to minimize, to the extent permissible under applicable Laws, the amount of any such withholding.</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w:t>
      </w:r>
      <w:r>
        <w:rPr>
          <w:rFonts w:ascii="Times New Roman;Times;Serif" w:hAnsi="Times New Roman;Times;Serif"/>
          <w:b/>
          <w:i w:val="false"/>
          <w:caps/>
          <w:sz w:val="20"/>
          <w:u w:val="single"/>
        </w:rPr>
        <w:br/>
        <w:t>REPRESENTATIONS AND WARRANTIES OF MAJESTIC IPCO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Majestic IPCo hereby represents and warrants to G-III Buyer as follows: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color w:val="000000"/>
          <w:sz w:val="20"/>
        </w:rPr>
        <w:t>. Each of Majestic IPCo and MJ Buyer Parent is a limited liability company duly organized, validly existing and in good standing under the laws of Delaware. MJ International and each member of the MJ International Group is duly organized, validly existing and in good standing under the laws of the jurisdiction of its formation, and has full limited liability company power and authority to own, lease and operate its properties and to carry on its business, including the Business. MJ International and each member of the MJ International Group is duly qualified or licensed as a foreign corporation to do business, and is in good standing, in each jurisdiction where the character of its properties or the nature of its business makes such qualification or licensing necessary, except as would not, individually or in the aggregate, have a material adverse effect on the business, properties, financial condition or results of operations of the MJ International Group (a “</w:t>
      </w:r>
      <w:r>
        <w:rPr>
          <w:rFonts w:ascii="Times New Roman;Times;Serif" w:hAnsi="Times New Roman;Times;Serif"/>
          <w:b/>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color w:val="000000"/>
          <w:sz w:val="20"/>
        </w:rPr>
        <w:t xml:space="preserve">. Each of Majestic IPCo and MJ Buyer Parent has full limited liability company power and authority to execute, deliver and perform its obligations under this Agreement. The execution, delivery and performance by Majestic IPCo and MJ Buyer Parent of this Agreement, and the consummation of the transactions contemplated hereby, have been duly and validly authorized by all necessary corporate action on the part of Majestic IPCo and MJ Buyer Parent. This Agreement has been duly executed and delivered by Majestic IPCo and MJ Buyer Parent and is legal, valid, binding and enforceable upon and against each of Majestic IPCo and MJ Buyer Parent.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2.3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color w:val="000000"/>
          <w:sz w:val="20"/>
        </w:rPr>
        <w:t xml:space="preserve">. The execution, delivery and performance by MJ Buyer Parent and Majestic IPCo of this Agreement and the consummation by MJ Buyer Parent and Majestic IPCo of the transactions contemplated hereby do not and will not (a) conflict in any respect with, breach or violate any provision of the certificate of formation, bylaws, certificate or articles of incorporation, operating agreement or any other organizational documents of Majestic IPCo or MJ Buyer Parent; (b) conflict in any respect with, breach or violate any </w:t>
      </w:r>
      <w:r>
        <w:rPr>
          <w:rFonts w:ascii="Times New Roman;Times;Serif" w:hAnsi="Times New Roman;Times;Serif"/>
          <w:b w:val="false"/>
          <w:i w:val="false"/>
          <w:caps w:val="false"/>
          <w:smallCaps w:val="false"/>
          <w:sz w:val="20"/>
        </w:rPr>
        <w:t>Law applicable to Majestic IPCo or MJ Buyer Parent; (c) conflict with, create a breach or default under, require any consent of, approval, notice to or give to any third party any right of</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 default (with or without notice or lapse of time or both) acceleration or cancellation, or result in the creation of any Encumbrance upon any property or right of Majestic IPCo or MJ Buyer Parent pursuant to, any contract, agreement, license, permit or other instrument to which Majestic IPCo or MJ Buyer Parent is a party or by which Majestic IPCo’s or MJ Buyer Parent’s properties, assets or rights may be bound, affected or benefited; or (d) allow the imposition of any fees or penalties or require the offering or making of any payment to a third party on the part of Majestic IPCo or MJ Buyer Parent. Assuming the truth and completeness of the representations and warranties of G-III Buyer contained in this Agreement, the execution, delivery and performance by Majestic IPCo and MJ Buyer Parent of this Agreement and the consummation by Majestic IPCo and MJ Buyer Parent of the transactions contemplated hereby require no action by or in respect of, or filing, registration or designation with, any Governmental Authority and neither MJ Buyer Parent nor Majestic IPCo is required to provide any notice, declaration or filing or receive the consent, authorization or approval of any Governmental Authority with respect to any of the foregoing, other than (a) those as to which the failure to make or obtain would not reasonably be expected, individually or in the aggregate, to be material to the MJ International Group; and (b) those, the absence of which, individually or in the aggregate, would not reasonably be expected to have a material adverse effect on the ability of Majestic IPCo or MJ Buyer Parent in a timely manner, to perform its obligations pursuant to this Agreement or to consummate the transactions contemplated hereby (a “</w:t>
      </w:r>
      <w:r>
        <w:rPr>
          <w:rFonts w:ascii="Times New Roman;Times;Serif" w:hAnsi="Times New Roman;Times;Serif"/>
          <w:b/>
          <w:i w:val="false"/>
          <w:caps w:val="false"/>
          <w:smallCaps w:val="false"/>
          <w:sz w:val="20"/>
          <w:u w:val="single"/>
        </w:rPr>
        <w:t>Seller Material Adverse Effect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2.4         </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color w:val="000000"/>
          <w:sz w:val="20"/>
        </w:rPr>
        <w:t>. Majestic IPCo is the record and beneficial owner of the Equity Interests, free and clear of any Encumbrances, other than those arising under applicable securities Laws. Majestic IPCo has the right, authority and power to sell, convey, assign, transfer and deliver the Equity Interests to G-III Buyer. Upon delivery to G-III Buyer of the Equity Interests at the Closing and G-III Buyer’s payment of the purchase price hereunder, G-III Buyer shall acquire good and valid title to the Equity Interests, free and clear of all Encumbrances other than those arising under applicable securities Laws. Majestic IPCo has not created, imposed, or, to its knowledge, incurred, with respect to any property or asset, any Encumbrance on any of the Equity Interests or the assets of the Business, other than restrictions applicable under the governing documents of Majestic IPCo and MJ Buyer Parent.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2.5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color w:val="000000"/>
          <w:sz w:val="20"/>
        </w:rPr>
        <w:t xml:space="preserve">. The Equity Interests constitute all of the outstanding equity interests in MJ Buyer Parent, and as of immediately prior to the Closing, MJ Buyer Parent will own all of the outstanding equity interests in MJ International, and MJ International will directly or indirectly own all of the outstanding equity interests in the Subsidiaries of the MJ International Group holding the Business. All equity interests of each Subsidiary of MJ Buyer Parent (including MJ International and its Subsidiaries) (i) are validly issued in compliance with applicable Law and fully paid, (ii) are free of any Encumbrances (other than as set forth in the applicable operating agreement) and (iii) have not been issued in violation of any applicable Law or any preemptive rights or rights of first refusal created by statute, the organizational documents of the applicable entity, or any agreement to which MJ Buyer Parent or any of its Subsidiaries (after giving effect to the Pre-Closing Restructuring) is a party or by which it is bound.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2.6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color w:val="000000"/>
          <w:sz w:val="20"/>
        </w:rPr>
        <w:t>. No broker, finder, investment banker or agent will have any claim against G-III Buyer or the MJ International Group for any finders’ fees or agents’ commissions or investment bankers’ fees or any similar charges in connection with the transactions contemplated by this Agreement based on arrangements made by or on behalf of Majestic IPCo, MJ Buyer Parent, the MJ International Group or any of their respective Affiliates.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2.7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color w:val="000000"/>
          <w:sz w:val="20"/>
        </w:rPr>
        <w:t xml:space="preserve">. There is no Proceeding pending or, to the actual knowledge of Majestic IPCo, threatened against Majestic IPCo, MJ Buyer or MJ Buyer Parent that would be reasonably likely, individually or in the aggregate, to (a) be material to the Business, (b) prevent or materially delay the consummation of the transactions contemplated by this Agreement, or (c) otherwise prevent or materially delay performance by Majestic IPCo or MJ Buyer Parent of any of its obligations contemplated by this Agreement or (d) have a Seller Material Adverse Effect.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2.8         </w:t>
      </w:r>
      <w:r>
        <w:rPr>
          <w:rFonts w:ascii="Times New Roman;Times;Serif" w:hAnsi="Times New Roman;Times;Serif"/>
          <w:b w:val="false"/>
          <w:i w:val="false"/>
          <w:caps w:val="false"/>
          <w:smallCaps w:val="false"/>
          <w:sz w:val="20"/>
          <w:u w:val="single"/>
        </w:rPr>
        <w:t>Tax Classification</w:t>
      </w:r>
      <w:r>
        <w:rPr>
          <w:rFonts w:ascii="Times New Roman;Times;Serif" w:hAnsi="Times New Roman;Times;Serif"/>
          <w:b w:val="false"/>
          <w:i w:val="false"/>
          <w:caps w:val="false"/>
          <w:smallCaps w:val="false"/>
          <w:sz w:val="20"/>
        </w:rPr>
        <w:t>. For U.S. federal (and applicable state and local) income tax purposes, (i) MJ Buyer Parent is classified as a corporation, (ii) until clause (C) of the Pre-Closing Restructuring, MJ Buyer is disregarded as an entity separate from MJ Buyer Parent, and (iii) Majestic IPCo has not taken, and will not take, any action that would modify the classification of any member of the MJ International Group except to the extent contemplated by the UPA.</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2.9         </w:t>
      </w:r>
      <w:r>
        <w:rPr>
          <w:rFonts w:ascii="Times New Roman;Times;Serif" w:hAnsi="Times New Roman;Times;Serif"/>
          <w:b w:val="false"/>
          <w:i w:val="false"/>
          <w:caps w:val="false"/>
          <w:smallCaps w:val="false"/>
          <w:sz w:val="20"/>
          <w:u w:val="single"/>
        </w:rPr>
        <w:t>Seller Identity.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Neither Majestic IPCo nor any of its owners (direct or indirect), directors, managers or officers in their capacity as such is, or during the last three years has been, in material violation of Anti-Corruption Laws, the U.S. Bank Secrecy Act, as amended by the USA Patriot Act of 2001, the U.S. Money Laundering Control Act of 1986, as amended through the date hereof, to the extent applicable to Majestic IPCo and its Affiliates, or any other applicable anti-money laundering Laws or Sanctions Laws.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Neither Majestic IPCo nor any of its owners (direct or indirect), officers, directors or managers, or, to the actual knowledge of Majestic IPCo, after reasonable inquiry, employees or agents is, or is owned or controlled by one or more Persons that are, a Sanctioned Person in violation of Law.</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Majestic IPCo is in material compliance with applicable Trade Control Laws.</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sz w:val="20"/>
          <w:u w:val="single"/>
        </w:rPr>
        <w:br/>
        <w:t>REPRESENTATIONS AND WARRANTIES OF G-III BUYER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G-III Buyer hereby represents and warrants to Majestic IPCo as follows: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color w:val="000000"/>
          <w:sz w:val="20"/>
        </w:rPr>
        <w:t>. G-III Buyer is a corporation duly organized, validly existing and in good standing under the laws of New York.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color w:val="000000"/>
          <w:sz w:val="20"/>
        </w:rPr>
        <w:t>. G-III Buyer has full corporate power and authority to execute, deliver and perform its obligations under this Agreement. The execution, delivery and performance by G-III Buyer of this Agreement, and the consummation of the transactions contemplated hereby, have been duly and validly authorized by all necessary corporate action on the part of G-III Buyer. This Agreement has been duly executed and delivered by G-III Buyer and is legal, valid, binding and enforceable upon and against G-III Buyer.</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Required Filings and Consents</w:t>
      </w:r>
      <w:r>
        <w:rPr>
          <w:rFonts w:ascii="Times New Roman;Times;Serif" w:hAnsi="Times New Roman;Times;Serif"/>
          <w:b w:val="false"/>
          <w:i w:val="false"/>
          <w:caps w:val="false"/>
          <w:smallCaps w:val="false"/>
          <w:color w:val="000000"/>
          <w:sz w:val="20"/>
        </w:rPr>
        <w:t>. Assuming the truth and completeness of the representations and warranties of Majestic IPCo contained in this Agreement, the execution, delivery and performance by G-III Buyer of this Agreement and the consummation by G-III Buyer of the transactions contemplated hereby require no action by or in respect of, or filing, registration or designation with, any Governmental Authority and G-III Buyer is not required to provide any notice, declaration or filing or receive the consent, authorization or approval of any Governmental Authority with respect to any of the foregoing, other than (a) those as to which the failure to make or obtain would not reasonably be expected, individually or in the aggregate, to be material to the Business; and (b) those, the absence of which, individually or in the aggregate, would not reasonably be expected to have a material adverse effect on the ability of G-III Buyer in a timely manner, to perform its obligations pursuant to this Agreement or to consummate the transactions contemplated hereby (a “</w:t>
      </w:r>
      <w:r>
        <w:rPr>
          <w:rFonts w:ascii="Times New Roman;Times;Serif" w:hAnsi="Times New Roman;Times;Serif"/>
          <w:b/>
          <w:i w:val="false"/>
          <w:caps w:val="false"/>
          <w:smallCaps w:val="false"/>
          <w:sz w:val="20"/>
          <w:u w:val="single"/>
        </w:rPr>
        <w:t>G-III Buyer Material Adverse Effect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3.4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color w:val="000000"/>
          <w:sz w:val="20"/>
        </w:rPr>
        <w:t>. No broker, finder, investment banker or agent will have any claim against Majestic IPCo, any of its Affiliates or the Excluded Business for any finders’ fees or agents’ commissions or investment bankers’ fees or any similar charges in connection with the transactions contemplated by this Agreement or transactions contemplated by this Agreement based on arrangements made by or on behalf of G-III Buyer.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3.5         </w:t>
      </w:r>
      <w:r>
        <w:rPr>
          <w:rFonts w:ascii="Times New Roman;Times;Serif" w:hAnsi="Times New Roman;Times;Serif"/>
          <w:b w:val="false"/>
          <w:i w:val="false"/>
          <w:caps w:val="false"/>
          <w:smallCaps w:val="false"/>
          <w:sz w:val="20"/>
          <w:u w:val="single"/>
        </w:rPr>
        <w:t>G-III Buyer’s Investigation and Reliance</w:t>
      </w:r>
      <w:r>
        <w:rPr>
          <w:rFonts w:ascii="Times New Roman;Times;Serif" w:hAnsi="Times New Roman;Times;Serif"/>
          <w:b w:val="false"/>
          <w:i w:val="false"/>
          <w:caps w:val="false"/>
          <w:smallCaps w:val="false"/>
          <w:color w:val="000000"/>
          <w:sz w:val="20"/>
        </w:rPr>
        <w:t>. G-III Buyer is a sophisticated purchaser and has made its own independent investigation, review and analysis regarding the Business, the MJ International Group and the transactions contemplated hereby, which investigation, review and analysis were conducted by G-III Buyer together with expert advisors, including legal counsel, that it has engaged for such purpose. G-III Buyer and its advisors have been provided with full and complete information that they have requested in connection with their investigation of the Business, the MJ International Group and the transactions contemplated hereby. G-III Buyer acknowledges and agrees that neither Majestic IPCo nor any of its respective Affiliates or representatives has made any representation or warranty, express or implied, as to the accuracy or completeness of any information concerning the Business or the MJ International Group contained herein or made available in connection with G-III Buyer’s investigation of the foregoing and Majestic IPCo and its Affiliates and representatives expressly disclaim any and all liability that may be based on such information or errors therein or omissions therefrom. G-III Buyer acknowledges and agrees that it has not relied and is not relying on any statement, representation or warranty, oral or written, express or implied, made by Majestic IPCo or any of its Affiliates or representatives. G-III Buyer acknowledges and agrees that neither Majestic IPCo nor any of its Affiliates or representatives shall have or be subject to any liability to G-III Buyer or any other person resulting from the distribution to G-III Buyer, or G-III Buyer’s use of, any information, documents or materials made available to G-III Buyer, whether orally or in writing, in any confidential information memoranda, “data rooms,” management presentations, due diligence discussions or in any other form in expectation of, or in connection with, the transactions contemplated by this Agreement. G-III Buyer acknowledges and agrees that neither Majestic IPCo nor any of its respective Affiliates or representatives is making any representation or warranty, express or implied, with respect to any estimates, projections or forecasts involving the Business or the MJ International Group. G-III Buyer acknowledges and agrees that neither Majestic IPCo nor any of its Affiliates or representatives is making, and G-III Buyer hereby waives, any representation or warranty, express or implied, as to the quality, merchantability, as for a particular purpose, or condition of the assets that comprise the Business. G-III Buyer acknowledges and agrees that, should the Closing occur, G-III Buyer shall acquire the Business and the MJ International Group on an “as is” and “where is” basis.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3.6         </w:t>
      </w:r>
      <w:r>
        <w:rPr>
          <w:rFonts w:ascii="Times New Roman;Times;Serif" w:hAnsi="Times New Roman;Times;Serif"/>
          <w:b w:val="false"/>
          <w:i w:val="false"/>
          <w:caps w:val="false"/>
          <w:smallCaps w:val="false"/>
          <w:sz w:val="20"/>
          <w:u w:val="single"/>
        </w:rPr>
        <w:t>Financial Capability</w:t>
      </w:r>
      <w:r>
        <w:rPr>
          <w:rFonts w:ascii="Times New Roman;Times;Serif" w:hAnsi="Times New Roman;Times;Serif"/>
          <w:b w:val="false"/>
          <w:i w:val="false"/>
          <w:caps w:val="false"/>
          <w:smallCaps w:val="false"/>
          <w:sz w:val="20"/>
        </w:rPr>
        <w:t>. G-III Buyer will at Closing have the financial capability and access to and/or sufficient cash or other immediately available funds to consummate the transactions contemplated by this Agreement, including the making of all payments to be made by or on behalf of G-III Buyer on the Closing Date pursuant to this Agreement. To the knowledge of G-III Buyer, there are no circumstances or conditions that would reasonably be expected to prevent or substantially delay the ability of such funds or otherwise impair such capability at the Closing.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3.7         </w:t>
      </w:r>
      <w:r>
        <w:rPr>
          <w:rFonts w:ascii="Times New Roman;Times;Serif" w:hAnsi="Times New Roman;Times;Serif"/>
          <w:b w:val="false"/>
          <w:i w:val="false"/>
          <w:caps w:val="false"/>
          <w:smallCaps w:val="false"/>
          <w:sz w:val="20"/>
          <w:u w:val="single"/>
        </w:rPr>
        <w:t>G-III Buyer Identity</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Neither G-III Buyer nor any of its owners (direct or indirect), directors, managers or officers in their capacity as such is, or during the last three years has been, in material violation of Anti-Corruption Laws, the U.S. Bank Secrecy Act, as amended by the USA Patriot Act of 2001, the U.S. Money Laundering Control Act of 1986, as amended through the date hereof, to the extent applicable to G-III Buyer and its Affiliates, or any other applicable anti-money laundering Laws or Sanctions Laws.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Neither G-III Buyer nor any of its owners (direct or indirect), officers, directors or managers, or, to the actual knowledge of G-III Buyer, after reasonable inquiry, employees or agents is, or is owned or controlled by one or more Persons that are, a Sanctioned Person in violation of Law.</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G-III Buyer is in material compliance with applicable Trade Control Laws.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3.8         </w:t>
      </w:r>
      <w:r>
        <w:rPr>
          <w:rFonts w:ascii="Times New Roman;Times;Serif" w:hAnsi="Times New Roman;Times;Serif"/>
          <w:b w:val="false"/>
          <w:i w:val="false"/>
          <w:caps w:val="false"/>
          <w:smallCaps w:val="false"/>
          <w:sz w:val="20"/>
          <w:u w:val="single"/>
        </w:rPr>
        <w:t xml:space="preserve">No Registration.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G-III Buyer is acquiring the Equity Interests for investment for its own account only and not with a view to, or for sale in connection with, any distribution thereof. G-III Buyer understands that (i) the Equity Interests have not been registered under the Securities Act or any foreign or state securities Laws, (ii) there is no public market for such Equity Interests and there can be no assurance that a public market shall develop and (iii) such Equity Interests may not be sold, transferred, pledged, hypothecated or otherwise disposed of, or offered for sale, transfer, pledge, hypothecation or disposition, without registration under the Securities Act or any state securities Law, except pursuant to an exemption from such registration available under the Securities Act or any such state security Law, and compliance with other securities Laws, in each case, to the extent applicable.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G-III Buyer is an “accredited investor” (as defined in Rule 501(a) of Regulation D promulgated under the Securities Act).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G-III Buyer has such knowledge and experience in financial and business matters and in investments of this type that it is capable of evaluating the merits and risks of its investment in the Equity Interests and of making an informed investment decision with respect thereto, and can bear the economic risk of its investment in the Equity Interests and afford a complete loss of such investment.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sz w:val="20"/>
        </w:rPr>
      </w:pPr>
      <w:r>
        <w:rPr>
          <w:rFonts w:ascii="Times New Roman;Times;Serif" w:hAnsi="Times New Roman;Times;Serif"/>
          <w:b/>
          <w:i w:val="false"/>
          <w:caps/>
          <w:sz w:val="20"/>
        </w:rPr>
        <w:t>Article IV</w:t>
        <w:br/>
      </w:r>
      <w:r>
        <w:rPr>
          <w:rFonts w:ascii="Times New Roman;Times;Serif" w:hAnsi="Times New Roman;Times;Serif"/>
          <w:b/>
          <w:i w:val="false"/>
          <w:caps/>
          <w:sz w:val="20"/>
          <w:u w:val="single"/>
        </w:rPr>
        <w:t>COVENANTS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4.1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Parties shall from time to time do such further acts and execute and deliver such further documents regarding its obligations hereunder as may be required solely for the purpose of (a) accomplishing the purposes of this Agreement or (b) giving effect to the transactions contemplated by this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In furtherance, and not by way of limitation, of the foregoing, if after the Closing, (i) Majestic IPCo, MJ Buyer or any of their respective Affiliates, on the one hand, or G-III Buyer or its Affiliates, on the other hand, discovers that any assets or properties that should be owned, leased or licensed by the Business or the Excluded Business (as the case may be) were inadvertently or mistakenly retained by or transferred to such Person, then Majestic IPCo (on behalf of itself and MJ Buyer) or G-III Buyer shall, and shall cause such Party’s Affiliates to, as applicable, (A) immediately cease using such assets and properties and (B) cooperate with the other Party to transfer or assign such assets and properties to the other Party (or its designee) at Majestic IPCo’s or G-III Buyer’s expense, as applicable, with no requirement of additional consideration to the fullest extent permitted by applicable Law and execute and deliver any amendments or supplements to this Agreement, exhibits, or schedules, as applicable, to transfer such assets and properties to the other Party (or its designee) effective as of the Closing Date. The Parties agree to use their reasonable best efforts to structure any transfer of assets and properties referred to in the immediately preceding sentence in a manner that minimizes Taxes and is equitable for the Parties, the Business, or the Excluded Business, as applicable.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Following the Closing, (i) Majestic IPCo shall (on behalf of itself and MJ Buyer), and shall cause its Affiliates to, promptly deliver to G-III Buyer (or its designee) (A) any mail, packages, orders, inquiries and other communications addressed to the Business and (B) any property that Majestic IPCo, MJ Buyer or any of its respective Affiliates receive and that properly belongs to G-III Buyer or the Business, and (ii) G-III Buyer shall, and shall cause its Affiliates to, promptly deliver to Majestic IPCo (A) any mail, packages, orders, inquiries and other communications addressed to the Excluded Business or Majestic IPCo or MJ Buyer and (B) any property that G-III Buyer or its Affiliates receive and that properly belongs to the Excluded Business or Majestic IPCo or MJ Buyer.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If, following the Closing, (i) Majestic IPCo, MJ Buyer or any of its respective Subsidiaries receives any funds belonging to G-III Buyer or the Business in accordance with the terms of this Agreement, Majestic IPCo shall, or shall cause its Subsidiaries to, (A) promptly advise G-III Buyer, (B) segregate and hold such funds in trust for the benefit of G-III Buyer or the Business and (C) promptly deliver such funds, together with any interest earned thereon, to an account or accounts designated in writing by G-III Buyer, and (ii) G-III Buyer or the Business receives any funds belonging to Majestic IPCo, MJ Buyer or its Subsidiaries in accordance with the terms of this Agreement, G-III Buyer shall, or shall cause the Business to, (A) promptly advise Majestic IPCo, (B) segregate and hold such funds in trust for the benefit of Majestic IPCo and (C) promptly deliver such funds, together with any interest earned thereon, to an account or accounts designated in writing by Majestic IPCo.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To the extent permitted by law, the parties hereto agree to treat, and to cause their respective Affiliates to treat, for all tax purposes, (i) any assets, properties, or funds described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as having been transferred to its ultimate owner (or, if applicable, as having remained with its ultimate owner) in accordance with this Agreement as of the Closing, and (ii) any payments, goods and other benefits received by the transferor in respect of such funds, assets or property prior to its transfer to its ultimate owner in accordance with this Agreement as having been received by such transferor as an agent or nominee for such ultimate owner.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It is understood and agreed that (i) from the date hereof until the Closing, Majestic IPCo shall be responsible for any breach of this Agreement during such time period by MJ Buyer Parent or MJ Buyer (in its capacity as a Subsidiary and Affiliate of Majestic IPCo), and (ii) from and after the Closing, (x) Majestic IPCo shall be responsible for any breach of this Agreement during such time period by MJ Buyer, and (y) G-III Buyer shall be responsible for any breach of this Agreement during such time period by MJ Buyer Parent (in the case of this clause (y), to the extent occurring after the Closing).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4.2         </w:t>
      </w:r>
      <w:r>
        <w:rPr>
          <w:rFonts w:ascii="Times New Roman;Times;Serif" w:hAnsi="Times New Roman;Times;Serif"/>
          <w:b w:val="false"/>
          <w:i w:val="false"/>
          <w:caps w:val="false"/>
          <w:smallCaps w:val="false"/>
          <w:sz w:val="20"/>
          <w:u w:val="single"/>
        </w:rPr>
        <w:t>Conduct</w:t>
      </w:r>
      <w:r>
        <w:rPr>
          <w:rFonts w:ascii="Times New Roman;Times;Serif" w:hAnsi="Times New Roman;Times;Serif"/>
          <w:b w:val="false"/>
          <w:i w:val="false"/>
          <w:caps w:val="false"/>
          <w:smallCaps w:val="false"/>
          <w:color w:val="000000"/>
          <w:sz w:val="20"/>
        </w:rPr>
        <w:t xml:space="preserve">. From the date of this Agreement through the Closing, Majestic IPCo and MJ Buyer Parent agrees to cause MJ Buyer to use commercially reasonable efforts to enforce its rights under the Unit Purchase Agreement in furtherance of consummating the UPA Closing. Each of G-III Buyer, Majestic IPCo and MJ Buyer Parent agrees that it shall not, and shall cause its Affiliates not to, take any actions that would reasonably be expected to prevent, delay or impair the transactions contemplated by this Agreement or the Unit Purchase Agreement. Majestic IPCo (on behalf of itself and its Subsidiaries) shall not agree to sell, assign, transfer, convey, lease, license, or otherwise dispose of any assets or properties of the Business between the UPA Closing and </w:t>
      </w:r>
      <w:r>
        <w:rPr>
          <w:rFonts w:ascii="Times New Roman;Times;Serif" w:hAnsi="Times New Roman;Times;Serif"/>
          <w:b w:val="false"/>
          <w:i w:val="false"/>
          <w:caps w:val="false"/>
          <w:smallCaps w:val="false"/>
          <w:sz w:val="20"/>
        </w:rPr>
        <w:t>the Closing, except to the extent required to complete the Pre-Closing Restructuring in accordance with the terms hereof and that certain Interim Investors’ Agreement dated as of even date herewith by and among Majestic IPCo, MJ Buyer, MJWHP, LLC, a Delaware limited liability company, WHP Parent and G-III Buyer Parent (the “</w:t>
      </w:r>
      <w:r>
        <w:rPr>
          <w:rFonts w:ascii="Times New Roman;Times;Serif" w:hAnsi="Times New Roman;Times;Serif"/>
          <w:b/>
          <w:i w:val="false"/>
          <w:caps w:val="false"/>
          <w:smallCaps w:val="false"/>
          <w:sz w:val="20"/>
          <w:u w:val="single"/>
        </w:rPr>
        <w:t>Interim Investors’ Agreement</w:t>
      </w:r>
      <w:r>
        <w:rPr>
          <w:rFonts w:ascii="Times New Roman;Times;Serif" w:hAnsi="Times New Roman;Times;Serif"/>
          <w:b w:val="false"/>
          <w:i w:val="false"/>
          <w:caps w:val="false"/>
          <w:smallCaps w:val="false"/>
          <w:sz w:val="20"/>
        </w:rPr>
        <w:t>”). The Parties agree and acknowledge that amendments, supplements, modifications or waivers to the UPA are subject to the terms of the Interim Investors’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4.3         </w:t>
      </w:r>
      <w:r>
        <w:rPr>
          <w:rFonts w:ascii="Times New Roman;Times;Serif" w:hAnsi="Times New Roman;Times;Serif"/>
          <w:b w:val="false"/>
          <w:i w:val="false"/>
          <w:caps w:val="false"/>
          <w:smallCaps w:val="false"/>
          <w:sz w:val="20"/>
          <w:u w:val="single"/>
        </w:rPr>
        <w:t>Reorganization</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In furtherance of the Pre-Closing Restructuring, Majestic IPCo, MJ Buyer Parent and their respective Affiliates shall take such actions so as to transfer (a) from MJ International to Holdings, any and all of the intellectual property of any kind or nature, including any registered or unregistered intellectual property, located anywhere in the world, owned or purported to be owned by the MJ International Group, as well as any and all license agreements, entered into by the MJ International Group that grant third parties the right to use any intellectual property owned or purported to be owned by the MJ International Group, which transfer shall include the conveyance of the equity interests of Holdings and Marc Jacobs Trademarks, LLC to Majestic IPCo (the “</w:t>
      </w:r>
      <w:r>
        <w:rPr>
          <w:rFonts w:ascii="Times New Roman;Times;Serif" w:hAnsi="Times New Roman;Times;Serif"/>
          <w:b/>
          <w:i w:val="false"/>
          <w:caps w:val="false"/>
          <w:smallCaps w:val="false"/>
          <w:sz w:val="20"/>
          <w:u w:val="single"/>
        </w:rPr>
        <w:t>Majestic IPCo Assets</w:t>
      </w:r>
      <w:r>
        <w:rPr>
          <w:rFonts w:ascii="Times New Roman;Times;Serif" w:hAnsi="Times New Roman;Times;Serif"/>
          <w:b w:val="false"/>
          <w:i w:val="false"/>
          <w:caps w:val="false"/>
          <w:smallCaps w:val="false"/>
          <w:sz w:val="20"/>
        </w:rPr>
        <w:t>”), (b) following the distribution described in clause (a) above, from Holdings to MJ Buyer, and from MJ Buyer to MJ Buyer Parent, of all of the equity interests in MJ International, and (c) following the distributions described in clause (b) above, from MJ Buyer Parent to Majestic IPCo, all of the equity interests in MJ Buyer. Upon completion of the Pre-Closing Restructuring, (x) Majestic IPCo will assume and be responsible for, and shall indemnify and hold harmless the G-III Buyer and its Affiliates from any claims, losses, liabilities or Damages relating to or arising from, the Majestic IPCo Assets and the IPCo Retained Liabilities, including any expenses of Marc Jacobs and Robert Duffy pursuant 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their respective Employment Agreements or otherwise, in each case,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the other applicable provisions of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and (y) the G-III Buyer shall own, and G-III Buyer will assume and be responsible for, and shall indemnify and hold harmless Majestic IPCo and its Affiliates from, any claims, losses, liabilities or Damages relating to or arising from, the Business, its obligations and all other assets and liabilities of the MJ International Group and the OpCo Retained Liabilities, which shall exclude any assets, claims, losses, liabilities or Damages of the IPCo Retained Liabilities.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4.4         </w:t>
      </w:r>
      <w:r>
        <w:rPr>
          <w:rFonts w:ascii="Times New Roman;Times;Serif" w:hAnsi="Times New Roman;Times;Serif"/>
          <w:b w:val="false"/>
          <w:i w:val="false"/>
          <w:caps w:val="false"/>
          <w:smallCaps w:val="false"/>
          <w:sz w:val="20"/>
          <w:u w:val="single"/>
        </w:rPr>
        <w:t>License and Sale of China and Japan Operating Business</w:t>
      </w:r>
      <w:r>
        <w:rPr>
          <w:rFonts w:ascii="Times New Roman;Times;Serif" w:hAnsi="Times New Roman;Times;Serif"/>
          <w:b w:val="false"/>
          <w:i w:val="false"/>
          <w:caps w:val="false"/>
          <w:smallCaps w:val="false"/>
          <w:sz w:val="20"/>
        </w:rPr>
        <w:t>. Subject to the terms and conditions hereof, the Parties shall exercise commercially reasonable efforts to arrange buyers of the entities operating in the China and Japan Operating Business and the Parties shall cooperate in good faith to execute and deliver all documents and instruments reasonably necessary and acceptable to them to effectuate any identified transfer, at the sole cost and expense of Majestic IPCo, as promptly as practicable. Notwithstanding anything to the contrary in this Agreement, in the event that Majestic IPCo or one of its Affiliates or Subsidiaries has not, on or prior to the Closing, entered into a definitive agreement with a third party purchaser providing for the sale, assignment, transfer, conveyance and delivery of the China and Japan Operating Business to such third party purchaser, then, automatically and without any further action on the part of any party hereto:</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China and Japan Operating Business shall be deemed to constitute part of the Business acquired by the G-III Buyer upon consummation of the Equity Interest Purchase.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If the China and Japan Operating Business generates a consolidated profit or consolidated net loss (it being understood and agreed that such profit or loss shall be calculated including interest, any non-cash expenses (as reasonably mutually agreed) or expenses of the G-III Buyer or its Affiliates allocated to the China and Japan Operating Business (to the extent reasonably necessary for the operation, sale or dissolution of the China and Japan Operating Business), plus any transfer pricing adjustments and any wind-down costs) during the period commencing on the Closing Date and ending on the earlier of (x) December 31, 2027 and (y) consummation of the sale of the China and Japan Operating Business to a third party purchaser or the completion of an orderly wind-down of the business (in each case occurring in accordance with the terms and conditions hereof) (the “</w:t>
      </w:r>
      <w:r>
        <w:rPr>
          <w:rFonts w:ascii="Times New Roman;Times;Serif" w:hAnsi="Times New Roman;Times;Serif"/>
          <w:b/>
          <w:i w:val="false"/>
          <w:caps w:val="false"/>
          <w:smallCaps w:val="false"/>
          <w:sz w:val="20"/>
          <w:u w:val="single"/>
        </w:rPr>
        <w:t>Coverage Period</w:t>
      </w:r>
      <w:r>
        <w:rPr>
          <w:rFonts w:ascii="Times New Roman;Times;Serif" w:hAnsi="Times New Roman;Times;Serif"/>
          <w:b w:val="false"/>
          <w:i w:val="false"/>
          <w:caps w:val="false"/>
          <w:smallCaps w:val="false"/>
          <w:sz w:val="20"/>
        </w:rPr>
        <w:t>”), the amount of such (a) consolidated profit (if any) shall be paid by G-III Buyer to Majestic IPCo as set forth below and (b) consolidated net loss for such period (if any) shall be reimbursed by Majestic IPCo to the G-III Buyer as set forth below. Within 30 days following December 31, 2027, the G-III Buyer shall submit a statement of consolidated profit or consolidated net loss of the China and Japan Operating Business calculated in accordance with this clause (b) for the periods described in this clause (b), which shall include reasonable supporting detail and calculations (the “</w:t>
      </w:r>
      <w:r>
        <w:rPr>
          <w:rFonts w:ascii="Times New Roman;Times;Serif" w:hAnsi="Times New Roman;Times;Serif"/>
          <w:b/>
          <w:i w:val="false"/>
          <w:caps w:val="false"/>
          <w:smallCaps w:val="false"/>
          <w:sz w:val="20"/>
          <w:u w:val="single"/>
        </w:rPr>
        <w:t>China and Japan Profit and Loss Statement</w:t>
      </w:r>
      <w:r>
        <w:rPr>
          <w:rFonts w:ascii="Times New Roman;Times;Serif" w:hAnsi="Times New Roman;Times;Serif"/>
          <w:b w:val="false"/>
          <w:i w:val="false"/>
          <w:caps w:val="false"/>
          <w:smallCaps w:val="false"/>
          <w:sz w:val="20"/>
        </w:rPr>
        <w:t>”). Upon receipt of the China and Japan Profit and Loss Statement, Majestic IPCo and its representatives shall have a period of 60 days following its receipt thereof to audit the books and records of the G-III Buyer and the Business solely to the extent relating to the China and Japan Operating Business (during normal business hours and upon reasonable prior notice and without interference to the G-III Buyer or the Business) and discuss with the G-III Buyer its reasonable questions and reasonable requests for reasonable additional information. If Majestic IPCo submits any good faith dispute in writing to the G-III Member with respect to any portion of the China and Japan Profit and Loss Statement prior to the expiration of the 60-day period following its receipt of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China and Japan Profit and Loss Statement, the Parties shall negotiate in good faith to resolve any such dispute. Following resolution of any disputes, (i) the G-III Buyer shall pay to Majestic IPCo the amount of any consolidated profit set forth in the China and Japan Profit and Loss Statement as finally determined pursuant to this </w:t>
      </w:r>
      <w:r>
        <w:rPr>
          <w:rFonts w:ascii="Times New Roman;Times;Serif" w:hAnsi="Times New Roman;Times;Serif"/>
          <w:b w:val="false"/>
          <w:i w:val="false"/>
          <w:caps w:val="false"/>
          <w:smallCaps w:val="false"/>
          <w:sz w:val="20"/>
          <w:u w:val="single"/>
        </w:rPr>
        <w:t>Section 4.4(b)</w:t>
      </w:r>
      <w:r>
        <w:rPr>
          <w:rFonts w:ascii="Times New Roman;Times;Serif" w:hAnsi="Times New Roman;Times;Serif"/>
          <w:b w:val="false"/>
          <w:i w:val="false"/>
          <w:caps w:val="false"/>
          <w:smallCaps w:val="false"/>
          <w:sz w:val="20"/>
        </w:rPr>
        <w:t xml:space="preserve">, or (ii) Majestic IPCo shall pay to the G-III Buyer the amount of any consolidated net loss set forth in the China and Japan Profit and Loss Statement as finally determined pursuant to this </w:t>
      </w:r>
      <w:r>
        <w:rPr>
          <w:rFonts w:ascii="Times New Roman;Times;Serif" w:hAnsi="Times New Roman;Times;Serif"/>
          <w:b w:val="false"/>
          <w:i w:val="false"/>
          <w:caps w:val="false"/>
          <w:smallCaps w:val="false"/>
          <w:sz w:val="20"/>
          <w:u w:val="single"/>
        </w:rPr>
        <w:t>Section 4.4(b)</w:t>
      </w:r>
      <w:r>
        <w:rPr>
          <w:rFonts w:ascii="Times New Roman;Times;Serif" w:hAnsi="Times New Roman;Times;Serif"/>
          <w:b w:val="false"/>
          <w:i w:val="false"/>
          <w:caps w:val="false"/>
          <w:smallCaps w:val="false"/>
          <w:sz w:val="20"/>
        </w:rPr>
        <w:t>. Upon request of Majestic IPCo, G-III Buyer shall reasonably cooperate with Majestic IPCo and its representatives and share such reasonably requested financial and other reasonably requested information regarding the China and Japan Operating Business as may be reasonably necessary for Majestic IPCo to consolidate the financials of such business.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(x) At least 30 days prior to December 31, 2027, G-III Buyer shall inform Majestic IPCo in writing as to whether it intends to wind-down the China and Japan Operating Business (in whole or in part) or continue to operate the China and Japan Operating Business (in whole or in part); if the G-III Buyer notifies Majestic IPCo that it intends to wind-down the China and Japan Operating Business (in whole or in part), or (y) if prior to December 31, 2027 Majestic IPCo grants a third party a license to operate MARC JACOBS business in either or China or Japan, the G-III Buyer may elect to wind down the applicable portion of the China and Japan Operating Business, then in either case, any reasonable costs incurred in connection with such wind-down shall be promptly reimbursed by Majestic IPCo to the G-III Buyer (subject to prior receipt of reasonable supporting documentation).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If the G-III Buyer does not deliver the notice contemplated by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hereof or otherwise continues to operate the China and Japan Operating Business, then following December 31, 2027, neither Majestic IPCo nor the G-III Buyer is required to pay over any profit or loss in respect thereof (as applicable) with respect to any period following December 31, 2027.</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If the G-III Buyer elects to continue operating the China and Japan Operating Business after December 31, 2027 using intellectual property owned by Majestic IPCo, then, as a condition to the G-III Buyer’s right to continue such operations, the G-III Buyer and Majestic IPCo shall use commercially reasonable efforts to negotiate a license agreement on terms mutually agreeable to both such Parties, unless such condition is waived by Majestic IPCo and G-III Buyer. For the avoidance of doubt, after the earlier of (x) December 31, 2027 and (y) the date on which Majestic IPCo grants a third party a license to operate the MARC JACOBS business in either China or Japan, as applicable, absent the entry into such license agreement, G-III Buyer shall have no right to use any intellectual property owned by Majestic IPCo in China or Japan, as applicable.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 xml:space="preserve">Following the Closing, and until December 31, 2027, subject to the terms hereof, any sale, license or other transaction involving the China and Japan Operating Business to a third-party purchaser in accordance with the terms hereof shall be made or undertaken at the sole discretion of Majestic IPCo. The G-III Buyer shall reasonably cooperate with Majestic IPCo and such third-party purchaser and exercise commercially reasonable efforts to facilitate such sale, license or other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prior written consent of the G-III Buyer (not to be unreasonably withheld; it being agreed that it shall be a reasonable basis to withhold consent if the terms of such transaction include post-closing restrictive covenant obligations, indemnification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or other material liability or obligations (monetary or otherwise) applicable to the G-III Buyer or its Affiliates or if the consideration payable to the G-III Buyer or its Affiliates is less than the portion of the purchase price paid by the G-III Buyer hereunder that was allocable to the China and Japan Operating Business) shall be required prior to the effectiveness of a transaction or any documentation in connection therewith.</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4.5         </w:t>
      </w:r>
      <w:r>
        <w:rPr>
          <w:rFonts w:ascii="Times New Roman;Times;Serif" w:hAnsi="Times New Roman;Times;Serif"/>
          <w:b w:val="false"/>
          <w:i w:val="false"/>
          <w:caps w:val="false"/>
          <w:smallCaps w:val="false"/>
          <w:sz w:val="20"/>
          <w:u w:val="single"/>
        </w:rPr>
        <w:t>Restructuring Costs</w:t>
      </w:r>
      <w:r>
        <w:rPr>
          <w:rFonts w:ascii="Times New Roman;Times;Serif" w:hAnsi="Times New Roman;Times;Serif"/>
          <w:b w:val="false"/>
          <w:i w:val="false"/>
          <w:caps w:val="false"/>
          <w:smallCaps w:val="false"/>
          <w:color w:val="000000"/>
          <w:sz w:val="20"/>
        </w:rPr>
        <w:t xml:space="preserve">.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Parties acknowledge and agree that subsequent to the Closing and until December 31, 2027 (the “</w:t>
      </w:r>
      <w:r>
        <w:rPr>
          <w:rFonts w:ascii="Times New Roman;Times;Serif" w:hAnsi="Times New Roman;Times;Serif"/>
          <w:b/>
          <w:i w:val="false"/>
          <w:caps w:val="false"/>
          <w:smallCaps w:val="false"/>
          <w:sz w:val="20"/>
          <w:u w:val="single"/>
        </w:rPr>
        <w:t>Restructuring Period</w:t>
      </w:r>
      <w:r>
        <w:rPr>
          <w:rFonts w:ascii="Times New Roman;Times;Serif" w:hAnsi="Times New Roman;Times;Serif"/>
          <w:b w:val="false"/>
          <w:i w:val="false"/>
          <w:caps w:val="false"/>
          <w:smallCaps w:val="false"/>
          <w:sz w:val="20"/>
        </w:rPr>
        <w:t>”), the G-III Buyer intends to undertake certain restructuring activities to rationalize the Business, which such activities may include termination of employees of the Business as of immediately prior to the Closing, termination of leases or other contracts of the Business in existence as of immediately prior to the Closing, and other similar fees, costs and expenses that, in each case, result in one-time cash costs (including for the US Retail Restructuring Costs) and are inclusive of documented and out-of-pocket professional and advisory costs, fees and expenses related thereto (collectively, the “</w:t>
      </w:r>
      <w:r>
        <w:rPr>
          <w:rFonts w:ascii="Times New Roman;Times;Serif" w:hAnsi="Times New Roman;Times;Serif"/>
          <w:b/>
          <w:i w:val="false"/>
          <w:caps w:val="false"/>
          <w:smallCaps w:val="false"/>
          <w:sz w:val="20"/>
          <w:u w:val="single"/>
        </w:rPr>
        <w:t>Restructuring Costs</w:t>
      </w:r>
      <w:r>
        <w:rPr>
          <w:rFonts w:ascii="Times New Roman;Times;Serif" w:hAnsi="Times New Roman;Times;Serif"/>
          <w:b w:val="false"/>
          <w:i w:val="false"/>
          <w:caps w:val="false"/>
          <w:smallCaps w:val="false"/>
          <w:sz w:val="20"/>
        </w:rPr>
        <w:t>”), in each case, that may become payable following the Closing. In furtherance of the foregoing, and to fund, in part, the Restructuring Costs, WHP Parent (x) shall pay to Majestic IPCo, and Majestic IPCo shall then pay to the G-III Purchaser the first $40,000,000, less any Retention Payment, of global Restructuring Costs (the “</w:t>
      </w:r>
      <w:r>
        <w:rPr>
          <w:rFonts w:ascii="Times New Roman;Times;Serif" w:hAnsi="Times New Roman;Times;Serif"/>
          <w:b/>
          <w:i w:val="false"/>
          <w:caps w:val="false"/>
          <w:smallCaps w:val="false"/>
          <w:sz w:val="20"/>
          <w:u w:val="single"/>
        </w:rPr>
        <w:t>Restructuring Cap</w:t>
      </w:r>
      <w:r>
        <w:rPr>
          <w:rFonts w:ascii="Times New Roman;Times;Serif" w:hAnsi="Times New Roman;Times;Serif"/>
          <w:b w:val="false"/>
          <w:i w:val="false"/>
          <w:caps w:val="false"/>
          <w:smallCaps w:val="false"/>
          <w:sz w:val="20"/>
        </w:rPr>
        <w:t>”) as and when incurred (it being understood and agreed that any payment to Majestic IPCo pursuant to this clause (x) shall not be deemed a capital contribution (other than for tax purposes) or loan to Majestic IPCo by WHP Parent or any Affiliate thereof, and shall only be a funding direction for any payments in respect of the Restructuring Costs), and (y) shall pay or reimburse (subject to receipt of supporting documentation from the G-III Buyer as set forth in clause (b) below) G-III Buyer for the same to the extent it incurs Restructuring Costs with respect to the Business prior to the Restructuring Cap being exceeded. The Parties acknowledge and agree that the G-III Buyer shall control the MJ International Group and any restructuring activities.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During the Restructuring Period, the G-III Buyer shall submit WHP Parent reasonable supporting documentation and respond to any reasonable requests for additional backup information evidencing Restructuring Costs (but no more frequently than once per quarter during the Restructuring Period).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4.6         </w:t>
      </w:r>
      <w:r>
        <w:rPr>
          <w:rFonts w:ascii="Times New Roman;Times;Serif" w:hAnsi="Times New Roman;Times;Serif"/>
          <w:b w:val="false"/>
          <w:i w:val="false"/>
          <w:caps w:val="false"/>
          <w:smallCaps w:val="false"/>
          <w:sz w:val="20"/>
          <w:u w:val="single"/>
        </w:rPr>
        <w:t>TSA Services</w:t>
      </w:r>
      <w:r>
        <w:rPr>
          <w:rFonts w:ascii="Times New Roman;Times;Serif" w:hAnsi="Times New Roman;Times;Serif"/>
          <w:b w:val="false"/>
          <w:i w:val="false"/>
          <w:caps w:val="false"/>
          <w:smallCaps w:val="false"/>
          <w:color w:val="000000"/>
          <w:sz w:val="20"/>
        </w:rPr>
        <w:t xml:space="preserve">. Each of G-III Buyer and Majestic IPCo acknowledges and agrees that certain third-party purchasers of the operating assets and liabilities of Holdings and its subsidiaries in China and Japan may need access to transition services to be provided by LVMH Moet Hennessy Louis Vuitton Inc. to the G-III Buyer or MJ Buyer. The G-III Buyer agrees to reasonably cooperate with Majestic IPCo and such third-party purchasers to pass through, at cost and on arms-length terms for tax purposes (but with no further markup for profit for the G-III Buyer), any such TSA services as may be necessary to operate such operating assets; provided, however, that in no event shall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require the taking of any actions that would reasonably be expected to result in a breach of the TSA.</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4.7         </w:t>
      </w:r>
      <w:r>
        <w:rPr>
          <w:rFonts w:ascii="Times New Roman;Times;Serif" w:hAnsi="Times New Roman;Times;Serif"/>
          <w:b w:val="false"/>
          <w:i w:val="false"/>
          <w:caps w:val="false"/>
          <w:smallCaps w:val="false"/>
          <w:sz w:val="20"/>
          <w:u w:val="single"/>
        </w:rPr>
        <w:t>Certain Retail Stores</w:t>
      </w:r>
      <w:r>
        <w:rPr>
          <w:rFonts w:ascii="Times New Roman;Times;Serif" w:hAnsi="Times New Roman;Times;Serif"/>
          <w:b w:val="false"/>
          <w:i w:val="false"/>
          <w:caps w:val="false"/>
          <w:smallCaps w:val="false"/>
          <w:color w:val="000000"/>
          <w:sz w:val="20"/>
        </w:rPr>
        <w:t xml:space="preserve">.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For a period commencing on the Closing Date and ending on the later of (a) the five (5) month anniversary of the Closing Date and (b) January 31, 2027 (the “</w:t>
      </w:r>
      <w:r>
        <w:rPr>
          <w:rFonts w:ascii="Times New Roman;Times;Serif" w:hAnsi="Times New Roman;Times;Serif"/>
          <w:b/>
          <w:i w:val="false"/>
          <w:caps w:val="false"/>
          <w:smallCaps w:val="false"/>
          <w:sz w:val="20"/>
          <w:u w:val="single"/>
        </w:rPr>
        <w:t>Store Closure Period</w:t>
      </w:r>
      <w:r>
        <w:rPr>
          <w:rFonts w:ascii="Times New Roman;Times;Serif" w:hAnsi="Times New Roman;Times;Serif"/>
          <w:b w:val="false"/>
          <w:i w:val="false"/>
          <w:caps w:val="false"/>
          <w:smallCaps w:val="false"/>
          <w:sz w:val="20"/>
        </w:rPr>
        <w:t>”), G-III Buyer shall not, and shall cause its Affiliates not to, directly or indirectly, close, shut down, or cease operations of any retail store, boutique, concession, shop-in-shop, outlet or other physical retail location that is operated by the MJ International Group.</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consolidated operating losses (determined consistent with the loss categories and metrics set forth in folder #11.9.5 of the Electronic Data Room and on a consolidated basis for all US Retail Stores, in aggregate), if any, experienced by all retail stores or boutiques of the Business operating as of the Closing Date and located in the United States (“</w:t>
      </w:r>
      <w:r>
        <w:rPr>
          <w:rFonts w:ascii="Times New Roman;Times;Serif" w:hAnsi="Times New Roman;Times;Serif"/>
          <w:b/>
          <w:i w:val="false"/>
          <w:caps w:val="false"/>
          <w:smallCaps w:val="false"/>
          <w:sz w:val="20"/>
          <w:u w:val="single"/>
        </w:rPr>
        <w:t>US Retail Stores</w:t>
      </w:r>
      <w:r>
        <w:rPr>
          <w:rFonts w:ascii="Times New Roman;Times;Serif" w:hAnsi="Times New Roman;Times;Serif"/>
          <w:b w:val="false"/>
          <w:i w:val="false"/>
          <w:caps w:val="false"/>
          <w:smallCaps w:val="false"/>
          <w:sz w:val="20"/>
        </w:rPr>
        <w:t>”), for the Store Closure Period, shall be deemed a Restructuring Cost subject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hereof (“</w:t>
      </w:r>
      <w:r>
        <w:rPr>
          <w:rFonts w:ascii="Times New Roman;Times;Serif" w:hAnsi="Times New Roman;Times;Serif"/>
          <w:b/>
          <w:i w:val="false"/>
          <w:caps w:val="false"/>
          <w:smallCaps w:val="false"/>
          <w:sz w:val="20"/>
          <w:u w:val="single"/>
        </w:rPr>
        <w:t>US Retail Restructuring Costs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4.8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color w:val="000000"/>
          <w:sz w:val="20"/>
        </w:rPr>
        <w:t>. The Parties agree and intend, that, for all U.S. federal (and applicable state and local) income tax purposes, (i) the Excluded Business Distributions and the distribution to MJ Buyer Parent in the MJ International Distributions are disregarded, (ii) the distribution by MJ Buyer Parent to Majestic IPCo pursuant to the MJ International Distributions is treated as (x) with respect to Majestic IPCo, an in-kind distribution by MJ Buyer Parent to Majestic IPCo of an amount that (a) solely to the extent of the earnings and profits of MJ Buyer Parent through the end of the day on the Closing Date, constitutes a dividend (within the meaning of Section 301(c)(1) of the Internal Revenue Code of 1986, as amended (the “</w:t>
      </w:r>
      <w:r>
        <w:rPr>
          <w:rFonts w:ascii="Times New Roman;Times;Serif" w:hAnsi="Times New Roman;Times;Serif"/>
          <w:b/>
          <w:i w:val="false"/>
          <w:caps w:val="false"/>
          <w:smallCaps w:val="false"/>
          <w:color w:val="000000"/>
          <w:sz w:val="20"/>
          <w:u w:val="single"/>
        </w:rPr>
        <w:t>Code</w:t>
      </w:r>
      <w:r>
        <w:rPr>
          <w:rFonts w:ascii="Times New Roman;Times;Serif" w:hAnsi="Times New Roman;Times;Serif"/>
          <w:b w:val="false"/>
          <w:i w:val="false"/>
          <w:caps w:val="false"/>
          <w:smallCaps w:val="false"/>
          <w:color w:val="000000"/>
          <w:sz w:val="20"/>
        </w:rPr>
        <w:t xml:space="preserve">”)) and (b) to the extent exceeding the amount described in clause (a), constitutes a distribution that is applied against and reduces the adjusted basis of the Equity Interests under Section 301(c)(2) of the Code, (y) with respect to MJ Buyer Parent, a distribution of assets (including stock) by MJ Buyer Parent to Majestic IPCo under Section 311 of the Code, in which the fair market value and adjusted tax basis of all relevant assets (including, in the case of any entity classified as a corporation for U.S. federal income tax purposes, the stock of that entity) are equal to the amount allocated to those assets under the final Allocation (as defined in Section 7.3(b) of the UPA), (iii) the Equity Interest Purchase and the Proceeds Distribution shall not be treated in accordance with their form and instead shall be treated as a distribution of the Equity Interests to G-III Buyer in a non-liquidating distribution from a partnership under Section 731(a) of the Code, (iv) any payment made pursuant to Section 1.1, Section 1.4(d), Section 1.4(e), Section 1.4(f), Section 1.4(g), Section 4.4(b), Section 4.4(c), Section 4.7(b) and Article VI shall be treated as adjustments to the amounts that WHP and G-III Buyer contributed to Majestic IPCo in connection with the transactions contemplated in this Agreement or as an adjustment to the amount distributed to G-III Buyer under clause (iii), as applicable and (v) any payments received by MJ Buyer under the R&amp;W Insurance Policy shall, after taking into account the provisions of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 if retained by MJ Buyer (or distributed to Majestic IPCo), be treated as (a) having been received first by MJ Buyer Parent as an adjustment to the purchase price paid under the Unit Purchase Agreement and (b) having been paid by MJ Buyer Parent to Majestic IPCo as an adjustment to the amount distributed to Majestic IPCo in accordance with clause (ii) and (y) if paid to MJ Buyer Parent, be treated as having been received by MJ Buyer as an agent or nominee for MJ Buyer Parent. The Parties agree to cooperate in good faith to determine the appropriate tax characterization of any payments that are made under Section 4.5(a).</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4.9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color w:val="000000"/>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Subject to clauses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below, each of the Parties shall not, and shall cause its Representatives not to, without the prior written consent of the other Party, which shall be given in each such Party’s sole discretion, use or divulge or communicate to any Person (other than its Representatives) any Confidential Information of the other Party or any of its Subsidiaries.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Majestic IPCo or G-III Buyer, as applicable, or their respective Affiliates and Representatives may disclose Confidential Information if and to the extent disclosure is required by Law or the rules of any securities exchange on which such Party’s (or its Affiliates’) securities are listed,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disclosure of such Confidential Information is then only permitted to the minimum extent required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Disclosing Party: (i) has (to the extent lawfully possible) first consulted with the other Party as to the nature, proposed form, timing and purpose of such proposed disclosure; (ii) has cooperated with the other Party to obtain a protective order (at such requesting Party’s sole cost and expense); and (iii) discloses only such Confidential Information as is required under applicable Law or the rules of the applicable securities exchange requiring such disclosure. Without limiting the foregoing, the G-III Buyer and its Affiliates, in connection with its ordinary course public company reporting obligations or activities, may disclose information relating to the Transaction Documents and the transactions contemplated hereby to respond to questions or provide a summary or update relating to, or otherwise discuss, the transactions contemplated by this Agreement, and any related transactions or events, including in connection with calls or meetings with analysts, investors or attendees of any industry conference.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Notwithstanding the foregoing, any Party hereto and its respective Representatives may disclose this Agreement and the Transaction Documents to which it is a party and their respective terms and conditions: (i) to any of such Party’s Representatives, (ii) if required by applicable Law, rule, regulation or by any court order or by a recognized stock exchange, governmental department or agency or other supervisory or regulated body, or in connection with court or other proceedings to enforce the terms and conditions of this Agreement, (iii) to such Party’s existing or prospective investors, equity holders or lenders in connection with its ordinary course reporting obligations (which disclosures must be subject to customary confidentiality obligations no less restrictive than the confidentiality provisions of this Agreement), or (iv) to the extent such disclosure is consistent in all material respects with any prior public disclosure made in accordance with this Agreement, the Transaction Documents or the UPA.</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4.10        </w:t>
      </w:r>
      <w:r>
        <w:rPr>
          <w:rFonts w:ascii="Times New Roman;Times;Serif" w:hAnsi="Times New Roman;Times;Serif"/>
          <w:b w:val="false"/>
          <w:i w:val="false"/>
          <w:caps w:val="false"/>
          <w:smallCaps w:val="false"/>
          <w:sz w:val="20"/>
          <w:u w:val="single"/>
        </w:rPr>
        <w:t>Tax Liability</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parties acknowledge and agree that, from and after the Closing, Majestic IPCo shall indemnify and hold harmless G-III Buyer from any Taxes imposed on G-III Buyer, G-III Buyer Parent, MJ Buyer Parent or any member of the MJ International Group arising from, without duplication (A) the Pre-Closing Transactions contemplated in Section 6.5 of the UPA or (B) the settlement of any other obligations owed between or among members of the MJ International Group immediately prior to the Closing that remain outstanding immediately after the UPA Closing (such obligations, the “</w:t>
      </w:r>
      <w:r>
        <w:rPr>
          <w:rFonts w:ascii="Times New Roman;Times;Serif" w:hAnsi="Times New Roman;Times;Serif"/>
          <w:b/>
          <w:i w:val="false"/>
          <w:caps w:val="false"/>
          <w:smallCaps w:val="false"/>
          <w:sz w:val="20"/>
          <w:u w:val="single"/>
        </w:rPr>
        <w:t>Remaining Intercompany Balances</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From and after the Closing, G-III Buyer shall use commercially reasonable efforts to cause the Remaining Intercompany Balances to be settled in a tax-efficient manner within a reasonable period following the Closing. Without limiting the generality of the previous sentence, G-III Buyer shall, before settling the Remaining Intercompany Balances, consult in good faith with Majestic IPCo as to its plan for settling the Remaining Intercompany Balances and shall</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to Majestic IPCo any material Taxes that G-III Buyer anticipates incurring in connection with the settlement of the Remaining Intercompany Balances that would be described in Section 4.10(a), and consider in good faith any reasonable comments of Majestic IPCo on the proposed plan for settling the Remaining Intercompany Balances.</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w:t>
      </w:r>
      <w:r>
        <w:rPr>
          <w:rFonts w:ascii="Times New Roman;Times;Serif" w:hAnsi="Times New Roman;Times;Serif"/>
          <w:b/>
          <w:i w:val="false"/>
          <w:caps/>
          <w:sz w:val="20"/>
          <w:u w:val="single"/>
        </w:rPr>
        <w:br/>
        <w:t>conditions to closing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5.1         </w:t>
      </w:r>
      <w:r>
        <w:rPr>
          <w:rFonts w:ascii="Times New Roman;Times;Serif" w:hAnsi="Times New Roman;Times;Serif"/>
          <w:b w:val="false"/>
          <w:i w:val="false"/>
          <w:caps w:val="false"/>
          <w:smallCaps w:val="false"/>
          <w:sz w:val="20"/>
          <w:u w:val="single"/>
        </w:rPr>
        <w:t>Conditions to the Obligations Hereunder</w:t>
      </w:r>
      <w:r>
        <w:rPr>
          <w:rFonts w:ascii="Times New Roman;Times;Serif" w:hAnsi="Times New Roman;Times;Serif"/>
          <w:b w:val="false"/>
          <w:i w:val="false"/>
          <w:caps w:val="false"/>
          <w:smallCaps w:val="false"/>
          <w:color w:val="000000"/>
          <w:sz w:val="20"/>
        </w:rPr>
        <w:t xml:space="preserve">. The obligations of each of the Parties hereto to consummate the transactions contemplated by this Agreement shall be subject to the following conditions: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consummation of the MJ Transaction at or prior to the Closing;</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No permanent injunction or other final judgment or order issued by any Governmental Authority that prohibits the transactions contemplated by this Agreement shall have been issued and remain in effect;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An assignment and assumption of Equity Interests with respect to the assignment of the Equity Interests to G-III Buyer, in form and substance reasonably satisfactory to the G-III Buyer, shall have been duly executed by G-III Buyer and Majestic IPCo; and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The Pre-Closing Restructuring shall have been completed in all material respects.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w:t>
      </w:r>
      <w:r>
        <w:rPr>
          <w:rFonts w:ascii="Times New Roman;Times;Serif" w:hAnsi="Times New Roman;Times;Serif"/>
          <w:b/>
          <w:i w:val="false"/>
          <w:caps/>
          <w:sz w:val="20"/>
        </w:rPr>
        <w:t xml:space="preserve"> </w:t>
      </w:r>
      <w:r>
        <w:rPr>
          <w:rFonts w:ascii="Times New Roman;Times;Serif" w:hAnsi="Times New Roman;Times;Serif"/>
          <w:b/>
          <w:i w:val="false"/>
          <w:caps/>
          <w:color w:val="010000"/>
          <w:sz w:val="20"/>
        </w:rPr>
        <w:t>VI</w:t>
      </w:r>
      <w:r>
        <w:rPr>
          <w:rFonts w:ascii="Times New Roman;Times;Serif" w:hAnsi="Times New Roman;Times;Serif"/>
          <w:b/>
          <w:i w:val="false"/>
          <w:caps/>
          <w:sz w:val="20"/>
          <w:u w:val="single"/>
        </w:rPr>
        <w:br/>
        <w:t>INDEMNIFICATION; UPA CLAIMS; r&amp;w INSURANCE POLICY CLAIMS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6.1         </w:t>
      </w:r>
      <w:r>
        <w:rPr>
          <w:rFonts w:ascii="Times New Roman;Times;Serif" w:hAnsi="Times New Roman;Times;Serif"/>
          <w:b w:val="false"/>
          <w:i w:val="false"/>
          <w:caps w:val="false"/>
          <w:smallCaps w:val="false"/>
          <w:sz w:val="20"/>
          <w:u w:val="single"/>
        </w:rPr>
        <w:t>Majestic IPCo Indemnity</w:t>
      </w:r>
      <w:r>
        <w:rPr>
          <w:rFonts w:ascii="Times New Roman;Times;Serif" w:hAnsi="Times New Roman;Times;Serif"/>
          <w:b w:val="false"/>
          <w:i w:val="false"/>
          <w:caps w:val="false"/>
          <w:smallCaps w:val="false"/>
          <w:color w:val="000000"/>
          <w:sz w:val="20"/>
        </w:rPr>
        <w:t xml:space="preserve">. Subject to the terms set forth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from and after the Closing, (i) in the event G-III Buyer or any of its Affiliates breaches or fails to perform any covenant or agreement of G-III Buyer or its Affiliates under this Agreement or there is a breach of, or inaccuracy in, any of the representations and warranties of G-III Buyer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val="false"/>
          <w:caps w:val="false"/>
          <w:smallCaps w:val="false"/>
          <w:sz w:val="20"/>
          <w:u w:val="single"/>
        </w:rPr>
        <w:t>G-III Buyer Breach</w:t>
      </w:r>
      <w:r>
        <w:rPr>
          <w:rFonts w:ascii="Times New Roman;Times;Serif" w:hAnsi="Times New Roman;Times;Serif"/>
          <w:b w:val="false"/>
          <w:i w:val="false"/>
          <w:caps w:val="false"/>
          <w:smallCaps w:val="false"/>
          <w:sz w:val="20"/>
        </w:rPr>
        <w:t>”), (a) Majestic IPCo shall be entitled to request from the G-III Buyer compliance (and G-III Buyer shall comply) with such obligations and (b) from and after the Closing, G-III Buyer shall indemnify, defend and hold Majestic IPCo, its Affiliates, Representatives and successors (“</w:t>
      </w:r>
      <w:r>
        <w:rPr>
          <w:rFonts w:ascii="Times New Roman;Times;Serif" w:hAnsi="Times New Roman;Times;Serif"/>
          <w:b/>
          <w:i w:val="false"/>
          <w:caps w:val="false"/>
          <w:smallCaps w:val="false"/>
          <w:sz w:val="20"/>
          <w:u w:val="single"/>
        </w:rPr>
        <w:t>Seller Indemnitees</w:t>
      </w:r>
      <w:r>
        <w:rPr>
          <w:rFonts w:ascii="Times New Roman;Times;Serif" w:hAnsi="Times New Roman;Times;Serif"/>
          <w:b w:val="false"/>
          <w:i w:val="false"/>
          <w:caps w:val="false"/>
          <w:smallCaps w:val="false"/>
          <w:sz w:val="20"/>
        </w:rPr>
        <w:t>”) harmless from any Damages which Seller Indemnitees have suffered or incurred in connection with or as a result of such G-III Buyer Breach, and (ii) G-III Buyer shall indemnify, defend, and hold the Seller Indemnitees harmless from all Damages related to or arising out of the Business (excluding, for the avoidance of doubt, the Excluded Business), including the OpCo Retained Liabilities.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6.2         </w:t>
      </w:r>
      <w:r>
        <w:rPr>
          <w:rFonts w:ascii="Times New Roman;Times;Serif" w:hAnsi="Times New Roman;Times;Serif"/>
          <w:b w:val="false"/>
          <w:i w:val="false"/>
          <w:caps w:val="false"/>
          <w:smallCaps w:val="false"/>
          <w:sz w:val="20"/>
          <w:u w:val="single"/>
        </w:rPr>
        <w:t>G-III Buyer Indemnity</w:t>
      </w:r>
      <w:r>
        <w:rPr>
          <w:rFonts w:ascii="Times New Roman;Times;Serif" w:hAnsi="Times New Roman;Times;Serif"/>
          <w:b w:val="false"/>
          <w:i w:val="false"/>
          <w:caps w:val="false"/>
          <w:smallCaps w:val="false"/>
          <w:color w:val="000000"/>
          <w:sz w:val="20"/>
        </w:rPr>
        <w:t xml:space="preserve">. Subject to the terms set forth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from and after the Closing, (i) (a) in the event Majestic IPCo or any of its Affiliates breaches or fails to perform any covenant or agreement under this Agreement or there is a breach of or inaccuracy in, any of the representations and warranties of Majestic IPCo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val="false"/>
          <w:caps w:val="false"/>
          <w:smallCaps w:val="false"/>
          <w:sz w:val="20"/>
          <w:u w:val="single"/>
        </w:rPr>
        <w:t>Seller Breach</w:t>
      </w:r>
      <w:r>
        <w:rPr>
          <w:rFonts w:ascii="Times New Roman;Times;Serif" w:hAnsi="Times New Roman;Times;Serif"/>
          <w:b w:val="false"/>
          <w:i w:val="false"/>
          <w:caps w:val="false"/>
          <w:smallCaps w:val="false"/>
          <w:sz w:val="20"/>
        </w:rPr>
        <w:t>”), G-III Buyer shall be entitled to request from Majestic IPCo compliance (and such Party shall comply) with such obligations and (b) from and after the Closing, Majestic IPCo shall indemnify, defend and hold G-III Buyer, its Affiliates (including, without limitation,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and respective Representatives and successors (“</w:t>
      </w:r>
      <w:r>
        <w:rPr>
          <w:rFonts w:ascii="Times New Roman;Times;Serif" w:hAnsi="Times New Roman;Times;Serif"/>
          <w:b/>
          <w:i w:val="false"/>
          <w:caps w:val="false"/>
          <w:smallCaps w:val="false"/>
          <w:sz w:val="20"/>
          <w:u w:val="single"/>
        </w:rPr>
        <w:t>G-III Buyer Indemnitees</w:t>
      </w:r>
      <w:r>
        <w:rPr>
          <w:rFonts w:ascii="Times New Roman;Times;Serif" w:hAnsi="Times New Roman;Times;Serif"/>
          <w:b w:val="false"/>
          <w:i w:val="false"/>
          <w:caps w:val="false"/>
          <w:smallCaps w:val="false"/>
          <w:sz w:val="20"/>
        </w:rPr>
        <w:t>”) harmless from all Damages which G-III Buyer Indemnitees have suffered or incurred in connection with or as a result of such Seller Breach, (ii) Majestic IPCo shall indemnify, defend, and hold the G-III Buyer Indemnitees harmless from all Damages related to or arising out of the Excluded Business, including the IPCo Retained Liabilities and (iii) Majestic IPCo shall indemnify, defend, and hold the G-III Buyer Indemnitees (except, for purposes of this clause (iii) only, the Persons constituting the China and Japan Operating Business, as defined herein) and WHP Parent and its Affiliates harmless from all Damages to the extent arising from operating, owning, or disposing of, the China and Japan Operating Business during or with respect to the Coverage Period (in each case, to the extent not reflected in the China and Japan Profits and Loss Statement and to the extent proceeds are not received under the R&amp;W Insurance Policy or other insurance coverage net of expenses).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6.3         </w:t>
      </w:r>
      <w:r>
        <w:rPr>
          <w:rFonts w:ascii="Times New Roman;Times;Serif" w:hAnsi="Times New Roman;Times;Serif"/>
          <w:b w:val="false"/>
          <w:i w:val="false"/>
          <w:caps w:val="false"/>
          <w:smallCaps w:val="false"/>
          <w:sz w:val="20"/>
          <w:u w:val="single"/>
        </w:rPr>
        <w:t>Indemnification Procedures</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color w:val="000000"/>
          <w:sz w:val="20"/>
        </w:rPr>
        <w:t>. In the event G-III Buyer, on the one hand, or Majestic IPCo, on the other hand (in such capacity, the “</w:t>
      </w:r>
      <w:r>
        <w:rPr>
          <w:rFonts w:ascii="Times New Roman;Times;Serif" w:hAnsi="Times New Roman;Times;Serif"/>
          <w:b/>
          <w:i w:val="false"/>
          <w:caps w:val="false"/>
          <w:smallCaps w:val="false"/>
          <w:color w:val="000000"/>
          <w:sz w:val="20"/>
          <w:u w:val="single"/>
        </w:rPr>
        <w:t>Indemnified Party</w:t>
      </w:r>
      <w:r>
        <w:rPr>
          <w:rFonts w:ascii="Times New Roman;Times;Serif" w:hAnsi="Times New Roman;Times;Serif"/>
          <w:b w:val="false"/>
          <w:i w:val="false"/>
          <w:caps w:val="false"/>
          <w:smallCaps w:val="false"/>
          <w:color w:val="000000"/>
          <w:sz w:val="20"/>
        </w:rPr>
        <w:t>”) should have a claim against the other (in such capacity, the “</w:t>
      </w:r>
      <w:r>
        <w:rPr>
          <w:rFonts w:ascii="Times New Roman;Times;Serif" w:hAnsi="Times New Roman;Times;Serif"/>
          <w:b/>
          <w:i w:val="false"/>
          <w:caps w:val="false"/>
          <w:smallCaps w:val="false"/>
          <w:color w:val="000000"/>
          <w:sz w:val="20"/>
          <w:u w:val="single"/>
        </w:rPr>
        <w:t>Indemnifying Party</w:t>
      </w:r>
      <w:r>
        <w:rPr>
          <w:rFonts w:ascii="Times New Roman;Times;Serif" w:hAnsi="Times New Roman;Times;Serif"/>
          <w:b w:val="false"/>
          <w:i w:val="false"/>
          <w:caps w:val="false"/>
          <w:smallCaps w:val="false"/>
          <w:color w:val="000000"/>
          <w:sz w:val="20"/>
        </w:rPr>
        <w:t xml:space="preserve">”) under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respectively (a “</w:t>
      </w:r>
      <w:r>
        <w:rPr>
          <w:rFonts w:ascii="Times New Roman;Times;Serif" w:hAnsi="Times New Roman;Times;Serif"/>
          <w:b/>
          <w:i w:val="false"/>
          <w:caps w:val="false"/>
          <w:smallCaps w:val="false"/>
          <w:sz w:val="20"/>
          <w:u w:val="single"/>
        </w:rPr>
        <w:t>Claim</w:t>
      </w:r>
      <w:r>
        <w:rPr>
          <w:rFonts w:ascii="Times New Roman;Times;Serif" w:hAnsi="Times New Roman;Times;Serif"/>
          <w:b w:val="false"/>
          <w:i w:val="false"/>
          <w:caps w:val="false"/>
          <w:smallCaps w:val="false"/>
          <w:sz w:val="20"/>
        </w:rPr>
        <w:t>”), the Indemnified Party shall promptly and, in any event within 30 days following the date on which the Indemnified Party has actual knowledge of the events or circumstances which may give rise to a Claim (the “</w:t>
      </w:r>
      <w:r>
        <w:rPr>
          <w:rFonts w:ascii="Times New Roman;Times;Serif" w:hAnsi="Times New Roman;Times;Serif"/>
          <w:b/>
          <w:i w:val="false"/>
          <w:caps w:val="false"/>
          <w:smallCaps w:val="false"/>
          <w:sz w:val="20"/>
          <w:u w:val="single"/>
        </w:rPr>
        <w:t>Indemnification Claim Notice Period</w:t>
      </w:r>
      <w:r>
        <w:rPr>
          <w:rFonts w:ascii="Times New Roman;Times;Serif" w:hAnsi="Times New Roman;Times;Serif"/>
          <w:b w:val="false"/>
          <w:i w:val="false"/>
          <w:caps w:val="false"/>
          <w:smallCaps w:val="false"/>
          <w:sz w:val="20"/>
        </w:rPr>
        <w:t>”), deliver written notice of such Claim (describing such Claim in reasonable detail, including the amount of the estimated Damages and the basis for making the Claim under this Agreement, together with copies of all related documents, in each case, to the extent then known by such Person) to the Indemnifying Party. The failure by any Indemnified Party to so notify the Indemnifying Party shall not invalidate such Claim, except, in the case of a Claim made against an Indemnified Party in respect of, arising out of or involving a claim made or Proceeding brought by any third Person (such claim, a “</w:t>
      </w:r>
      <w:r>
        <w:rPr>
          <w:rFonts w:ascii="Times New Roman;Times;Serif" w:hAnsi="Times New Roman;Times;Serif"/>
          <w:b/>
          <w:i w:val="false"/>
          <w:caps w:val="false"/>
          <w:smallCaps w:val="false"/>
          <w:sz w:val="20"/>
          <w:u w:val="single"/>
        </w:rPr>
        <w:t>Third-Party Claim</w:t>
      </w:r>
      <w:r>
        <w:rPr>
          <w:rFonts w:ascii="Times New Roman;Times;Serif" w:hAnsi="Times New Roman;Times;Serif"/>
          <w:b w:val="false"/>
          <w:i w:val="false"/>
          <w:caps w:val="false"/>
          <w:smallCaps w:val="false"/>
          <w:sz w:val="20"/>
        </w:rPr>
        <w:t>”), to the extent that the Indemnifying Party shall have been actually and materially prejudiced as a result of such failure. To the extent that the Indemnified Party does not provide notice of a Claim prior to the expiration of the Indemnification Claim Notice Period and as a result thereof the amount of Damages increases following the expiration of the Indemnification Claim Notice Period, the amount of Damages recoverable with respect to such Claim shall be reduced by the amount of such increase.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Assumption</w:t>
      </w:r>
      <w:r>
        <w:rPr>
          <w:rFonts w:ascii="Times New Roman;Times;Serif" w:hAnsi="Times New Roman;Times;Serif"/>
          <w:b w:val="false"/>
          <w:i w:val="false"/>
          <w:caps w:val="false"/>
          <w:smallCaps w:val="false"/>
          <w:color w:val="000000"/>
          <w:sz w:val="20"/>
        </w:rPr>
        <w:t xml:space="preserve">. If a Third-Party Claim is made, the Indemnifying Party shall be entitled to, at its sole cost and expense, participate in the defense thereof and, if it so chooses, to assume the defense thereof with counsel selected by the Indemnifying Party, subject to the limitations set forth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If the Indemnifying Party assumes such defense, the Indemnified Party shall have the right to participate in the defense thereof and to employ counsel, at its own expense, separate from the counsel employed by the Indemnifying Party, it being understood that the Indemnifying Party shall control such defense. The Indemnifying Party shall be liable for the reasonable and documented out-of-pocket fees and expenses of counsel employed by the Indemnified Party for any period during which the Indemnifying Party has not assumed the defense thereof (other than during any period in which the Indemnified Party shall have failed to give notice of the Third-Party Claim during the Indemnification Claim Notice Period, as provided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If the Indemnifying Party chooses to defend or prosecute a Third-Party Claim, all the applicable Indemnified Parties shall reasonably cooperate in the defense or prosecution thereof. Such cooperation shall include, the retention and, upon the Indemnifying Party’s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reasonable request, the provision to the Indemnifying Party of books, records, documents and information of the Indemnified Party that are relevant to such Third-Party Claim and in the possession of the Indemnified Party or its Representatives, and making employees of the Indemnified Party reasonably available on a mutually convenient basis to provide additional information and explanation of any material provided hereunder. The Indemnifying Party shall keep the Indemnified Party timely apprised of any material developments with respect to such Third-Party Claim that is assumed by the Indemnifying Party and the Indemnified Party shall be entitled to receive copies of all substantive pleadings, notices and communications with respect to such Third-Party Claim as the Indemnified Party may request. Whether or not the Indemnifying Party assumes the defense of a Third-Party Claim, the Indemnified Party shall not admit any liability with respect to, or settle, compromise or discharge, such Third-Party Claim without the Indemnifying Party’s prior written consent (which consent shall not be unreasonably withheld, conditioned or delayed). If the Indemnifying Party assumes the defense of a Third-Party Claim, the Indemnified Party shall agree to any settlement, compromise or discharge of a Third-Party Claim that the Indemnifying Party may recommend so long as (x) such settlement, compromise or discharge by its terms obligates the Indemnifying Party to pay the full amount of the liability in connection with such Third-Party Claim, (y) does not require any Indemnified Party to agree to any covenants, non-monetary relief or criminal penalties or liabilities, other than customary confidentiality covenants and (z) releases the Indemnified Party completely and unconditionally without liability in connection with such Third-Party Claim;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Indemnifying Party shall not, without prior written consent of the Indemnified Party, settle, compromise or offer to settle or compromise any Third-Party Claim on a basis that would result in (i) injunctive or other nonmonetary relief against the Indemnified Party, including the imposition of a Law, that would restrict the future activity or conduct of the Indemnified Party or (ii) a finding or admission of fault or misconduct by the Indemnified Party. Notwithstanding anything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to the contrary, the Indemnifying Party shall not be permitted to assume the defense of any Third-Party Claim if (1) the Third-Party Claim seeks imposition of criminal or quasi-criminal penalties against the Indemnified Party, (2) the Third-Party Claim seeks imposition of a Law or equitable relief against the Indemnified Party (other than a Law or equitable relief that is incidental and de minimis to monetary damages as the primary relief sought), (3) the Indemnifying Party is also party to the Third-Party Claim, and in the opinion of outside counsel of the Indemnified Party, a conflict exists between the Indemnifying Party and the Indemnified Party (or there are defenses available to the Indemnified Party that are unavailable to the Indemnifying Party), or (4) if the Third-Party Claim were to be unfavorably decided or resolved, the Indemnified Party would be reasonably likely to be liable for Damages in excess of the amounts required to be paid by the Indemnified Party pursuant to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(each of the foregoing, an “</w:t>
      </w:r>
      <w:r>
        <w:rPr>
          <w:rFonts w:ascii="Times New Roman;Times;Serif" w:hAnsi="Times New Roman;Times;Serif"/>
          <w:b/>
          <w:i w:val="false"/>
          <w:caps w:val="false"/>
          <w:smallCaps w:val="false"/>
          <w:sz w:val="20"/>
          <w:u w:val="single"/>
        </w:rPr>
        <w:t>Exception Claim</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color w:val="000000"/>
          <w:sz w:val="20"/>
        </w:rPr>
        <w:t xml:space="preserve">. Any indemnification payment pursuant to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shall be effected by wire transfer of immediately available funds to an account designated by the Indemnified Party within 10 Business Days after the determination of the amount thereof, whether pursuant to a final judgment, settlement or agreement among the applicable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 indemnification payment relating to Third-Party Claims, the indemnification payment may be delayed until a date that is three Business Days following the date that the Indemnified Party has made a corresponding payment to the third party claimant.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 xml:space="preserve">The representations and warranties of G-III Buyer contained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of this Agreement shall survive the Closing and shall thereupon terminate on the date that is twelve (12) months from the Closing Date and thereafter no claim shall be made by a Seller Indemnitee in respect of such representations and warranties and the representations and warranties of Majestic IPCo contained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 Section 2.5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shall survive the Closing and shall thereupon terminate on the date that is twelve (12) months from the Closing Date and thereafter no claim shall be made by a G-III Buyer Indemnitee in respect of such representations and warranties. All of the other representations and warranties of the Parties to this Agreement, including any representation or warranty made by Majestic IPCo with respect to the Business or the MJ International Group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shall terminate at the Closing. Each of the covenants and agreements herein shall survive until fully performed. Notwithstanding anything to the contrary in this Agreement, (x) claims based upon or arising out of Fraud and (y) liabilities in respect of, and Majestic IPCo’s obligation to indemnify in connection with, IPCo Retained Liabilities, and the G-III Buyer’s liabilities in respect of, and the G-III Buyer’s obligation to indemnify in connection with, the OpCo Retained Liabilities, shall in each case expressly and indefinitely survive the Closing.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6.5         </w:t>
      </w:r>
      <w:r>
        <w:rPr>
          <w:rFonts w:ascii="Times New Roman;Times;Serif" w:hAnsi="Times New Roman;Times;Serif"/>
          <w:b w:val="false"/>
          <w:i w:val="false"/>
          <w:caps w:val="false"/>
          <w:smallCaps w:val="false"/>
          <w:sz w:val="20"/>
          <w:u w:val="single"/>
        </w:rPr>
        <w:t>Calculation of Damages; Mitigation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No Indemnified Party shall be entitled to indemnification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as the case may be, with respect to any Damages to the extent that such Damages were reflected in the calculation of the Actual Purchase Price pursuant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Each Indemnified Party shall, and shall cause its Affiliates to, mitigate any Damages for which such Indemnified Party seeks indemnification under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in accordance with the requirements of New York law.</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The amount of any Damages for which indemnification is provided under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shall be net of any amounts actually received by the Indemnified Party under insurance policies with respect to such Damages. If any insurance proceeds are actually received after an Indemnified Party is indemnified with respect to some or all of such Damages hereunder, the Indemnified Party shall pay to the Indemnifying Party the lesser of (i) the amount of the applicable insurance proceeds and (ii) the amount paid by the Indemnifying Party with respect to such Damages hereunder (as increased pursuant to the first sentence of this ‎</w:t>
      </w:r>
      <w:r>
        <w:rPr>
          <w:rFonts w:ascii="Times New Roman;Times;Serif" w:hAnsi="Times New Roman;Times;Serif"/>
          <w:b w:val="false"/>
          <w:i w:val="false"/>
          <w:caps w:val="false"/>
          <w:smallCaps w:val="false"/>
          <w:sz w:val="20"/>
          <w:u w:val="single"/>
        </w:rPr>
        <w:t>Section 6.5(c)</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No Indemnified Party shall be entitled to indemnification pursuant to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with respect to any Damages that arise as a result of Fraud by the Indemnified Party that gives rise to a Third-Party Claim.</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No Indemnified Party shall be entitled to recover for the same Damages more than once under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otherwise under this Agreement (and in no event shall any Indemnified Party be required to pay any Damages on more than one occasion).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6.6         </w:t>
      </w:r>
      <w:r>
        <w:rPr>
          <w:rFonts w:ascii="Times New Roman;Times;Serif" w:hAnsi="Times New Roman;Times;Serif"/>
          <w:b w:val="false"/>
          <w:i w:val="false"/>
          <w:caps w:val="false"/>
          <w:smallCaps w:val="false"/>
          <w:sz w:val="20"/>
          <w:u w:val="single"/>
        </w:rPr>
        <w:t>Tax Treatment of Indemnification</w:t>
      </w:r>
      <w:r>
        <w:rPr>
          <w:rFonts w:ascii="Times New Roman;Times;Serif" w:hAnsi="Times New Roman;Times;Serif"/>
          <w:b w:val="false"/>
          <w:i w:val="false"/>
          <w:caps w:val="false"/>
          <w:smallCaps w:val="false"/>
          <w:sz w:val="20"/>
        </w:rPr>
        <w:t>. Reserved.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6.7         </w:t>
      </w:r>
      <w:r>
        <w:rPr>
          <w:rFonts w:ascii="Times New Roman;Times;Serif" w:hAnsi="Times New Roman;Times;Serif"/>
          <w:b w:val="false"/>
          <w:i w:val="false"/>
          <w:caps w:val="false"/>
          <w:smallCaps w:val="false"/>
          <w:sz w:val="20"/>
          <w:u w:val="single"/>
        </w:rPr>
        <w:t>Exclusive Remedy</w:t>
      </w:r>
      <w:r>
        <w:rPr>
          <w:rFonts w:ascii="Times New Roman;Times;Serif" w:hAnsi="Times New Roman;Times;Serif"/>
          <w:b w:val="false"/>
          <w:i w:val="false"/>
          <w:caps w:val="false"/>
          <w:smallCaps w:val="false"/>
          <w:color w:val="000000"/>
          <w:sz w:val="20"/>
        </w:rPr>
        <w:t xml:space="preserve">. From and after the Closing, the right of the Indemnified Parties to be indemnified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be the sole and exclusive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remedy with respect to all claims or causes of action which such Indemnified Parties have now or may have in the future arising out of or with respect to matters subject to indemnification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except for (a) claims for injunctive relief or specific performance, (b) claims against the insurer under the R&amp;W Insurance Policy or (c) claims based on Fraud. The provisions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were specifically bargained for and reflected in the amounts payable to MJ Buyer Parent in connection with the transactions contemplated by this Agreement. For the avoidance of doubt, notwithstanding anything to the contrary contained herein or in any other Transaction Document, nothing in this Agreement shall limit or restrict any rights or remedies of any Party in respect of any claim for Fraud. Subject to the terms and conditions hereof (including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G-III Buyer acknowledges and agrees that its sole and exclusive remedy for any breach of any representation or warranty with respect to the MJ International Group is to the R&amp;W Insurance Policy in accordance with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to the extent coverage is available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sentence shall limit or restrict any rights or remedies of the G-III Buyer in respect of any claim for Fraud. In addition to the rights of the Parties set forth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each Party acknowledges and agrees that to the extent an IPCo Retained Liability or an OpCo Retained Liability also represents a breach of a representation or warranty of the “Sellers” (as defined under the UPA) under the UPA or a tax liability of the MJ International Group covered by the R&amp;W Insurance Policy, the Parties and their respective Indemnified Parties agree to first seek recourse under the R&amp;W Insurance Policy for any corresponding damages, prior to seeking recourse under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6.8         </w:t>
      </w:r>
      <w:r>
        <w:rPr>
          <w:rFonts w:ascii="Times New Roman;Times;Serif" w:hAnsi="Times New Roman;Times;Serif"/>
          <w:b w:val="false"/>
          <w:i w:val="false"/>
          <w:caps w:val="false"/>
          <w:smallCaps w:val="false"/>
          <w:sz w:val="20"/>
          <w:u w:val="single"/>
        </w:rPr>
        <w:t>UPA Claims</w:t>
      </w:r>
      <w:r>
        <w:rPr>
          <w:rFonts w:ascii="Times New Roman;Times;Serif" w:hAnsi="Times New Roman;Times;Serif"/>
          <w:b w:val="false"/>
          <w:i w:val="false"/>
          <w:caps w:val="false"/>
          <w:smallCaps w:val="false"/>
          <w:color w:val="000000"/>
          <w:sz w:val="20"/>
          <w:u w:val="single"/>
        </w:rPr>
        <w:t>.</w:t>
      </w:r>
      <w:r>
        <w:rPr>
          <w:rFonts w:ascii="Times New Roman;Times;Serif" w:hAnsi="Times New Roman;Times;Serif"/>
          <w:b w:val="false"/>
          <w:i w:val="false"/>
          <w:caps w:val="false"/>
          <w:smallCaps w:val="false"/>
          <w:sz w:val="20"/>
        </w:rPr>
        <w:t xml:space="preserve"> The Parties acknowledge that G-III Buyer is a party in interest with respect to the MJ International Group. Upon G-III Buyer’s reasonable request, Majestic IPCo and MJ Buyer shall, at G-III Buyer’s sole cost and expense (and G-III Buyer shall indemnify, defend and hold Majestic IPCo harmless against any such reasonable and documented out of pocket fees, costs and expenses incurred by Majestic IPCo in connection with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(a) pursue, or assign (if permitted) to G-III Buyer the right to pursue, injunctive or other equitable relief that is available to MJ Buyer under the UPA in order to restrain Sellers from engaging in conduct that would constitute a breach of the obligations of Sellers under the UPA (in each case to the extent related to the Business), or (b) otherwise provide G-III Buyer the benefit of the covenants contained in the UPA (including, for the avoidance of doubt, the covenants contained in Section 7.3 of the UPA to the extent they relate to the Business or any member of the MJ International Group) or any claims for Fraud or breach of covenants or the benefit of any provisions therein with regard to any breach of or inaccuracy in any representation or warranty of Sellers under the UPA that survive the Closing, in each case solely to the extent applicable to the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(x) Majestic IPCo (on behalf of itself and MJ Buyer) shall keep G-III Buyer reasonably informed of material developments and consider in good faith G-III Buyer’s comments, (y) Majestic IPCo shall not (and shall cause its Subsidiaries, including MJ Buyer, not to) settle, compromise, waive, amend, extend or toll any rights or claims under the UPA, or agree to any remedy or relief, in each case in a manner that would reasonably be expected to be material to the Business, without G-III Buyer’s prior written consent and (z) to the extent any such matter would reasonably be expected to be material to the Business, G-III Buyer shall have approval rights with respect to the aspects of such enforcement or decision that relate to the MJ International Group.</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6.9         </w:t>
      </w:r>
      <w:r>
        <w:rPr>
          <w:rFonts w:ascii="Times New Roman;Times;Serif" w:hAnsi="Times New Roman;Times;Serif"/>
          <w:b w:val="false"/>
          <w:i w:val="false"/>
          <w:caps w:val="false"/>
          <w:smallCaps w:val="false"/>
          <w:sz w:val="20"/>
          <w:u w:val="single"/>
        </w:rPr>
        <w:t>R&amp;W Insurance Claims; Allocation of Damages under UPA</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Parties acknowledge and agree that MJ Buyer has conditionally bound the R&amp;W Insurance Policy, which is subject to the General Retention and the Fundamental Representation Retention, each as defined under such R&amp;W Insurance Policy (as applicable, the “</w:t>
      </w:r>
      <w:r>
        <w:rPr>
          <w:rFonts w:ascii="Times New Roman;Times;Serif" w:hAnsi="Times New Roman;Times;Serif"/>
          <w:b/>
          <w:i w:val="false"/>
          <w:caps w:val="false"/>
          <w:smallCaps w:val="false"/>
          <w:sz w:val="20"/>
          <w:u w:val="single"/>
        </w:rPr>
        <w:t>R&amp;W Insurance Policy Retention</w:t>
      </w:r>
      <w:r>
        <w:rPr>
          <w:rFonts w:ascii="Times New Roman;Times;Serif" w:hAnsi="Times New Roman;Times;Serif"/>
          <w:b w:val="false"/>
          <w:i w:val="false"/>
          <w:caps w:val="false"/>
          <w:smallCaps w:val="false"/>
          <w:sz w:val="20"/>
        </w:rPr>
        <w:t>”). Majestic IPCo shall (and shall cause MJ Buyer and its other Subsidiaries to), upon the written request of the G-III Buyer (a “</w:t>
      </w:r>
      <w:r>
        <w:rPr>
          <w:rFonts w:ascii="Times New Roman;Times;Serif" w:hAnsi="Times New Roman;Times;Serif"/>
          <w:b/>
          <w:i w:val="false"/>
          <w:caps w:val="false"/>
          <w:smallCaps w:val="false"/>
          <w:sz w:val="20"/>
          <w:u w:val="single"/>
        </w:rPr>
        <w:t>G-III Claim Direction Notice</w:t>
      </w:r>
      <w:r>
        <w:rPr>
          <w:rFonts w:ascii="Times New Roman;Times;Serif" w:hAnsi="Times New Roman;Times;Serif"/>
          <w:b w:val="false"/>
          <w:i w:val="false"/>
          <w:caps w:val="false"/>
          <w:smallCaps w:val="false"/>
          <w:sz w:val="20"/>
        </w:rPr>
        <w:t>”), at the sole expense of the G-III Buyer, to (i) promptly submit, prosecute and pursue in good faith any G-III Buyer Submitted R&amp;W Claim (a “</w:t>
      </w:r>
      <w:r>
        <w:rPr>
          <w:rFonts w:ascii="Times New Roman;Times;Serif" w:hAnsi="Times New Roman;Times;Serif"/>
          <w:b/>
          <w:i w:val="false"/>
          <w:caps w:val="false"/>
          <w:smallCaps w:val="false"/>
          <w:sz w:val="20"/>
          <w:u w:val="single"/>
        </w:rPr>
        <w:t>G-III Directed R&amp;W Claim</w:t>
      </w:r>
      <w:r>
        <w:rPr>
          <w:rFonts w:ascii="Times New Roman;Times;Serif" w:hAnsi="Times New Roman;Times;Serif"/>
          <w:b w:val="false"/>
          <w:i w:val="false"/>
          <w:caps w:val="false"/>
          <w:smallCaps w:val="false"/>
          <w:sz w:val="20"/>
        </w:rPr>
        <w:t>”), (ii) provide the G-III Buyer with copies of all material correspondence, notices, submissions and other communications between MJ Buyer (or any of its Affiliates) and the R&amp;W Insurer in connection with any G-III Directed R&amp;W Claim promptly upon receipt or dispatch thereof, (iii) not settle, compromise, withdraw or otherwise dispose of any G-III Directed R&amp;W Claim, or agree to any remedy or relief in connection therewith, without the prior written consent of the G-III Buyer, and (iv) cause all proceeds, recoveries and payments received under the R&amp;W Insurance Policy in respect of any G-III Directed R&amp;W Claim to be paid or promptly remitted to the G-III Buyer (or its designee), net of any reasonable and documented out-of-pocket collection costs incurred to obtain such funds and any applicable retention amounts.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If during the Restructuring Period, Buyer or any of its Subsidiaries submits a claim under the R&amp;W Insurance Policy (a “</w:t>
      </w:r>
      <w:r>
        <w:rPr>
          <w:rFonts w:ascii="Times New Roman;Times;Serif" w:hAnsi="Times New Roman;Times;Serif"/>
          <w:b/>
          <w:i w:val="false"/>
          <w:caps w:val="false"/>
          <w:smallCaps w:val="false"/>
          <w:sz w:val="20"/>
          <w:u w:val="single"/>
        </w:rPr>
        <w:t>G-III Buyer Submitted R&amp;W Claim</w:t>
      </w:r>
      <w:r>
        <w:rPr>
          <w:rFonts w:ascii="Times New Roman;Times;Serif" w:hAnsi="Times New Roman;Times;Serif"/>
          <w:b w:val="false"/>
          <w:i w:val="false"/>
          <w:caps w:val="false"/>
          <w:smallCaps w:val="false"/>
          <w:sz w:val="20"/>
        </w:rPr>
        <w:t>”), and (i) such G-III Buyer Submitted R&amp;W Claim reduces the General Retention or the Fundamental Representation Retention, as applicable, under the R&amp;W Insurance Policy (an “</w:t>
      </w:r>
      <w:r>
        <w:rPr>
          <w:rFonts w:ascii="Times New Roman;Times;Serif" w:hAnsi="Times New Roman;Times;Serif"/>
          <w:b/>
          <w:i w:val="false"/>
          <w:caps w:val="false"/>
          <w:smallCaps w:val="false"/>
          <w:sz w:val="20"/>
          <w:u w:val="single"/>
        </w:rPr>
        <w:t>Accepted G-III Buyer R&amp;W Claim</w:t>
      </w:r>
      <w:r>
        <w:rPr>
          <w:rFonts w:ascii="Times New Roman;Times;Serif" w:hAnsi="Times New Roman;Times;Serif"/>
          <w:b w:val="false"/>
          <w:i w:val="false"/>
          <w:caps w:val="false"/>
          <w:smallCaps w:val="false"/>
          <w:sz w:val="20"/>
        </w:rPr>
        <w:t>”), and (ii) all or a portion of the amount of such Accepted G-III Buyer R&amp;W Claim is not actually paid to G-III Buyer or such Subsidiary, as applicable, as a result of the applicable R&amp;W Insurance Policy Retention, Majestic IPCo shall pay to G-III Buyer (or its designee) an amount equal to the excess (if any) (the “Retention Payment”) of (x) the amount of the Accepted G-III Buyer R&amp;W Claim not actually paid in cash over (y) the amount of the then-remaining G-III Retention. “</w:t>
      </w:r>
      <w:r>
        <w:rPr>
          <w:rFonts w:ascii="Times New Roman;Times;Serif" w:hAnsi="Times New Roman;Times;Serif"/>
          <w:b/>
          <w:i w:val="false"/>
          <w:caps w:val="false"/>
          <w:smallCaps w:val="false"/>
          <w:sz w:val="20"/>
          <w:u w:val="single"/>
        </w:rPr>
        <w:t>G-III Retention</w:t>
      </w:r>
      <w:r>
        <w:rPr>
          <w:rFonts w:ascii="Times New Roman;Times;Serif" w:hAnsi="Times New Roman;Times;Serif"/>
          <w:b w:val="false"/>
          <w:i w:val="false"/>
          <w:caps w:val="false"/>
          <w:smallCaps w:val="false"/>
          <w:sz w:val="20"/>
        </w:rPr>
        <w:t xml:space="preserve">” means $2,125,000 (in respect of the General Retention) or $425,000 (in respect of the Fundamental Representation Retention),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at any time following the Closing, the R&amp;W Insurance Policy Retention is reduced or eroded (such reduced or eroded retention, as applicable, the “</w:t>
      </w:r>
      <w:r>
        <w:rPr>
          <w:rFonts w:ascii="Times New Roman;Times;Serif" w:hAnsi="Times New Roman;Times;Serif"/>
          <w:b/>
          <w:i w:val="false"/>
          <w:caps w:val="false"/>
          <w:smallCaps w:val="false"/>
          <w:sz w:val="20"/>
          <w:u w:val="single"/>
        </w:rPr>
        <w:t>Adjusted Policy Retention</w:t>
      </w:r>
      <w:r>
        <w:rPr>
          <w:rFonts w:ascii="Times New Roman;Times;Serif" w:hAnsi="Times New Roman;Times;Serif"/>
          <w:b w:val="false"/>
          <w:i w:val="false"/>
          <w:caps w:val="false"/>
          <w:smallCaps w:val="false"/>
          <w:sz w:val="20"/>
        </w:rPr>
        <w:t xml:space="preserve">”), then the G-III Retention shall be automatically and correspondingly reduced or eroded;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amounts paid in respect of the G-III Retention prior to the effectiveness of the Adjusted Policy Retention shall be credited against the remaining amount, if any, of the then-adjusted G-III Retention and shall, to the extent the Adjusted Policy Retention results in (A) amounts paid in respect of the G-III Retention being greater than (B) the G-III Retention, as adjusted, then the difference of (A) and (B) shall be paid to the G-III Buyer or its designee by Majestic IPCo. Any Retention Payment made hereunder shall be made during the Restructuring Period, counted toward the Restructuring Cap and reduce the amount of Restructuring Costs required to be paid pursuant to Section 4.5 on a dollar-for-dollar basis.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If G-III Buyer or any of its Subsidiaries submits a G-III Buyer Submitted R&amp;W Claim, on the one hand or Majestic IPCo or any of its Subsidiaries submits a claim under the R&amp;W Insurance Policy (an “</w:t>
      </w:r>
      <w:r>
        <w:rPr>
          <w:rFonts w:ascii="Times New Roman;Times;Serif" w:hAnsi="Times New Roman;Times;Serif"/>
          <w:b/>
          <w:i w:val="false"/>
          <w:caps w:val="false"/>
          <w:smallCaps w:val="false"/>
          <w:sz w:val="20"/>
          <w:u w:val="single"/>
        </w:rPr>
        <w:t>IPCo Submitted R&amp;W Claim</w:t>
      </w:r>
      <w:r>
        <w:rPr>
          <w:rFonts w:ascii="Times New Roman;Times;Serif" w:hAnsi="Times New Roman;Times;Serif"/>
          <w:b w:val="false"/>
          <w:i w:val="false"/>
          <w:caps w:val="false"/>
          <w:smallCaps w:val="false"/>
          <w:sz w:val="20"/>
        </w:rPr>
        <w:t>”), on the other hand, and any portion of the G-III Buyer Submitted R&amp;W Claim or an IPCo Submitted R&amp;W Claim that would have otherwise been covered is rejected for funding, payment or reimbursement by the R&amp;W Insurer (such rejected amount, the “</w:t>
      </w:r>
      <w:r>
        <w:rPr>
          <w:rFonts w:ascii="Times New Roman;Times;Serif" w:hAnsi="Times New Roman;Times;Serif"/>
          <w:b/>
          <w:i w:val="false"/>
          <w:caps w:val="false"/>
          <w:smallCaps w:val="false"/>
          <w:sz w:val="20"/>
          <w:u w:val="single"/>
        </w:rPr>
        <w:t>R&amp;W Disallowance Amount</w:t>
      </w:r>
      <w:r>
        <w:rPr>
          <w:rFonts w:ascii="Times New Roman;Times;Serif" w:hAnsi="Times New Roman;Times;Serif"/>
          <w:b w:val="false"/>
          <w:i w:val="false"/>
          <w:caps w:val="false"/>
          <w:smallCaps w:val="false"/>
          <w:sz w:val="20"/>
        </w:rPr>
        <w:t>”) expressly and exclusively due to exceeding the coverage limits under such R&amp;W Insurance Policy (and not as a result of any exclusion, policy expiration or retention limitation), then (i) G-III Buyer shall pay (or cause to be paid) to Majestic IPCo (or its designee), in the case of a wholly or partially rejected IPCo Submitted R&amp;W Claim, and (ii) Majestic IPCo shall pay to G-III Buyer (or its designee), in the case of a</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wholly or partially rejected G-III Buyer Submitted R&amp;W Claim, an amount equal to the lesser of (x) the R&amp;W Disallowance Amount, and (y) the total amounts previously paid under the R&amp;W Insurance Policy to such paying Party in excess of such paying Party’s Applicable Cap. The “</w:t>
      </w:r>
      <w:r>
        <w:rPr>
          <w:rFonts w:ascii="Times New Roman;Times;Serif" w:hAnsi="Times New Roman;Times;Serif"/>
          <w:b/>
          <w:i w:val="false"/>
          <w:caps w:val="false"/>
          <w:smallCaps w:val="false"/>
          <w:sz w:val="20"/>
          <w:u w:val="single"/>
        </w:rPr>
        <w:t>Applicable Cap</w:t>
      </w:r>
      <w:r>
        <w:rPr>
          <w:rFonts w:ascii="Times New Roman;Times;Serif" w:hAnsi="Times New Roman;Times;Serif"/>
          <w:b w:val="false"/>
          <w:i w:val="false"/>
          <w:caps w:val="false"/>
          <w:smallCaps w:val="false"/>
          <w:sz w:val="20"/>
        </w:rPr>
        <w:t>” means (A) for G-III Buyer (and its Subsidiaries, including the MJ International Group), $42,500,000, and (B) for Majestic IPCo (and its Subsidiaries, including the Excluded Business), $42,500,000.</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covenants under Section 7.4 of the UPA in respect of the R&amp;W Insurance Policy shall be incorporated herein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with respect to the obligations of MJ Buyer thereunder, as applicable to the G-III Buyer Indemnitees as the beneficiary hereof,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the avoidance of doubt, following the binding of the R&amp;W Insurance Policy, MJ Buyer Parent shall cause its Affiliates not to waive, amend, terminate, modify or otherwise revise any provision of the R&amp;W Insurance Policy in any manner adverse to the G-III Buyer Indemnitees, in each case, without the prior written consent of the G-III Buyer.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In addition to the covenants of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payment of Damages or other similar amounts that the Purchaser is entitled to receive under the UPA shall be allocated between Majestic IPCo (in respect of MJ Buyer) and the G-III Buyer in proportion to the extent such Damages arise out of or in connection with the Excluded Business, on one hand, and the Business, on the other hand. The G-III Buyer and its Affiliates, on the one hand, and Majestic IPCo and its Affiliates, on the other hand shall be entitled to control any claim or Proceeding to the extent exclusively relating to the Business or the Excluded Business, respectively;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any claim or Proceeding under the UPA relates to both the Business and the Excluded Business, the G-III Buyer and Majestic IPCo shall reasonably cooperate with each other and coordinate in good faith with respect to the pursuit, defense or settlement of such claim or Proceeding, with each Party bearing its proportionate share of the costs thereof.</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VII</w:t>
      </w:r>
      <w:r>
        <w:rPr>
          <w:rFonts w:ascii="Times New Roman;Times;Serif" w:hAnsi="Times New Roman;Times;Serif"/>
          <w:b/>
          <w:i w:val="false"/>
          <w:caps/>
          <w:sz w:val="20"/>
          <w:u w:val="single"/>
        </w:rPr>
        <w:br/>
        <w:t>GENERAL PROVISIONS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color w:val="000000"/>
          <w:sz w:val="20"/>
        </w:rPr>
        <w:t>. This Agreement may be terminated at any time (a) by the mutual written consent of G-III Buyer and Majestic IPCo, (b) by either G-III Buyer or Majestic IPCo, by written notice to the other Party, in the event that the Unit Purchase Agreement is validly terminated in accordance with the terms thereof or (c) by either G-III Buyer or Majestic IPCo if a permanent injunction issued by a Governmental Authority prohibits the consummation of any transactions contemplated by this Agreement. In the event of a termination of this Agreement pursuant to 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this Agreement shall be of no further force or effect, and there shall be no liability on the part of G-III Buyer, Majestic IPCo, or their respective Affiliates, or their respective officers, directors, managers, members or stockholders, except to the extent that such liability results from any prior breach by a party of any of its covenants or agreements.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color w:val="000000"/>
          <w:sz w:val="20"/>
        </w:rPr>
        <w:t>. Except as otherwise provided herein, all fees and expenses incurred in connection with or related to this Agreement and the transactions contemplated hereby shall be paid by the Party incurring such fees or expenses, whether or not such transactions are consummated. Any transfer, stamp duty or other similar taxes (but excluding, for the avoidance of doubt, income or capital gains taxes) incurred by the parties to this Agreement or otherwise payable as a result of the consummation of the transactions contemplated hereby (including the Pre-Closing Restructuring) shall be borne by G-III Buyer and Majestic IPCo on an equal basis.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7.3         </w:t>
      </w:r>
      <w:r>
        <w:rPr>
          <w:rFonts w:ascii="Times New Roman;Times;Serif" w:hAnsi="Times New Roman;Times;Serif"/>
          <w:b w:val="false"/>
          <w:i w:val="false"/>
          <w:caps w:val="false"/>
          <w:smallCaps w:val="false"/>
          <w:sz w:val="20"/>
          <w:u w:val="single"/>
        </w:rPr>
        <w:t>Amendment and Modification</w:t>
      </w:r>
      <w:r>
        <w:rPr>
          <w:rFonts w:ascii="Times New Roman;Times;Serif" w:hAnsi="Times New Roman;Times;Serif"/>
          <w:b w:val="false"/>
          <w:i w:val="false"/>
          <w:caps w:val="false"/>
          <w:smallCaps w:val="false"/>
          <w:color w:val="000000"/>
          <w:sz w:val="20"/>
        </w:rPr>
        <w:t>. This Agreement may not be amended, modified or supplemented in any manner, whether by course of conduct or otherwise, except by an instrument in writing specifically designated as an amendment hereto, signed on behalf of each Party.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color w:val="000000"/>
          <w:sz w:val="20"/>
        </w:rPr>
        <w:t>. No failure or delay of a Party in exercising any right or remedy hereunder shall operate as a waiver thereof. Any such waiver by a Party shall be valid only if set forth in writing by such Party.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claims and other communications required or permitted hereunder shall be in writing and shall be deemed duly given (a) when delivered personally (with written confirmation of receipt); (b) when received by the addressee if sent by an internationally recognized overnight courier (receipt requested); or (c) on the date sent by email of a PDF document (with confirmation of transmission) if sent during normal business hours of the recipient, in each case, to the address set forth below, or to such other address as may be designated in writing by such Party:</w:t>
      </w:r>
    </w:p>
    <w:p>
      <w:pPr>
        <w:pStyle w:val="TextBody"/>
        <w:bidi w:val="0"/>
        <w:ind w:left="216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Majestic IPCo or WHP Parent or, prior to the Closing, MJ Buyer Parent, to:</w:t>
        <w:br/>
        <w:br/>
        <w:t>WHP Investments, LLC</w:t>
      </w:r>
    </w:p>
    <w:p>
      <w:pPr>
        <w:pStyle w:val="TextBody"/>
        <w:bidi w:val="0"/>
        <w:ind w:left="216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 Fifth Avenue, 12th Floor</w:t>
      </w:r>
    </w:p>
    <w:p>
      <w:pPr>
        <w:pStyle w:val="TextBody"/>
        <w:bidi w:val="0"/>
        <w:ind w:left="216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br/>
        <w:t>Attention: [***]</w:t>
        <w:br/>
        <w:t>E-mail: [***]</w:t>
        <w:br/>
        <w:br/>
        <w:t>with a copy (which shall not constitute notice) to:</w:t>
        <w:br/>
        <w:br/>
        <w:t>Gibson, Dunn &amp; Crutcher LLP</w:t>
        <w:br/>
        <w:t>200 Park Avenue</w:t>
        <w:br/>
        <w:t>New York, NY 10166</w:t>
        <w:br/>
        <w:t>Attention: Saee Muzumdar; Maxwell Ball</w:t>
        <w:br/>
        <w:t>Email:</w:t>
        <w:tab/>
        <w:t xml:space="preserve"> smuzumdar@gibsondunn.com; mball@gibsondunn.com</w:t>
      </w:r>
    </w:p>
    <w:p>
      <w:pPr>
        <w:pStyle w:val="TextBody"/>
        <w:bidi w:val="0"/>
        <w:ind w:left="216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G-III Buyer, G-III Buyer Parent or, after the Closing, MJ Buyer Parent, to:</w:t>
      </w:r>
    </w:p>
    <w:p>
      <w:pPr>
        <w:pStyle w:val="TextBody"/>
        <w:bidi w:val="0"/>
        <w:ind w:left="216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G-III Leather Fashions, Inc.</w:t>
        <w:br/>
        <w:t>c/o G-III Apparel Group, Ltd.</w:t>
        <w:br/>
        <w:t>512 7th Ave</w:t>
        <w:br/>
        <w:t>New York, New York 10018</w:t>
        <w:br/>
        <w:t>Attention: [***]</w:t>
        <w:br/>
        <w:t>E-mail: [***]</w:t>
      </w:r>
    </w:p>
    <w:p>
      <w:pPr>
        <w:pStyle w:val="TextBody"/>
        <w:bidi w:val="0"/>
        <w:ind w:left="2160" w:right="72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216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with a copy (which shall not constitute notice) to:</w:t>
        <w:br/>
        <w:br/>
        <w:t>Paul, Weiss, Rifkind, Wharton &amp; Garrison LLP</w:t>
        <w:br/>
        <w:t>1285 Avenue of the Americas</w:t>
        <w:br/>
        <w:t>New York, New York 10019-6064</w:t>
        <w:br/>
        <w:t>Attention: Jeffrey D. Marell; Edward T. Ackerman</w:t>
        <w:br/>
        <w:t>Email: jmarell@paulweiss.com; eackerman@paulweiss.com</w:t>
      </w:r>
    </w:p>
    <w:p>
      <w:pPr>
        <w:pStyle w:val="TextBody"/>
        <w:bidi w:val="0"/>
        <w:ind w:left="2160" w:right="720" w:hanging="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color w:val="000000"/>
          <w:sz w:val="20"/>
        </w:rPr>
        <w:t>. This Agreement and any claims or causes of action arising out of or relating to this Agreement, the negotiation, execution or performance of this Agreement or the transactions contemplated hereby (whether in contract, in tort, under statute or otherwise) shall be governed by, and interpreted, construed and enforced in accordance with, the internal Laws of the State of New York, including its statutes of limitations, without giving effect to any choice or conflict of Laws rules or provisions (whether of the State of New York or any other jurisdiction) that would result in the application of the Laws of any jurisdiction other than the State of New York.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7.7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color w:val="000000"/>
          <w:sz w:val="20"/>
        </w:rPr>
        <w:t xml:space="preserve">. This Agreement constitutes the entire agreement, and supersedes all prior written agreements, arrangements and understandings and all prior and contemporaneous oral agreements, arrangements and understandings between the Parties with respect to the subject matter of this Agreement. No Party to this Agreement shall have any legal obligation to enter into the transactions contemplated hereby unless and until this Agreement shall have been executed and delivered by each of the Parties.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7.8         </w:t>
      </w:r>
      <w:r>
        <w:rPr>
          <w:rFonts w:ascii="Times New Roman;Times;Serif" w:hAnsi="Times New Roman;Times;Serif"/>
          <w:b w:val="false"/>
          <w:i w:val="false"/>
          <w:caps w:val="false"/>
          <w:smallCaps w:val="false"/>
          <w:sz w:val="20"/>
          <w:u w:val="single"/>
        </w:rPr>
        <w:t>Third-Party Beneficiaries</w:t>
      </w:r>
      <w:r>
        <w:rPr>
          <w:rFonts w:ascii="Times New Roman;Times;Serif" w:hAnsi="Times New Roman;Times;Serif"/>
          <w:b w:val="false"/>
          <w:i w:val="false"/>
          <w:caps w:val="false"/>
          <w:smallCaps w:val="false"/>
          <w:color w:val="000000"/>
          <w:sz w:val="20"/>
        </w:rPr>
        <w:t>. Nothing in this Agreement shall confer upon any person other than the Parties and their respective successors and permitted assigns any right of any nature and nothing herein expressed or implied shall give or be construed to give to any Person, other than the Parties and such assigns, any legal or equitable rights 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7.9        </w:t>
      </w:r>
      <w:r>
        <w:rPr>
          <w:rFonts w:ascii="Times New Roman;Times;Serif" w:hAnsi="Times New Roman;Times;Serif"/>
          <w:b w:val="false"/>
          <w:i w:val="false"/>
          <w:caps w:val="false"/>
          <w:smallCaps w:val="false"/>
          <w:sz w:val="20"/>
          <w:u w:val="single"/>
        </w:rPr>
        <w:t>Assignment; Successors</w:t>
      </w:r>
      <w:r>
        <w:rPr>
          <w:rFonts w:ascii="Times New Roman;Times;Serif" w:hAnsi="Times New Roman;Times;Serif"/>
          <w:b w:val="false"/>
          <w:i w:val="false"/>
          <w:caps w:val="false"/>
          <w:smallCaps w:val="false"/>
          <w:color w:val="000000"/>
          <w:sz w:val="20"/>
        </w:rPr>
        <w:t xml:space="preserve">. None of the Parties shall be permitted to assign this Agreement or any of its rights or obligations hereunder (by operation of law or otherwise) without the written consent of each of the Parties; provided, however, that (a) Majestic IPCo shall be permitted to assign this Agreement and any of its rights or obligations hereunder to any of its Affiliates without the consent of G-III Buyer, but with prior written notice to G-III Buyer; provided, that no such assignment shall relieve such transferring Party of its obligations hereunder and no such assignment shall result in such transferring Party or such Affiliate deducting a withholding Tax from any payment pursuant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(that would not have been imposed but for such assignment) and (b) G-III Buyer shall be permitted to assign its rights under this Agreement to any of its Affiliates without the consent of Majestic IPCo, but with prior written notice to Majestic IPCo; provided, that no such assignment shall relieve G-III Buyer of its obligations hereunder and no such assignment shall result in G-III Buyer or such Affiliate deducting a withholding Tax from any payment pursuant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(that would not have been imposed but for such assignment).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color w:val="000000"/>
          <w:sz w:val="20"/>
        </w:rPr>
        <w:t>. If any provision or portion of any provision of this Agreement is held to be invalid, illegal or unenforceable in any respect under any applicable Law, it shall be adjusted rather than voided in order to achieve the intent of the Parties, to the fullest extent possible and all other provisions of the Agreement will continue in full force and effect and be enforceable to the fullest extent permitted by Law. Upon any such determination that any term or other provision is invalid or unenforceable, the Parties shall negotiate in good faith to modify this Agreement so as to effect the original intent of the Parties as closely as possible.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7.11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color w:val="000000"/>
          <w:sz w:val="20"/>
        </w:rPr>
        <w:t>. This Agreement may be executed in counterparts (including facsimile, portable document format (pdf) or any electronic signature complying with the U.S. federal ESIGN Act of 2000 (including DocuSign)), all of which shall be considered one and the same instrument and shall become effective when one or more counterparts have been signed by each of the Parties and delivered to the other Party.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7.12        </w:t>
      </w:r>
      <w:r>
        <w:rPr>
          <w:rFonts w:ascii="Times New Roman;Times;Serif" w:hAnsi="Times New Roman;Times;Serif"/>
          <w:b w:val="false"/>
          <w:i w:val="false"/>
          <w:caps w:val="false"/>
          <w:smallCaps w:val="false"/>
          <w:sz w:val="20"/>
          <w:u w:val="single"/>
        </w:rPr>
        <w:t>G-III Buyer Parent Guarantee</w:t>
      </w:r>
      <w:r>
        <w:rPr>
          <w:rFonts w:ascii="Times New Roman;Times;Serif" w:hAnsi="Times New Roman;Times;Serif"/>
          <w:b w:val="false"/>
          <w:i w:val="false"/>
          <w:caps w:val="false"/>
          <w:smallCaps w:val="false"/>
          <w:sz w:val="20"/>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G-III Buyer Parent hereby fully guarantees the due, prompt and full performance, payment and discharge when due of all of the covenants, obligations, agreements and undertakings, including any payment and indemnification obligations, of G-III Buyer and MJ Buyer Parent under this Agreement (solely to the extent arising after the Closing in the case of MJ Buyer Parent) (such obligations, the “</w:t>
      </w:r>
      <w:r>
        <w:rPr>
          <w:rFonts w:ascii="Times New Roman;Times;Serif" w:hAnsi="Times New Roman;Times;Serif"/>
          <w:b/>
          <w:i w:val="false"/>
          <w:caps w:val="false"/>
          <w:smallCaps w:val="false"/>
          <w:sz w:val="20"/>
          <w:u w:val="single"/>
        </w:rPr>
        <w:t>G-III Buyer Guaranteed Obligations</w:t>
      </w:r>
      <w:r>
        <w:rPr>
          <w:rFonts w:ascii="Times New Roman;Times;Serif" w:hAnsi="Times New Roman;Times;Serif"/>
          <w:b w:val="false"/>
          <w:i w:val="false"/>
          <w:caps w:val="false"/>
          <w:smallCaps w:val="false"/>
          <w:sz w:val="20"/>
        </w:rPr>
        <w:t>”). Whenever this Agreement requires G-III Buyer to take any action or refrain from taking any action, such requirement shall be deemed to include an undertaking on the part of G-III Buyer Parent to cause G-III Buyer to take such action or refrain from taking such action. The G-III Buyer Guaranteed Obligations are primary, absolute, unconditional and irrevocable, and such obligations shall continue in full force and effect until the payment and performance, as applicable, of all of the G-III Buyer Guaranteed Obligations and are not conditioned upon any event or contingency or upon any attempt first to obtain payment from G-III Buyer or any other Person under this Agreement, or pursuit of any other right or remedy against G-III Buyer through the commencement of a Proceeding or otherwise. G-III Buyer Parent shall not exercise any right of subrogation against any other Person in connection with the transactions contemplated by this Agreement, whether arising by contract or operation of law or otherwise, by reason of any payment by it in respect of the G-III Buyer Guaranteed Obligations unless and until the G-III Buyer Guaranteed Obligations have first been paid in full to Majestic IPCo. With respect to its obligations hereunder, G-III Buyer Parent expressly waives diligence, presentment, demand of payment, protest and all notices whatsoever, all defenses which may be available by virtue of any valuation, stay, moratorium law or other similar Law now or hereafter in effect, any right to require the marshalling of assets of Majestic IPCo or their respective Affiliates, and all suretyship defenses generally.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G-III Buyer Parent acknowledges and agrees that its obligations under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shall continue and not be released or discharged, in whole or in part, or otherwise affected by: (i) the failure or delay on the part of Majestic IPCo to assert any claim or demand or to enforce any right or remedy against any of G-III Buyer or G-III Buyer Parent; (ii) any change in the time, place or manner of payment or performance of any of the G-III Buyer Guaranteed Obligations or any rescission, waiver, compromise, consolidation or other amendment or modification of any of the terms or provisions of this Agreement (other than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as applicable); (iii) any change in the corporate existence, structure or ownership of G-III Buyer 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G-III Buyer Parent; (iv) any insolvency, bankruptcy, reorganization or other similar proceeding affecting G-III Buyer or G-III Buyer Parent; (v) the existence of any claim, set-off or other right which G-III Buyer Parent may have at any time against Majestic IPCo or any of its Affiliates, whether in connection with the G-III Buyer Guaranteed Obligations or otherwise; (vi) the adequacy of any means Majestic IPCo or any of its Affiliates may have of obtaining payment or performance related to the G-III Buyer Guaranteed Obligations; or (vii) any change in Law or other action by any Governmental Authority.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Notwithstanding anything herein to the contrary, G-III Buyer Parent’s obligations under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shall terminate immediately upon the discharge in full of all G-III Buyer Guaranteed Obligations.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G-III Buyer Parent hereby represents and warrants to Majestic IPCo that: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G-III Buyer Parent (x) is duly organized, validly existing and in good standing under the laws of its jurisdiction of organization, and (y) has the requisite power and authority to own or lease its properties and assets and to conduct its business in all material respects as it is now being conducted.</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G-III Buyer Parent has full power and authority to execute and deliver this Agreement, to perform its obligations hereunder and to consummate the transactions contemplated hereby.</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The execution and delivery by G-III Buyer Parent of this Agreement, the performance by G-III Buyer Parent of its obligations hereunder and the consummation by G-III Buyer Parent of the transactions contemplated in this Agreement have been duly authorized by all requisite action.</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This Agreement has been duly and validly executed and delivered by G-III Buyer Parent and (assuming the due and valid execution and delivery of this Agreement by Seller) constitutes a legal, valid and binding agreement of G-III Buyer Parent, enforceable against G-III Buyer Parent in accordance with its terms, except as such enforceability may be limited by bankruptcy, insolvency, moratorium or other similar applicable Laws affecting or relating to creditors’ rights generally and general principles of equity, regardless of whether asserted in a proceeding in equity or at law.</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G-III Buyer Parent has all requisite power and authority to execute, deliver and perform the obligations set forth in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and the execution, delivery and performance of this Agreement have been duly authorized by all necessary action and do not contravene any provision of G-III Buyer Parent’s organizational documents or any applicable Law binding on G-III Buyer Parent or its assets.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 xml:space="preserve">All consents necessary for the due execution, delivery and performance of this Agreement by G-III Buyer Parent have been obtained and all conditions thereof have been duly complied with, and no other action by, and no notice to, consent of, or filing with any Governmental Authority or other Person is required in connection with the execution, delivery or performance of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As of the Closing, G-III Buyer Parent or one or more of its controlled Affiliates will have available funds sufficient to consummate the transactions contemplated by this Agreement upon the terms of this Agreement, including the payment of amounts contemplated by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and to pay all fees, costs and expenses related to the transactions contemplated by this Agreement.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(viii)        </w:t>
      </w:r>
      <w:r>
        <w:rPr>
          <w:rFonts w:ascii="Times New Roman;Times;Serif" w:hAnsi="Times New Roman;Times;Serif"/>
          <w:b w:val="false"/>
          <w:i w:val="false"/>
          <w:caps w:val="false"/>
          <w:smallCaps w:val="false"/>
          <w:sz w:val="20"/>
        </w:rPr>
        <w:t>G-III Buyer Parent acknowledges and agrees that all provisions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(except for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shall apply to G-III Buyer Parent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with respect to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shall be binding upon the successors and permitted assigns of G-III Buyer Parent and shall inure to the benefit of Majestic IPCo and its successors and permitted assigns. In the event that G-III Buyer Parent or any of its successors or permitted assigns (i) consolidates with or merges into any other Person and is not the continuing or surviving corporation or entity of such consolidation or merger or (ii) transfers or conveys all or substantially all of its properties and other assets to any Person, then, and in each such case, G-III Buyer Parent shall cause such Person to assume the obligations set forth in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including by operation of law.</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7.13        </w:t>
      </w:r>
      <w:r>
        <w:rPr>
          <w:rFonts w:ascii="Times New Roman;Times;Serif" w:hAnsi="Times New Roman;Times;Serif"/>
          <w:b w:val="false"/>
          <w:i w:val="false"/>
          <w:caps w:val="false"/>
          <w:smallCaps w:val="false"/>
          <w:sz w:val="20"/>
          <w:u w:val="single"/>
        </w:rPr>
        <w:t>WHP Parent Guaranty.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WHP Parent hereby fully guarantees the due, prompt and full performance, payment and discharge when due of all of the covenants, obligations, agreements and undertakings, including any payment and indemnification obligations, of Majestic IPCo and MJ Buyer Parent under this Agreement (solely to the extent arising at or prior to the Closing in the case of MJ Buyer Parent) (collectively, such obligations described in the first sentence of this ‎</w:t>
      </w:r>
      <w:r>
        <w:rPr>
          <w:rFonts w:ascii="Times New Roman;Times;Serif" w:hAnsi="Times New Roman;Times;Serif"/>
          <w:b w:val="false"/>
          <w:i w:val="false"/>
          <w:caps w:val="false"/>
          <w:smallCaps w:val="false"/>
          <w:sz w:val="20"/>
          <w:u w:val="single"/>
        </w:rPr>
        <w:t>Section 7.13(a)</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u w:val="single"/>
        </w:rPr>
        <w:t>Seller Guaranteed Obligations</w:t>
      </w:r>
      <w:r>
        <w:rPr>
          <w:rFonts w:ascii="Times New Roman;Times;Serif" w:hAnsi="Times New Roman;Times;Serif"/>
          <w:b w:val="false"/>
          <w:i w:val="false"/>
          <w:caps w:val="false"/>
          <w:smallCaps w:val="false"/>
          <w:sz w:val="20"/>
        </w:rPr>
        <w:t>”). Whenever this Agreement requires Majestic IPCo to take any action or refrain from taking any action, such requirement shall be deemed to include an undertaking on the part of WHP Parent to cause Majestic IPCo, as applicable, to take such action or refrain from taking such action. The Seller Guaranteed Obligations are primary, absolute, unconditional and irrevocable, and such obligations shall continue in full force and effect until the payment and performance, as applicable, of all of the Seller Guaranteed Obligations and are not conditioned upon any event or contingency or upon any attempt first to obtain payment from Majestic IPCo or any other Person under this Agreement, or pursuit of any other right or remedy against Majestic IPCo through the commencement of a Proceeding or otherwise. WHP Parent shall not exercise any right of subrogation against any other Person in connection with the transactions contemplated by this Agreement, whether arising by contract or operation of law or otherwise, by reason of any payment by it in respect of the Seller Guaranteed Obligations unless and until the Seller Guaranteed Obligations have first been paid in full to G-III Buyer. With respect to its obligations hereunder, WHP Parent expressly waives diligence, presentment, demand of payment, protest and all notices whatsoever, all defenses which may be available by virtue of any valuation, stay, moratorium law or other similar Law now or hereafter in effect, any right to require the marshalling of assets of Majestic IPCo or its Affiliates, and all suretyship defenses generally.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b w:val="false"/>
          <w:i w:val="false"/>
          <w:caps w:val="false"/>
          <w:smallCaps w:val="false"/>
          <w:sz w:val="20"/>
        </w:rPr>
        <w:t xml:space="preserve">         WHP Parent acknowledges and agrees that its obligations under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continue and not be released or discharged, in whole or in part, or otherwise affected by: (i) the failure or delay on the part of Seller to assert any claim or demand or to enforce any right or remedy against Majestic IPCo or WHP Parent; (ii) any change in the time, place or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manner of payment or performance of any of the Seller Guaranteed Obligations or any rescission, waiver, compromise, consolidation or other amendment or modification of any of the terms or provisions of this Agreement (other than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as applicable); (iii) any change in the corporate existence, structure or ownership of Majestic IPCo or WHP Parent; (iv) any insolvency, bankruptcy, reorganization or other similar proceeding affecting Majestic IPCo or WHP Parent; (v) the existence of any claim, set-off or other right which WHP Parent may have at any time against Majestic IPCo or any of its Affiliates, whether in connection with the Seller Guaranteed Obligations or otherwise; (vi) the adequacy of any means Majestic IPCo or its Affiliates may have of obtaining payment or performance related to the Seller Guaranteed Obligations; or (vii) any change in Law or other action by any Governmental Authority.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Notwithstanding anything herein to the contrary, WHP Parent’s obligations under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terminate immediately upon the discharge in full of all Seller Guaranteed Obligations.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WHP Parent hereby represents and warrants to G-III Buyer that: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WHP Parent (x) is duly organized, validly existing and in good standing under the laws of its jurisdiction of organization, and (y) has the requisite power and authority to own or lease its properties and assets and to conduct its business in all material respects as it is now being conducted.</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WHP Parent has full power and authority to execute and deliver this Agreement, to perform its obligations hereunder and to consummate the transactions contemplated hereby.</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The execution and delivery by WHP Parent of this Agreement, the performance by WHP Parent of its obligations hereunder and the consummation by WHP Parent of the transactions contemplated hereby have been duly authorized by all requisite action.</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This Agreement has been duly and validly executed and delivered by WHP Parent and (assuming the due and valid execution and delivery of this Agreement by G-III Buyer) constitutes a legal, valid and binding agreement of WHP Parent, enforceable against WHP Parent in accordance with its terms, except as such enforceability may be limited by bankruptcy, insolvency, moratorium or other similar applicable Laws affecting or relating to creditors’ rights generally and general principles of equity, regardless of whether asserted in a proceeding in equity or at law.</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 xml:space="preserve">WHP Parent has all requisite power and authority to execute, deliver and perform the obligations set forth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and the execution, delivery and performance of this Agreement have been duly authorized by all necessary action and do not contravene any provision of WHP Parent’s organizational documents or any applicable Law binding on WHP Parent or its assets.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 xml:space="preserve">All consents necessary for the due execution, delivery and performance of this Agreement by WHP Parent have been obtained and all conditions thereof have been duly complied with, and no other action by, and no notice to, consent of, or filing with any Governmental Authority or other Person is required in connection with the execution, delivery or performance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 xml:space="preserve">As of the Closing, WHP Parent or one or more of its controlled Affiliates will have available funds sufficient to consummate the transactions contemplated by this Agreement and upon the terms of this Agreement, including the payment of amounts contemplated by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and to pay all fees, costs and expenses related to the transactions contemplated by this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WHP Parent acknowledges and agrees that all provisions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(except for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apply to WHP Parent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with respect to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be binding upon the successors and permitted assigns of WHP Parent and shall inure to the benefit of G-III Buyer and its successors and permitted assigns. In the event that WHP Parent or any of its successors or permitted assigns (i) consolidates with or merges into any other Person and is not the continuing or surviving corporation or entity of such consolidation or merger or (ii) transfers or conveys all or substantially all of its properties and other assets to any Person, then, and in each such case, WHP Parent shall cause such Person to assume the obligations set forth in this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including by operation of law.</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7.14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color w:val="000000"/>
          <w:sz w:val="20"/>
        </w:rPr>
        <w:t>. The Parties hereto agree that irreparable damage would occur and that the Parties would not have any adequate remedy at law in the event any provision of this Agreement was not performed in accordance with the specific terms hereof or were otherwise breached. It is accordingly agreed that the Parties hereto shall be entitled (in addition to any other remedies available to them) to the remedies of specific performance (which shall include the right to obtain an order compelling a Party’s counterparty hereto to close the transactions contemplated by this Agreement) and injunctive relief (without bond or other security being required and without the necessity of proving the inadequacy of money damages) to prevent breaches or threatened breaches of this Agreement and to enforce specifically the terms and provisions of this Agreement, this being in addition to any other remedy to which they are entitled at law or in equity.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7.15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color w:val="000000"/>
          <w:sz w:val="20"/>
        </w:rPr>
        <w:t>. The headings contained in this Agreement are inserted only for reference as a matter of convenience and in no way define, limit, or describe the scope or intent of this Agreement, and will not affect in any way the meaning or interpretation of this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7.16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color w:val="000000"/>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 As used in this Agreement, (a) the words “include” and “including,” and variations thereof, shall not be deemed to be terms of limitation, but rather shall be deemed to be followed by the words “without limitation”, (b) the words “hereby,” “herein,” “hereunder” and “hereto” shall be deemed to refer to this Agreement in its entirety and not to any specific section of this Agreement, and (c) all references to “dollars” or “$” shall mean United States dollars. Except as otherwise indicated, all references in this Agreement to “Sections,” “Schedules” and “Exhibits” are intended to refer to Sections of this Agreement and Exhibits to this Agreement. When this Agreement states that Majestic IPCo has “made available,” “delivered” or “provided” (or terms of similar import) a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particular document or information to G-III Buyer, it shall mean such document or information was made available by Majestic IPCo or its Representatives at least one (1) Business Day prior to the date hereof via (i) the provision of access to hard copies of such items or information, (ii) delivery to G-III Buyer’s counsel or (iii) the provision of such items or information in electronic format (including by fax, e-mail or by other electronic means). This Agreement was negotiated by the Parties with the benefit of legal representation, and any rule of construction or interpretation otherwise requiring this Agreement to be construed or interpreted against any Party will not apply to any construction or interpretation hereof. For the avoidance of doubt, G-III or its Affiliates holding interests in Majestic IPCo shall not be considered Affiliates of Majestic IPCo.</w:t>
      </w:r>
    </w:p>
    <w:p>
      <w:pPr>
        <w:pStyle w:val="TextBody"/>
        <w:bidi w:val="0"/>
        <w:spacing w:before="0" w:after="24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left blank.]</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 by their respective officers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75"/>
        <w:gridCol w:w="709"/>
        <w:gridCol w:w="2250"/>
        <w:gridCol w:w="75"/>
      </w:tblGrid>
      <w:tr>
        <w:trPr/>
        <w:tc>
          <w:tcPr>
            <w:tcW w:w="75" w:type="dxa"/>
            <w:tcBorders/>
            <w:vAlign w:val="center"/>
          </w:tcPr>
          <w:p>
            <w:pPr>
              <w:pStyle w:val="TableContents"/>
              <w:bidi w:val="0"/>
              <w:spacing w:before="0" w:after="283"/>
              <w:jc w:val="left"/>
              <w:rPr/>
            </w:pPr>
            <w:r>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LEATHER FASHIONS,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22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22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pPr>
            <w:r>
              <w:rPr/>
              <w:t>By:</w:t>
            </w:r>
          </w:p>
        </w:tc>
        <w:tc>
          <w:tcPr>
            <w:tcW w:w="2250" w:type="dxa"/>
            <w:tcBorders>
              <w:bottom w:val="single" w:sz="8" w:space="0" w:color="000000"/>
            </w:tcBorders>
            <w:tcMar>
              <w:bottom w:w="28" w:type="dxa"/>
            </w:tcMar>
            <w:vAlign w:val="center"/>
          </w:tcPr>
          <w:p>
            <w:pPr>
              <w:pStyle w:val="TableContents"/>
              <w:bidi w:val="0"/>
              <w:spacing w:before="0" w:after="283"/>
              <w:jc w:val="left"/>
              <w:rPr/>
            </w:pPr>
            <w:r>
              <w:rPr/>
              <w:t>/s/ Jeffrey Goldfarb</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Name:</w:t>
            </w:r>
          </w:p>
        </w:tc>
        <w:tc>
          <w:tcPr>
            <w:tcW w:w="2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Goldfarb</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Title:</w:t>
            </w:r>
          </w:p>
        </w:tc>
        <w:tc>
          <w:tcPr>
            <w:tcW w:w="2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650"/>
        <w:gridCol w:w="2120"/>
        <w:gridCol w:w="75"/>
      </w:tblGrid>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MAJESTIC PARENT,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By:</w:t>
            </w:r>
          </w:p>
        </w:tc>
        <w:tc>
          <w:tcPr>
            <w:tcW w:w="2120" w:type="dxa"/>
            <w:tcBorders>
              <w:bottom w:val="single" w:sz="8" w:space="0" w:color="000000"/>
            </w:tcBorders>
            <w:tcMar>
              <w:bottom w:w="28" w:type="dxa"/>
            </w:tcMar>
            <w:vAlign w:val="center"/>
          </w:tcPr>
          <w:p>
            <w:pPr>
              <w:pStyle w:val="TableContents"/>
              <w:bidi w:val="0"/>
              <w:spacing w:before="0" w:after="283"/>
              <w:jc w:val="left"/>
              <w:rPr/>
            </w:pPr>
            <w:r>
              <w:rPr/>
              <w:t>/s/ Yehuda Shmidman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120" w:type="dxa"/>
            <w:tcBorders/>
            <w:vAlign w:val="center"/>
          </w:tcPr>
          <w:p>
            <w:pPr>
              <w:pStyle w:val="TableContents"/>
              <w:bidi w:val="0"/>
              <w:spacing w:before="0" w:after="283"/>
              <w:jc w:val="left"/>
              <w:rPr/>
            </w:pPr>
            <w:r>
              <w:rPr/>
              <w:t>Yehuda Shmidman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650"/>
        <w:gridCol w:w="2120"/>
        <w:gridCol w:w="75"/>
      </w:tblGrid>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MJ Topco,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By:</w:t>
            </w:r>
          </w:p>
        </w:tc>
        <w:tc>
          <w:tcPr>
            <w:tcW w:w="2120" w:type="dxa"/>
            <w:tcBorders>
              <w:bottom w:val="single" w:sz="8" w:space="0" w:color="000000"/>
            </w:tcBorders>
            <w:tcMar>
              <w:bottom w:w="28" w:type="dxa"/>
            </w:tcMar>
            <w:vAlign w:val="center"/>
          </w:tcPr>
          <w:p>
            <w:pPr>
              <w:pStyle w:val="TableContents"/>
              <w:bidi w:val="0"/>
              <w:spacing w:before="0" w:after="283"/>
              <w:jc w:val="left"/>
              <w:rPr/>
            </w:pPr>
            <w:r>
              <w:rPr/>
              <w:t>/s/ Yehuda Shmidman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120" w:type="dxa"/>
            <w:tcBorders/>
            <w:vAlign w:val="center"/>
          </w:tcPr>
          <w:p>
            <w:pPr>
              <w:pStyle w:val="TableContents"/>
              <w:bidi w:val="0"/>
              <w:spacing w:before="0" w:after="283"/>
              <w:jc w:val="left"/>
              <w:rPr/>
            </w:pPr>
            <w:r>
              <w:rPr/>
              <w:t>Yehuda Shmidman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Equity Purchase and Distribution Agreement]</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tbl>
      <w:tblPr>
        <w:tblW w:w="4444" w:type="dxa"/>
        <w:jc w:val="left"/>
        <w:tblInd w:w="0" w:type="dxa"/>
        <w:tblLayout w:type="fixed"/>
        <w:tblCellMar>
          <w:top w:w="0" w:type="dxa"/>
          <w:left w:w="0" w:type="dxa"/>
          <w:bottom w:w="0" w:type="dxa"/>
          <w:right w:w="0" w:type="dxa"/>
        </w:tblCellMar>
      </w:tblPr>
      <w:tblGrid>
        <w:gridCol w:w="75"/>
        <w:gridCol w:w="1007"/>
        <w:gridCol w:w="3287"/>
        <w:gridCol w:w="75"/>
      </w:tblGrid>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Solely for purposes of Section 4.5 and Section 7.13: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 BORROWER,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32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pPr>
            <w:r>
              <w:rPr/>
              <w:t>By:</w:t>
            </w:r>
          </w:p>
        </w:tc>
        <w:tc>
          <w:tcPr>
            <w:tcW w:w="3287" w:type="dxa"/>
            <w:tcBorders>
              <w:bottom w:val="single" w:sz="8" w:space="0" w:color="000000"/>
            </w:tcBorders>
            <w:tcMar>
              <w:bottom w:w="28" w:type="dxa"/>
            </w:tcMar>
            <w:vAlign w:val="center"/>
          </w:tcPr>
          <w:p>
            <w:pPr>
              <w:pStyle w:val="TableContents"/>
              <w:bidi w:val="0"/>
              <w:spacing w:before="0" w:after="283"/>
              <w:jc w:val="left"/>
              <w:rPr/>
            </w:pPr>
            <w:r>
              <w:rPr/>
              <w:t>/s/ Yehuda Shmidman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Name:</w:t>
            </w:r>
          </w:p>
        </w:tc>
        <w:tc>
          <w:tcPr>
            <w:tcW w:w="3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Yehuda Shmidman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Title:</w:t>
            </w:r>
          </w:p>
        </w:tc>
        <w:tc>
          <w:tcPr>
            <w:tcW w:w="3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713"/>
        <w:gridCol w:w="2261"/>
        <w:gridCol w:w="75"/>
      </w:tblGrid>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Solely for purposes of Section 7.12: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G-III APPAREL GROUP,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226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pPr>
            <w:r>
              <w:rPr/>
              <w:t>By:</w:t>
            </w:r>
          </w:p>
        </w:tc>
        <w:tc>
          <w:tcPr>
            <w:tcW w:w="2261" w:type="dxa"/>
            <w:tcBorders>
              <w:bottom w:val="single" w:sz="8" w:space="0" w:color="000000"/>
            </w:tcBorders>
            <w:tcMar>
              <w:bottom w:w="28" w:type="dxa"/>
            </w:tcMar>
            <w:vAlign w:val="center"/>
          </w:tcPr>
          <w:p>
            <w:pPr>
              <w:pStyle w:val="TableContents"/>
              <w:bidi w:val="0"/>
              <w:spacing w:before="0" w:after="283"/>
              <w:jc w:val="left"/>
              <w:rPr/>
            </w:pPr>
            <w:r>
              <w:rPr/>
              <w:t>/s/ Jeffrey Goldfarb</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Name:</w:t>
            </w:r>
          </w:p>
        </w:tc>
        <w:tc>
          <w:tcPr>
            <w:tcW w:w="2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Goldfarb</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Title:</w:t>
            </w:r>
          </w:p>
        </w:tc>
        <w:tc>
          <w:tcPr>
            <w:tcW w:w="2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Equity Purchase and Distribution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Certain Defined Terms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China and Japan Operating Business</w:t>
      </w:r>
      <w:r>
        <w:rPr>
          <w:rFonts w:ascii="Times New Roman;Times;Serif" w:hAnsi="Times New Roman;Times;Serif"/>
          <w:b w:val="false"/>
          <w:i w:val="false"/>
          <w:caps w:val="false"/>
          <w:smallCaps w:val="false"/>
          <w:sz w:val="20"/>
        </w:rPr>
        <w:t>” means all operating assets and liabilities, including all real estate, employees, inventory and other working capital of the MJ International Group in China and Japan, which includes Marc Jacobs KK Japan, Marc Jacobs Hong Kong Limited, Marc Jacobs Hong Kong Distribution Company Limited, Marc Jacobs Macau Distribution Company Limited, and Marc Jacobs Commercial and Trading (Shanghai) Co., Ltd.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all information communicated in writing, orally, by electronic or magnetic or any other media, by visual observation or by any other means, whether or not labeled as confidential, which is disclosed or otherwise provided by, or on behalf or at the request of, a Party (in such capacity, the “</w:t>
      </w:r>
      <w:r>
        <w:rPr>
          <w:rFonts w:ascii="Times New Roman;Times;Serif" w:hAnsi="Times New Roman;Times;Serif"/>
          <w:b/>
          <w:i w:val="false"/>
          <w:caps w:val="false"/>
          <w:smallCaps w:val="false"/>
          <w:sz w:val="20"/>
          <w:u w:val="single"/>
        </w:rPr>
        <w:t>Disclosing Party</w:t>
      </w:r>
      <w:r>
        <w:rPr>
          <w:rFonts w:ascii="Times New Roman;Times;Serif" w:hAnsi="Times New Roman;Times;Serif"/>
          <w:b w:val="false"/>
          <w:i w:val="false"/>
          <w:caps w:val="false"/>
          <w:smallCaps w:val="false"/>
          <w:sz w:val="20"/>
        </w:rPr>
        <w:t>”), to the other Party (in such capacity, the “</w:t>
      </w:r>
      <w:r>
        <w:rPr>
          <w:rFonts w:ascii="Times New Roman;Times;Serif" w:hAnsi="Times New Roman;Times;Serif"/>
          <w:b/>
          <w:i w:val="false"/>
          <w:caps w:val="false"/>
          <w:smallCaps w:val="false"/>
          <w:sz w:val="20"/>
          <w:u w:val="single"/>
        </w:rPr>
        <w:t>Receiving Party</w:t>
      </w:r>
      <w:r>
        <w:rPr>
          <w:rFonts w:ascii="Times New Roman;Times;Serif" w:hAnsi="Times New Roman;Times;Serif"/>
          <w:b w:val="false"/>
          <w:i w:val="false"/>
          <w:caps w:val="false"/>
          <w:smallCaps w:val="false"/>
          <w:sz w:val="20"/>
        </w:rPr>
        <w:t>”) or such Receiving Party’s Representatives. Confidential Information shall also be deemed to include (i) all notes, data, reports, analyses, compilations, studies, interpretations, memoranda, summaries or other materials prepared by the Disclosing Party or by its Representatives that contain, reflect or are based (in whole or in part) upon or derived from any Confidential Information; (ii) any information (including the terms thereof) relating to this Agreement or the transactions contemplated by this Agreement, or any discussions, documents or agreements related hereto or thereto; (iii) the existence of, all information relating to, and the provisions of discussions and negotiations between or among the Parties or any of their respective Representatives or Affiliates; (iv) proprietary information of the Disclosing Party or its Affiliates that is disclosed in connection with the transactions contemplated by this Agreement; and (v) non-public information relating to the business or affairs of the Disclosing Party or any of their respective Affiliates, including (A) in the case of Majestic IPCo, the Excluded Business and (B) in the case of G-III Buyer, the Business. For purposes hereof, the term Confidential Information shall not include any information that (i) is or was in the possession of the Receiving Party or its Representatives on a non-confidential basis, prior to, or at the time of, the disclosure of the same in connection with the transactions contemplated by this Agreement; (ii) is, was or becomes part of the general public knowledge or publicly available other than through a breach of the confidentiality obligations hereunder by the Receiving Party or its Representatives; (iii) is obtained by the Receiving Party or its Representatives on a non-confidential basis from a source other than the Disclosing Party or its Representatives, which source is not known by the Receiving Party or Representatives, after reasonable inquiry, to be bound by confidentiality obligations to the Disclosing Party or its Affiliates or Representatives with respect to such information; (iv) has been previously approved by the Disclosing Party, in writing, for release by Receiving Party; or (v) is or was independently developed by the Receiving Party or its Representatives without use of or reference to the Disclosing Party’s Confidential Information.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Damages</w:t>
      </w:r>
      <w:r>
        <w:rPr>
          <w:rFonts w:ascii="Times New Roman;Times;Serif" w:hAnsi="Times New Roman;Times;Serif"/>
          <w:b w:val="false"/>
          <w:i w:val="false"/>
          <w:caps w:val="false"/>
          <w:smallCaps w:val="false"/>
          <w:sz w:val="20"/>
        </w:rPr>
        <w:t>” means any liabilities, losses, damages, penalties, fines, costs, expenses or amounts suffered or incurred by a Party (or G-III Buyer Indemnitee or Seller Indemnitee, as applicable) (but, for the avoidance of doubt, not including any contingent liability unless and until such contingent liability becomes an actual liability and is due and payable).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Fraud</w:t>
      </w:r>
      <w:r>
        <w:rPr>
          <w:rFonts w:ascii="Times New Roman;Times;Serif" w:hAnsi="Times New Roman;Times;Serif"/>
          <w:b w:val="false"/>
          <w:i w:val="false"/>
          <w:caps w:val="false"/>
          <w:smallCaps w:val="false"/>
          <w:sz w:val="20"/>
        </w:rPr>
        <w:t xml:space="preserve">” means, with respect to any Person, the making of a statement of fact in the making of the representations and warranties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with the intent to deceive</w:t>
      </w:r>
    </w:p>
    <w:tbl>
      <w:tblPr>
        <w:tblW w:w="1295" w:type="dxa"/>
        <w:jc w:val="left"/>
        <w:tblInd w:w="0" w:type="dxa"/>
        <w:tblLayout w:type="fixed"/>
        <w:tblCellMar>
          <w:top w:w="0" w:type="dxa"/>
          <w:left w:w="0" w:type="dxa"/>
          <w:bottom w:w="0" w:type="dxa"/>
          <w:right w:w="0" w:type="dxa"/>
        </w:tblCellMar>
      </w:tblPr>
      <w:tblGrid>
        <w:gridCol w:w="75"/>
        <w:gridCol w:w="1145"/>
        <w:gridCol w:w="75"/>
      </w:tblGrid>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Exhibit 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Person and requires: (a) a false representation of material fact; (b) with actual knowledge that such representation was false when made; (c) with a deliberate intention to induce the Person to whom such representation is made to act or refrain from acting in reliance upon it.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G-III Assumed Financial Debt</w:t>
      </w:r>
      <w:r>
        <w:rPr>
          <w:rFonts w:ascii="Times New Roman;Times;Serif" w:hAnsi="Times New Roman;Times;Serif"/>
          <w:b w:val="false"/>
          <w:i w:val="false"/>
          <w:caps w:val="false"/>
          <w:smallCaps w:val="false"/>
          <w:sz w:val="20"/>
        </w:rPr>
        <w:t>” means the Financial Debt as used in the calculation of Net Financial Debt as set forth on the Estimated Closing Date Balance Sheet Statement or as used in the calculation of Actual Net Financial Debt as set forth in the Closing Date Balance Sheet Statement, as applicable, less the amount of such obligations that are actually repaid at the UPA Closing, less the amount of such obligations that are liabilities of Holdings or of the Excluded Business, in each case, as of the applicable time of determination but after giving effect to the Pre-Closing Restructuring.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G-III Assumed Cash</w:t>
      </w:r>
      <w:r>
        <w:rPr>
          <w:rFonts w:ascii="Times New Roman;Times;Serif" w:hAnsi="Times New Roman;Times;Serif"/>
          <w:b w:val="false"/>
          <w:i w:val="false"/>
          <w:caps w:val="false"/>
          <w:smallCaps w:val="false"/>
          <w:sz w:val="20"/>
        </w:rPr>
        <w:t>” shall mean Cash of the Business as used in the calculation of Net Financial Debt as set forth on the Estimated Closing Date Balance Sheet Statement or as used in the calculation of Actual Net Financial Debt as set forth in the Closing Date Balance Sheet Statement, as applicable, plus Cash of the Excluded Business in the amount by which such Cash of the Excluded Business exceeds $15,000,000 (it being understood and agreed that, such excess Cash in the Excluded Business shall be contributed, assigned or distributed to MJ International as part of the Pre-Closing Restructuring).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G-III Assumed Working Capital</w:t>
      </w:r>
      <w:r>
        <w:rPr>
          <w:rFonts w:ascii="Times New Roman;Times;Serif" w:hAnsi="Times New Roman;Times;Serif"/>
          <w:b w:val="false"/>
          <w:i w:val="false"/>
          <w:caps w:val="false"/>
          <w:smallCaps w:val="false"/>
          <w:sz w:val="20"/>
        </w:rPr>
        <w:t>” shall mean Working Capital as set forth on the Estimated Closing Date Balance Sheet Statement or the Actual Working Capital as set forth in the Closing Date Balance Sheet Statement, as applicable, less the amount of such Working Capital that is Working Capital of Majestic IPCo and its Subsidiaries (including Holdings and Marc Jacobs Trademarks, LLC), in each case, as of the applicable time of determination but after giving effect to the Pre-Closing Restructuring.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federal, state or local governmental authority or any agency or instrumentality thereof.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IPCo Retained Liabilities</w:t>
      </w:r>
      <w:r>
        <w:rPr>
          <w:rFonts w:ascii="Times New Roman;Times;Serif" w:hAnsi="Times New Roman;Times;Serif"/>
          <w:b w:val="false"/>
          <w:i w:val="false"/>
          <w:caps w:val="false"/>
          <w:smallCaps w:val="false"/>
          <w:sz w:val="20"/>
        </w:rPr>
        <w:t>” means all liabilities and obligations of the Excluded Business.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Law</w:t>
      </w:r>
      <w:r>
        <w:rPr>
          <w:rFonts w:ascii="Times New Roman;Times;Serif" w:hAnsi="Times New Roman;Times;Serif"/>
          <w:b w:val="false"/>
          <w:i w:val="false"/>
          <w:caps w:val="false"/>
          <w:smallCaps w:val="false"/>
          <w:sz w:val="20"/>
        </w:rPr>
        <w:t>” means any federal, state or local statute, law, regulation, order, injunction or decree.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Net Cash Amount</w:t>
      </w:r>
      <w:r>
        <w:rPr>
          <w:rFonts w:ascii="Times New Roman;Times;Serif" w:hAnsi="Times New Roman;Times;Serif"/>
          <w:b w:val="false"/>
          <w:i w:val="false"/>
          <w:caps w:val="false"/>
          <w:smallCaps w:val="false"/>
          <w:sz w:val="20"/>
        </w:rPr>
        <w:t xml:space="preserve">” means the G-III Assumed Cash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the G-III Assumed Financial Debt.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Order</w:t>
      </w:r>
      <w:r>
        <w:rPr>
          <w:rFonts w:ascii="Times New Roman;Times;Serif" w:hAnsi="Times New Roman;Times;Serif"/>
          <w:b w:val="false"/>
          <w:i w:val="false"/>
          <w:caps w:val="false"/>
          <w:smallCaps w:val="false"/>
          <w:sz w:val="20"/>
        </w:rPr>
        <w:t>” means any order, writ, injunction, decree, judgment, award, settlement or stipulation issued, promulgated, made, rendered or entered into by or with any Governmental Authority.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Representatives</w:t>
      </w:r>
      <w:r>
        <w:rPr>
          <w:rFonts w:ascii="Times New Roman;Times;Serif" w:hAnsi="Times New Roman;Times;Serif"/>
          <w:b w:val="false"/>
          <w:i w:val="false"/>
          <w:caps w:val="false"/>
          <w:smallCaps w:val="false"/>
          <w:sz w:val="20"/>
        </w:rPr>
        <w:t>” means any of such party’s Affiliates and its and their respective officers, directors, employees, investment professionals, managers, members, general or limited partners, controlling persons, advisors, representatives, agents or financing sources who are involved in the transactions contemplated by this Agreement or otherwise have a need to know such information.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Transaction Documents</w:t>
      </w:r>
      <w:r>
        <w:rPr>
          <w:rFonts w:ascii="Times New Roman;Times;Serif" w:hAnsi="Times New Roman;Times;Serif"/>
          <w:b w:val="false"/>
          <w:i w:val="false"/>
          <w:caps w:val="false"/>
          <w:smallCaps w:val="false"/>
          <w:sz w:val="20"/>
        </w:rPr>
        <w:t>” means (a) this Agreement, (b) the Assignment and Assumption of Equity Interests, and (c) the Interim Investors’ Agreement.</w:t>
      </w:r>
    </w:p>
    <w:tbl>
      <w:tblPr>
        <w:tblW w:w="1295" w:type="dxa"/>
        <w:jc w:val="left"/>
        <w:tblInd w:w="0" w:type="dxa"/>
        <w:tblLayout w:type="fixed"/>
        <w:tblCellMar>
          <w:top w:w="0" w:type="dxa"/>
          <w:left w:w="0" w:type="dxa"/>
          <w:bottom w:w="0" w:type="dxa"/>
          <w:right w:w="0" w:type="dxa"/>
        </w:tblCellMar>
      </w:tblPr>
      <w:tblGrid>
        <w:gridCol w:w="75"/>
        <w:gridCol w:w="1145"/>
        <w:gridCol w:w="75"/>
      </w:tblGrid>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Exhibit 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Purchase Agreement</w:t>
      </w:r>
    </w:p>
    <w:p>
      <w:pPr>
        <w:pStyle w:val="TextBody"/>
        <w:bidi w:val="0"/>
        <w:spacing w:before="0" w:after="24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tbl>
      <w:tblPr>
        <w:tblW w:w="1295" w:type="dxa"/>
        <w:jc w:val="left"/>
        <w:tblInd w:w="0" w:type="dxa"/>
        <w:tblLayout w:type="fixed"/>
        <w:tblCellMar>
          <w:top w:w="0" w:type="dxa"/>
          <w:left w:w="0" w:type="dxa"/>
          <w:bottom w:w="0" w:type="dxa"/>
          <w:right w:w="0" w:type="dxa"/>
        </w:tblCellMar>
      </w:tblPr>
      <w:tblGrid>
        <w:gridCol w:w="75"/>
        <w:gridCol w:w="1145"/>
        <w:gridCol w:w="75"/>
      </w:tblGrid>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Exhibit A-3</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h260778952_ex1003.htm"/>
      <w:bookmarkStart w:id="27" w:name="kseh260778952_ex1003"/>
      <w:bookmarkEnd w:id="26"/>
      <w:bookmarkEnd w:id="27"/>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IDENTIFIED INFORMATION HAS BEEN EXCLUDED FROM THE EXHIBIT BECAUSE IT IS BOTH NOT MATERIAL AND WOULD LIKELY CAUSE COMPETITIVE HARM TO THE REGISTRANT IF PUBLICLY DISCLOSED. [***] INDICATES THAT INFORMATION HAS BEEN REDACTED.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24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OPERATING AGREEMENT</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360" w:after="360"/>
        <w:ind w:left="360" w:right="36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MJ Topco, LLC</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2026</w:t>
      </w:r>
    </w:p>
    <w:p>
      <w:pPr>
        <w:pStyle w:val="TextBody"/>
        <w:bidi w:val="0"/>
        <w:spacing w:before="480" w:after="480"/>
        <w:ind w:left="480" w:right="4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REFERRED TO IN THIS AGREEMENT HAVE NOT BEEN REGISTERED UNDER THE SECURITIES ACT OF 1933, AS AMENDED (THE “SECURITIES ACT”), OR UNDER ANY STATE OR FOREIGN SECURITIES LAWS. THE UNITS MAY NOT BE SOLD, TRANSFERRED, OR OTHERWISE DISPOSED OF EXCEPT AS PERMITTED UNDER THE SECURITIES ACT AND ANY APPLICABLE STATE AND FOREIGN SECURITIES LAWS PURSUANT TO REGISTRATION THEREUNDER OR EXEMPTION THEREFROM. ADDITIONALLY, ANY SALE, TRANSFER OR OTHER DISPOSITION OF ANY UNIT IS SUBJECT TO CERTAIN RESTRICTIONS SET FORTH IN THIS AGREEMENT.</w:t>
      </w:r>
    </w:p>
    <w:p>
      <w:pPr>
        <w:pStyle w:val="TextBody"/>
        <w:bidi w:val="0"/>
        <w:spacing w:before="24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24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8585"/>
        <w:gridCol w:w="275"/>
      </w:tblGrid>
      <w:tr>
        <w:trPr/>
        <w:tc>
          <w:tcPr>
            <w:tcW w:w="8585" w:type="dxa"/>
            <w:tcBorders/>
            <w:shd w:fill="C6F4F9" w:val="clear"/>
            <w:vAlign w:val="center"/>
          </w:tcPr>
          <w:p>
            <w:pPr>
              <w:pStyle w:val="TableContents"/>
              <w:bidi w:val="0"/>
              <w:spacing w:before="0" w:after="283"/>
              <w:jc w:val="left"/>
              <w:rPr/>
            </w:pPr>
            <w:r>
              <w:rPr/>
              <w:t>Article I DEFINITIONS</w:t>
            </w:r>
          </w:p>
        </w:tc>
        <w:tc>
          <w:tcPr>
            <w:tcW w:w="275" w:type="dxa"/>
            <w:tcBorders/>
            <w:shd w:fill="C6F4F9" w:val="clear"/>
            <w:vAlign w:val="center"/>
          </w:tcPr>
          <w:p>
            <w:pPr>
              <w:pStyle w:val="TableContents"/>
              <w:bidi w:val="0"/>
              <w:spacing w:before="0" w:after="283"/>
              <w:jc w:val="right"/>
              <w:rPr/>
            </w:pPr>
            <w:r>
              <w:rPr/>
              <w:t>2</w:t>
            </w:r>
          </w:p>
        </w:tc>
      </w:tr>
      <w:tr>
        <w:trPr/>
        <w:tc>
          <w:tcPr>
            <w:tcW w:w="85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585" w:type="dxa"/>
            <w:tcBorders/>
            <w:shd w:fill="C6F4F9" w:val="clear"/>
            <w:vAlign w:val="center"/>
          </w:tcPr>
          <w:p>
            <w:pPr>
              <w:pStyle w:val="TableContents"/>
              <w:bidi w:val="0"/>
              <w:spacing w:before="0" w:after="283"/>
              <w:jc w:val="left"/>
              <w:rPr/>
            </w:pPr>
            <w:r>
              <w:rPr/>
              <w:t>Section 1.1   Certain Defined Terms</w:t>
            </w:r>
          </w:p>
        </w:tc>
        <w:tc>
          <w:tcPr>
            <w:tcW w:w="275" w:type="dxa"/>
            <w:tcBorders/>
            <w:shd w:fill="C6F4F9" w:val="clear"/>
            <w:vAlign w:val="center"/>
          </w:tcPr>
          <w:p>
            <w:pPr>
              <w:pStyle w:val="TableContents"/>
              <w:bidi w:val="0"/>
              <w:spacing w:before="0" w:after="283"/>
              <w:jc w:val="right"/>
              <w:rPr/>
            </w:pPr>
            <w:r>
              <w:rPr/>
              <w:t>2</w:t>
            </w:r>
          </w:p>
        </w:tc>
      </w:tr>
      <w:tr>
        <w:trPr/>
        <w:tc>
          <w:tcPr>
            <w:tcW w:w="8585" w:type="dxa"/>
            <w:tcBorders/>
            <w:shd w:fill="FFFFFF" w:val="clear"/>
            <w:vAlign w:val="center"/>
          </w:tcPr>
          <w:p>
            <w:pPr>
              <w:pStyle w:val="TableContents"/>
              <w:bidi w:val="0"/>
              <w:spacing w:before="0" w:after="283"/>
              <w:jc w:val="left"/>
              <w:rPr/>
            </w:pPr>
            <w:r>
              <w:rPr/>
              <w:t>Section 1.2   Table of Definitions</w:t>
            </w:r>
          </w:p>
        </w:tc>
        <w:tc>
          <w:tcPr>
            <w:tcW w:w="275" w:type="dxa"/>
            <w:tcBorders/>
            <w:shd w:fill="FFFFFF" w:val="clear"/>
            <w:vAlign w:val="center"/>
          </w:tcPr>
          <w:p>
            <w:pPr>
              <w:pStyle w:val="TableContents"/>
              <w:bidi w:val="0"/>
              <w:spacing w:before="0" w:after="283"/>
              <w:jc w:val="right"/>
              <w:rPr/>
            </w:pPr>
            <w:r>
              <w:rPr/>
              <w:t>9</w:t>
            </w:r>
          </w:p>
        </w:tc>
      </w:tr>
      <w:tr>
        <w:trPr/>
        <w:tc>
          <w:tcPr>
            <w:tcW w:w="8585"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8585" w:type="dxa"/>
            <w:tcBorders/>
            <w:shd w:fill="FFFFFF" w:val="clear"/>
            <w:vAlign w:val="center"/>
          </w:tcPr>
          <w:p>
            <w:pPr>
              <w:pStyle w:val="TableContents"/>
              <w:bidi w:val="0"/>
              <w:spacing w:before="0" w:after="283"/>
              <w:jc w:val="left"/>
              <w:rPr/>
            </w:pPr>
            <w:r>
              <w:rPr/>
              <w:t>Article II FORMATION, TERM, PURPOSE AND POWERS</w:t>
            </w:r>
          </w:p>
        </w:tc>
        <w:tc>
          <w:tcPr>
            <w:tcW w:w="275" w:type="dxa"/>
            <w:tcBorders/>
            <w:shd w:fill="FFFFFF" w:val="clear"/>
            <w:vAlign w:val="center"/>
          </w:tcPr>
          <w:p>
            <w:pPr>
              <w:pStyle w:val="TableContents"/>
              <w:bidi w:val="0"/>
              <w:spacing w:before="0" w:after="283"/>
              <w:jc w:val="right"/>
              <w:rPr/>
            </w:pPr>
            <w:r>
              <w:rPr/>
              <w:t>11</w:t>
            </w:r>
          </w:p>
        </w:tc>
      </w:tr>
      <w:tr>
        <w:trPr/>
        <w:tc>
          <w:tcPr>
            <w:tcW w:w="8585"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8585" w:type="dxa"/>
            <w:tcBorders/>
            <w:shd w:fill="FFFFFF" w:val="clear"/>
            <w:vAlign w:val="center"/>
          </w:tcPr>
          <w:p>
            <w:pPr>
              <w:pStyle w:val="TableContents"/>
              <w:bidi w:val="0"/>
              <w:spacing w:before="0" w:after="283"/>
              <w:jc w:val="left"/>
              <w:rPr/>
            </w:pPr>
            <w:r>
              <w:rPr/>
              <w:t>Section 2.1   Formation</w:t>
            </w:r>
          </w:p>
        </w:tc>
        <w:tc>
          <w:tcPr>
            <w:tcW w:w="275" w:type="dxa"/>
            <w:tcBorders/>
            <w:shd w:fill="FFFFFF" w:val="clear"/>
            <w:vAlign w:val="center"/>
          </w:tcPr>
          <w:p>
            <w:pPr>
              <w:pStyle w:val="TableContents"/>
              <w:bidi w:val="0"/>
              <w:spacing w:before="0" w:after="283"/>
              <w:jc w:val="right"/>
              <w:rPr/>
            </w:pPr>
            <w:r>
              <w:rPr/>
              <w:t>11</w:t>
            </w:r>
          </w:p>
        </w:tc>
      </w:tr>
      <w:tr>
        <w:trPr/>
        <w:tc>
          <w:tcPr>
            <w:tcW w:w="8585" w:type="dxa"/>
            <w:tcBorders/>
            <w:shd w:fill="C6F4F9" w:val="clear"/>
            <w:vAlign w:val="center"/>
          </w:tcPr>
          <w:p>
            <w:pPr>
              <w:pStyle w:val="TableContents"/>
              <w:bidi w:val="0"/>
              <w:spacing w:before="0" w:after="283"/>
              <w:jc w:val="left"/>
              <w:rPr/>
            </w:pPr>
            <w:r>
              <w:rPr/>
              <w:t>Section 2.2   Name</w:t>
            </w:r>
          </w:p>
        </w:tc>
        <w:tc>
          <w:tcPr>
            <w:tcW w:w="275" w:type="dxa"/>
            <w:tcBorders/>
            <w:shd w:fill="C6F4F9" w:val="clear"/>
            <w:vAlign w:val="center"/>
          </w:tcPr>
          <w:p>
            <w:pPr>
              <w:pStyle w:val="TableContents"/>
              <w:bidi w:val="0"/>
              <w:spacing w:before="0" w:after="283"/>
              <w:jc w:val="right"/>
              <w:rPr/>
            </w:pPr>
            <w:r>
              <w:rPr/>
              <w:t>11</w:t>
            </w:r>
          </w:p>
        </w:tc>
      </w:tr>
      <w:tr>
        <w:trPr/>
        <w:tc>
          <w:tcPr>
            <w:tcW w:w="8585" w:type="dxa"/>
            <w:tcBorders/>
            <w:shd w:fill="FFFFFF" w:val="clear"/>
            <w:vAlign w:val="center"/>
          </w:tcPr>
          <w:p>
            <w:pPr>
              <w:pStyle w:val="TableContents"/>
              <w:bidi w:val="0"/>
              <w:spacing w:before="0" w:after="283"/>
              <w:jc w:val="left"/>
              <w:rPr/>
            </w:pPr>
            <w:r>
              <w:rPr/>
              <w:t>Section 2.3   Term</w:t>
            </w:r>
          </w:p>
        </w:tc>
        <w:tc>
          <w:tcPr>
            <w:tcW w:w="275" w:type="dxa"/>
            <w:tcBorders/>
            <w:shd w:fill="FFFFFF" w:val="clear"/>
            <w:vAlign w:val="center"/>
          </w:tcPr>
          <w:p>
            <w:pPr>
              <w:pStyle w:val="TableContents"/>
              <w:bidi w:val="0"/>
              <w:spacing w:before="0" w:after="283"/>
              <w:jc w:val="right"/>
              <w:rPr/>
            </w:pPr>
            <w:r>
              <w:rPr/>
              <w:t>11</w:t>
            </w:r>
          </w:p>
        </w:tc>
      </w:tr>
      <w:tr>
        <w:trPr/>
        <w:tc>
          <w:tcPr>
            <w:tcW w:w="8585" w:type="dxa"/>
            <w:tcBorders/>
            <w:shd w:fill="C6F4F9" w:val="clear"/>
            <w:vAlign w:val="center"/>
          </w:tcPr>
          <w:p>
            <w:pPr>
              <w:pStyle w:val="TableContents"/>
              <w:bidi w:val="0"/>
              <w:spacing w:before="0" w:after="283"/>
              <w:jc w:val="left"/>
              <w:rPr/>
            </w:pPr>
            <w:r>
              <w:rPr/>
              <w:t>Section 2.4   Principal U.S. Office; Registered Office and Registered Agent; Other Offices</w:t>
            </w:r>
          </w:p>
        </w:tc>
        <w:tc>
          <w:tcPr>
            <w:tcW w:w="275" w:type="dxa"/>
            <w:tcBorders/>
            <w:shd w:fill="C6F4F9" w:val="clear"/>
            <w:vAlign w:val="center"/>
          </w:tcPr>
          <w:p>
            <w:pPr>
              <w:pStyle w:val="TableContents"/>
              <w:bidi w:val="0"/>
              <w:spacing w:before="0" w:after="283"/>
              <w:jc w:val="right"/>
              <w:rPr/>
            </w:pPr>
            <w:r>
              <w:rPr/>
              <w:t>12</w:t>
            </w:r>
          </w:p>
        </w:tc>
      </w:tr>
      <w:tr>
        <w:trPr/>
        <w:tc>
          <w:tcPr>
            <w:tcW w:w="8585" w:type="dxa"/>
            <w:tcBorders/>
            <w:shd w:fill="FFFFFF" w:val="clear"/>
            <w:vAlign w:val="center"/>
          </w:tcPr>
          <w:p>
            <w:pPr>
              <w:pStyle w:val="TableContents"/>
              <w:bidi w:val="0"/>
              <w:spacing w:before="0" w:after="283"/>
              <w:jc w:val="left"/>
              <w:rPr/>
            </w:pPr>
            <w:r>
              <w:rPr/>
              <w:t>Section 2.5   Title to Company Property</w:t>
            </w:r>
          </w:p>
        </w:tc>
        <w:tc>
          <w:tcPr>
            <w:tcW w:w="275" w:type="dxa"/>
            <w:tcBorders/>
            <w:shd w:fill="FFFFFF" w:val="clear"/>
            <w:vAlign w:val="center"/>
          </w:tcPr>
          <w:p>
            <w:pPr>
              <w:pStyle w:val="TableContents"/>
              <w:bidi w:val="0"/>
              <w:spacing w:before="0" w:after="283"/>
              <w:jc w:val="right"/>
              <w:rPr/>
            </w:pPr>
            <w:r>
              <w:rPr/>
              <w:t>12</w:t>
            </w:r>
          </w:p>
        </w:tc>
      </w:tr>
      <w:tr>
        <w:trPr/>
        <w:tc>
          <w:tcPr>
            <w:tcW w:w="8585" w:type="dxa"/>
            <w:tcBorders/>
            <w:shd w:fill="C6F4F9" w:val="clear"/>
            <w:vAlign w:val="center"/>
          </w:tcPr>
          <w:p>
            <w:pPr>
              <w:pStyle w:val="TableContents"/>
              <w:bidi w:val="0"/>
              <w:spacing w:before="0" w:after="283"/>
              <w:jc w:val="left"/>
              <w:rPr/>
            </w:pPr>
            <w:r>
              <w:rPr/>
              <w:t>Section 2.6   Agent for Service of Process</w:t>
            </w:r>
          </w:p>
        </w:tc>
        <w:tc>
          <w:tcPr>
            <w:tcW w:w="275" w:type="dxa"/>
            <w:tcBorders/>
            <w:shd w:fill="C6F4F9" w:val="clear"/>
            <w:vAlign w:val="center"/>
          </w:tcPr>
          <w:p>
            <w:pPr>
              <w:pStyle w:val="TableContents"/>
              <w:bidi w:val="0"/>
              <w:spacing w:before="0" w:after="283"/>
              <w:jc w:val="right"/>
              <w:rPr/>
            </w:pPr>
            <w:r>
              <w:rPr/>
              <w:t>12</w:t>
            </w:r>
          </w:p>
        </w:tc>
      </w:tr>
      <w:tr>
        <w:trPr/>
        <w:tc>
          <w:tcPr>
            <w:tcW w:w="8585" w:type="dxa"/>
            <w:tcBorders/>
            <w:shd w:fill="FFFFFF" w:val="clear"/>
            <w:vAlign w:val="center"/>
          </w:tcPr>
          <w:p>
            <w:pPr>
              <w:pStyle w:val="TableContents"/>
              <w:bidi w:val="0"/>
              <w:spacing w:before="0" w:after="283"/>
              <w:jc w:val="left"/>
              <w:rPr/>
            </w:pPr>
            <w:r>
              <w:rPr/>
              <w:t>Section 2.7   Purpose</w:t>
            </w:r>
          </w:p>
        </w:tc>
        <w:tc>
          <w:tcPr>
            <w:tcW w:w="275" w:type="dxa"/>
            <w:tcBorders/>
            <w:shd w:fill="FFFFFF" w:val="clear"/>
            <w:vAlign w:val="center"/>
          </w:tcPr>
          <w:p>
            <w:pPr>
              <w:pStyle w:val="TableContents"/>
              <w:bidi w:val="0"/>
              <w:spacing w:before="0" w:after="283"/>
              <w:jc w:val="right"/>
              <w:rPr/>
            </w:pPr>
            <w:r>
              <w:rPr/>
              <w:t>12</w:t>
            </w:r>
          </w:p>
        </w:tc>
      </w:tr>
      <w:tr>
        <w:trPr/>
        <w:tc>
          <w:tcPr>
            <w:tcW w:w="8585" w:type="dxa"/>
            <w:tcBorders/>
            <w:shd w:fill="C6F4F9" w:val="clear"/>
            <w:vAlign w:val="center"/>
          </w:tcPr>
          <w:p>
            <w:pPr>
              <w:pStyle w:val="TableContents"/>
              <w:bidi w:val="0"/>
              <w:spacing w:before="0" w:after="283"/>
              <w:jc w:val="left"/>
              <w:rPr/>
            </w:pPr>
            <w:r>
              <w:rPr/>
              <w:t>Section 2.8   Powers of the Company</w:t>
            </w:r>
          </w:p>
        </w:tc>
        <w:tc>
          <w:tcPr>
            <w:tcW w:w="275" w:type="dxa"/>
            <w:tcBorders/>
            <w:shd w:fill="C6F4F9" w:val="clear"/>
            <w:vAlign w:val="center"/>
          </w:tcPr>
          <w:p>
            <w:pPr>
              <w:pStyle w:val="TableContents"/>
              <w:bidi w:val="0"/>
              <w:spacing w:before="0" w:after="283"/>
              <w:jc w:val="right"/>
              <w:rPr/>
            </w:pPr>
            <w:r>
              <w:rPr/>
              <w:t>12</w:t>
            </w:r>
          </w:p>
        </w:tc>
      </w:tr>
      <w:tr>
        <w:trPr/>
        <w:tc>
          <w:tcPr>
            <w:tcW w:w="8585" w:type="dxa"/>
            <w:tcBorders/>
            <w:shd w:fill="FFFFFF" w:val="clear"/>
            <w:vAlign w:val="center"/>
          </w:tcPr>
          <w:p>
            <w:pPr>
              <w:pStyle w:val="TableContents"/>
              <w:bidi w:val="0"/>
              <w:spacing w:before="0" w:after="283"/>
              <w:jc w:val="left"/>
              <w:rPr/>
            </w:pPr>
            <w:r>
              <w:rPr/>
              <w:t>Section 2.9   Maintenance of Separate Existence</w:t>
            </w:r>
          </w:p>
        </w:tc>
        <w:tc>
          <w:tcPr>
            <w:tcW w:w="275" w:type="dxa"/>
            <w:tcBorders/>
            <w:shd w:fill="FFFFFF" w:val="clear"/>
            <w:vAlign w:val="center"/>
          </w:tcPr>
          <w:p>
            <w:pPr>
              <w:pStyle w:val="TableContents"/>
              <w:bidi w:val="0"/>
              <w:spacing w:before="0" w:after="283"/>
              <w:jc w:val="right"/>
              <w:rPr/>
            </w:pPr>
            <w:r>
              <w:rPr/>
              <w:t>12</w:t>
            </w:r>
          </w:p>
        </w:tc>
      </w:tr>
      <w:tr>
        <w:trPr/>
        <w:tc>
          <w:tcPr>
            <w:tcW w:w="8585" w:type="dxa"/>
            <w:tcBorders/>
            <w:shd w:fill="C6F4F9" w:val="clear"/>
            <w:vAlign w:val="center"/>
          </w:tcPr>
          <w:p>
            <w:pPr>
              <w:pStyle w:val="TableContents"/>
              <w:bidi w:val="0"/>
              <w:spacing w:before="0" w:after="283"/>
              <w:jc w:val="left"/>
              <w:rPr/>
            </w:pPr>
            <w:r>
              <w:rPr/>
              <w:t>Section 2.10   No Personal Liability</w:t>
            </w:r>
          </w:p>
        </w:tc>
        <w:tc>
          <w:tcPr>
            <w:tcW w:w="275" w:type="dxa"/>
            <w:tcBorders/>
            <w:shd w:fill="C6F4F9" w:val="clear"/>
            <w:vAlign w:val="center"/>
          </w:tcPr>
          <w:p>
            <w:pPr>
              <w:pStyle w:val="TableContents"/>
              <w:bidi w:val="0"/>
              <w:spacing w:before="0" w:after="283"/>
              <w:jc w:val="right"/>
              <w:rPr/>
            </w:pPr>
            <w:r>
              <w:rPr/>
              <w:t>12</w:t>
            </w:r>
          </w:p>
        </w:tc>
      </w:tr>
      <w:tr>
        <w:trPr/>
        <w:tc>
          <w:tcPr>
            <w:tcW w:w="8585" w:type="dxa"/>
            <w:tcBorders/>
            <w:shd w:fill="FFFFFF" w:val="clear"/>
            <w:vAlign w:val="center"/>
          </w:tcPr>
          <w:p>
            <w:pPr>
              <w:pStyle w:val="TableContents"/>
              <w:bidi w:val="0"/>
              <w:spacing w:before="0" w:after="283"/>
              <w:jc w:val="left"/>
              <w:rPr/>
            </w:pPr>
            <w:r>
              <w:rPr/>
              <w:t>Section 2.11   Admission of Additional Members and Transferees</w:t>
            </w:r>
          </w:p>
        </w:tc>
        <w:tc>
          <w:tcPr>
            <w:tcW w:w="275" w:type="dxa"/>
            <w:tcBorders/>
            <w:shd w:fill="FFFFFF" w:val="clear"/>
            <w:vAlign w:val="center"/>
          </w:tcPr>
          <w:p>
            <w:pPr>
              <w:pStyle w:val="TableContents"/>
              <w:bidi w:val="0"/>
              <w:spacing w:before="0" w:after="283"/>
              <w:jc w:val="right"/>
              <w:rPr/>
            </w:pPr>
            <w:r>
              <w:rPr/>
              <w:t>13</w:t>
            </w:r>
          </w:p>
        </w:tc>
      </w:tr>
      <w:tr>
        <w:trPr/>
        <w:tc>
          <w:tcPr>
            <w:tcW w:w="8585" w:type="dxa"/>
            <w:tcBorders/>
            <w:shd w:fill="C6F4F9" w:val="clear"/>
            <w:vAlign w:val="center"/>
          </w:tcPr>
          <w:p>
            <w:pPr>
              <w:pStyle w:val="TableContents"/>
              <w:bidi w:val="0"/>
              <w:spacing w:before="0" w:after="283"/>
              <w:jc w:val="left"/>
              <w:rPr/>
            </w:pPr>
            <w:r>
              <w:rPr/>
              <w:t>Section 2.12   Withdrawals</w:t>
            </w:r>
          </w:p>
        </w:tc>
        <w:tc>
          <w:tcPr>
            <w:tcW w:w="275" w:type="dxa"/>
            <w:tcBorders/>
            <w:shd w:fill="C6F4F9" w:val="clear"/>
            <w:vAlign w:val="center"/>
          </w:tcPr>
          <w:p>
            <w:pPr>
              <w:pStyle w:val="TableContents"/>
              <w:bidi w:val="0"/>
              <w:spacing w:before="0" w:after="283"/>
              <w:jc w:val="right"/>
              <w:rPr/>
            </w:pPr>
            <w:r>
              <w:rPr/>
              <w:t>13</w:t>
            </w:r>
          </w:p>
        </w:tc>
      </w:tr>
      <w:tr>
        <w:trPr/>
        <w:tc>
          <w:tcPr>
            <w:tcW w:w="8585" w:type="dxa"/>
            <w:tcBorders/>
            <w:shd w:fill="FFFFFF" w:val="clear"/>
            <w:vAlign w:val="center"/>
          </w:tcPr>
          <w:p>
            <w:pPr>
              <w:pStyle w:val="TableContents"/>
              <w:bidi w:val="0"/>
              <w:spacing w:before="0" w:after="283"/>
              <w:jc w:val="left"/>
              <w:rPr/>
            </w:pPr>
            <w:r>
              <w:rPr/>
              <w:t>Section 2.13   No State-Law Partnership; Tax Classification</w:t>
            </w:r>
          </w:p>
        </w:tc>
        <w:tc>
          <w:tcPr>
            <w:tcW w:w="275" w:type="dxa"/>
            <w:tcBorders/>
            <w:shd w:fill="FFFFFF" w:val="clear"/>
            <w:vAlign w:val="center"/>
          </w:tcPr>
          <w:p>
            <w:pPr>
              <w:pStyle w:val="TableContents"/>
              <w:bidi w:val="0"/>
              <w:spacing w:before="0" w:after="283"/>
              <w:jc w:val="right"/>
              <w:rPr/>
            </w:pPr>
            <w:r>
              <w:rPr/>
              <w:t>13</w:t>
            </w:r>
          </w:p>
        </w:tc>
      </w:tr>
      <w:tr>
        <w:trPr/>
        <w:tc>
          <w:tcPr>
            <w:tcW w:w="8585" w:type="dxa"/>
            <w:tcBorders/>
            <w:shd w:fill="C6F4F9" w:val="clear"/>
            <w:vAlign w:val="center"/>
          </w:tcPr>
          <w:p>
            <w:pPr>
              <w:pStyle w:val="TableContents"/>
              <w:bidi w:val="0"/>
              <w:spacing w:before="0" w:after="283"/>
              <w:jc w:val="left"/>
              <w:rPr/>
            </w:pPr>
            <w:r>
              <w:rPr/>
              <w:t>Section 2.14   Non-Certification of Units; Legend; Units Are Securities</w:t>
            </w:r>
          </w:p>
        </w:tc>
        <w:tc>
          <w:tcPr>
            <w:tcW w:w="275" w:type="dxa"/>
            <w:tcBorders/>
            <w:shd w:fill="C6F4F9" w:val="clear"/>
            <w:vAlign w:val="center"/>
          </w:tcPr>
          <w:p>
            <w:pPr>
              <w:pStyle w:val="TableContents"/>
              <w:bidi w:val="0"/>
              <w:spacing w:before="0" w:after="283"/>
              <w:jc w:val="right"/>
              <w:rPr/>
            </w:pPr>
            <w:r>
              <w:rPr/>
              <w:t>13</w:t>
            </w:r>
          </w:p>
        </w:tc>
      </w:tr>
      <w:tr>
        <w:trPr/>
        <w:tc>
          <w:tcPr>
            <w:tcW w:w="85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585" w:type="dxa"/>
            <w:tcBorders/>
            <w:shd w:fill="C6F4F9" w:val="clear"/>
            <w:vAlign w:val="center"/>
          </w:tcPr>
          <w:p>
            <w:pPr>
              <w:pStyle w:val="TableContents"/>
              <w:bidi w:val="0"/>
              <w:spacing w:before="0" w:after="283"/>
              <w:jc w:val="left"/>
              <w:rPr/>
            </w:pPr>
            <w:r>
              <w:rPr/>
              <w:t>Article III REPRESENTATIONS AND WARRANTIES OF THE MEMBERS</w:t>
            </w:r>
          </w:p>
        </w:tc>
        <w:tc>
          <w:tcPr>
            <w:tcW w:w="275" w:type="dxa"/>
            <w:tcBorders/>
            <w:shd w:fill="C6F4F9" w:val="clear"/>
            <w:vAlign w:val="center"/>
          </w:tcPr>
          <w:p>
            <w:pPr>
              <w:pStyle w:val="TableContents"/>
              <w:bidi w:val="0"/>
              <w:spacing w:before="0" w:after="283"/>
              <w:jc w:val="right"/>
              <w:rPr/>
            </w:pPr>
            <w:r>
              <w:rPr/>
              <w:t>14</w:t>
            </w:r>
          </w:p>
        </w:tc>
      </w:tr>
      <w:tr>
        <w:trPr/>
        <w:tc>
          <w:tcPr>
            <w:tcW w:w="85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585" w:type="dxa"/>
            <w:tcBorders/>
            <w:shd w:fill="C6F4F9" w:val="clear"/>
            <w:vAlign w:val="center"/>
          </w:tcPr>
          <w:p>
            <w:pPr>
              <w:pStyle w:val="TableContents"/>
              <w:bidi w:val="0"/>
              <w:spacing w:before="0" w:after="283"/>
              <w:jc w:val="left"/>
              <w:rPr/>
            </w:pPr>
            <w:r>
              <w:rPr/>
              <w:t>Section 3.1   Organization and Qualification</w:t>
            </w:r>
          </w:p>
        </w:tc>
        <w:tc>
          <w:tcPr>
            <w:tcW w:w="275" w:type="dxa"/>
            <w:tcBorders/>
            <w:shd w:fill="C6F4F9" w:val="clear"/>
            <w:vAlign w:val="center"/>
          </w:tcPr>
          <w:p>
            <w:pPr>
              <w:pStyle w:val="TableContents"/>
              <w:bidi w:val="0"/>
              <w:spacing w:before="0" w:after="283"/>
              <w:jc w:val="right"/>
              <w:rPr/>
            </w:pPr>
            <w:r>
              <w:rPr/>
              <w:t>14</w:t>
            </w:r>
          </w:p>
        </w:tc>
      </w:tr>
      <w:tr>
        <w:trPr/>
        <w:tc>
          <w:tcPr>
            <w:tcW w:w="8585" w:type="dxa"/>
            <w:tcBorders/>
            <w:shd w:fill="FFFFFF" w:val="clear"/>
            <w:vAlign w:val="center"/>
          </w:tcPr>
          <w:p>
            <w:pPr>
              <w:pStyle w:val="TableContents"/>
              <w:bidi w:val="0"/>
              <w:spacing w:before="0" w:after="283"/>
              <w:jc w:val="left"/>
              <w:rPr/>
            </w:pPr>
            <w:r>
              <w:rPr/>
              <w:t>Section 3.2   Authority</w:t>
            </w:r>
          </w:p>
        </w:tc>
        <w:tc>
          <w:tcPr>
            <w:tcW w:w="275" w:type="dxa"/>
            <w:tcBorders/>
            <w:shd w:fill="FFFFFF" w:val="clear"/>
            <w:vAlign w:val="center"/>
          </w:tcPr>
          <w:p>
            <w:pPr>
              <w:pStyle w:val="TableContents"/>
              <w:bidi w:val="0"/>
              <w:spacing w:before="0" w:after="283"/>
              <w:jc w:val="right"/>
              <w:rPr/>
            </w:pPr>
            <w:r>
              <w:rPr/>
              <w:t>14</w:t>
            </w:r>
          </w:p>
        </w:tc>
      </w:tr>
      <w:tr>
        <w:trPr/>
        <w:tc>
          <w:tcPr>
            <w:tcW w:w="8585" w:type="dxa"/>
            <w:tcBorders/>
            <w:shd w:fill="C6F4F9" w:val="clear"/>
            <w:vAlign w:val="center"/>
          </w:tcPr>
          <w:p>
            <w:pPr>
              <w:pStyle w:val="TableContents"/>
              <w:bidi w:val="0"/>
              <w:spacing w:before="0" w:after="283"/>
              <w:jc w:val="left"/>
              <w:rPr/>
            </w:pPr>
            <w:r>
              <w:rPr/>
              <w:t>Section 3.3   No Conflict</w:t>
            </w:r>
          </w:p>
        </w:tc>
        <w:tc>
          <w:tcPr>
            <w:tcW w:w="275" w:type="dxa"/>
            <w:tcBorders/>
            <w:shd w:fill="C6F4F9" w:val="clear"/>
            <w:vAlign w:val="center"/>
          </w:tcPr>
          <w:p>
            <w:pPr>
              <w:pStyle w:val="TableContents"/>
              <w:bidi w:val="0"/>
              <w:spacing w:before="0" w:after="283"/>
              <w:jc w:val="right"/>
              <w:rPr/>
            </w:pPr>
            <w:r>
              <w:rPr/>
              <w:t>14</w:t>
            </w:r>
          </w:p>
        </w:tc>
      </w:tr>
      <w:tr>
        <w:trPr/>
        <w:tc>
          <w:tcPr>
            <w:tcW w:w="8585" w:type="dxa"/>
            <w:tcBorders/>
            <w:shd w:fill="FFFFFF" w:val="clear"/>
            <w:vAlign w:val="center"/>
          </w:tcPr>
          <w:p>
            <w:pPr>
              <w:pStyle w:val="TableContents"/>
              <w:bidi w:val="0"/>
              <w:spacing w:before="0" w:after="283"/>
              <w:jc w:val="left"/>
              <w:rPr/>
            </w:pPr>
            <w:r>
              <w:rPr/>
              <w:t>Section 3.4   Governmental Consents and Approvals</w:t>
            </w:r>
          </w:p>
        </w:tc>
        <w:tc>
          <w:tcPr>
            <w:tcW w:w="275" w:type="dxa"/>
            <w:tcBorders/>
            <w:shd w:fill="FFFFFF" w:val="clear"/>
            <w:vAlign w:val="center"/>
          </w:tcPr>
          <w:p>
            <w:pPr>
              <w:pStyle w:val="TableContents"/>
              <w:bidi w:val="0"/>
              <w:spacing w:before="0" w:after="283"/>
              <w:jc w:val="right"/>
              <w:rPr/>
            </w:pPr>
            <w:r>
              <w:rPr/>
              <w:t>15</w:t>
            </w:r>
          </w:p>
        </w:tc>
      </w:tr>
      <w:tr>
        <w:trPr/>
        <w:tc>
          <w:tcPr>
            <w:tcW w:w="8585" w:type="dxa"/>
            <w:tcBorders/>
            <w:shd w:fill="C6F4F9" w:val="clear"/>
            <w:vAlign w:val="center"/>
          </w:tcPr>
          <w:p>
            <w:pPr>
              <w:pStyle w:val="TableContents"/>
              <w:bidi w:val="0"/>
              <w:spacing w:before="0" w:after="283"/>
              <w:jc w:val="left"/>
              <w:rPr/>
            </w:pPr>
            <w:r>
              <w:rPr/>
              <w:t>Section 3.5   Securities Representations</w:t>
            </w:r>
          </w:p>
        </w:tc>
        <w:tc>
          <w:tcPr>
            <w:tcW w:w="275" w:type="dxa"/>
            <w:tcBorders/>
            <w:shd w:fill="C6F4F9" w:val="clear"/>
            <w:vAlign w:val="center"/>
          </w:tcPr>
          <w:p>
            <w:pPr>
              <w:pStyle w:val="TableContents"/>
              <w:bidi w:val="0"/>
              <w:spacing w:before="0" w:after="283"/>
              <w:jc w:val="right"/>
              <w:rPr/>
            </w:pPr>
            <w:r>
              <w:rPr/>
              <w:t>15</w:t>
            </w:r>
          </w:p>
        </w:tc>
      </w:tr>
      <w:tr>
        <w:trPr/>
        <w:tc>
          <w:tcPr>
            <w:tcW w:w="8585" w:type="dxa"/>
            <w:tcBorders/>
            <w:shd w:fill="FFFFFF" w:val="clear"/>
            <w:vAlign w:val="center"/>
          </w:tcPr>
          <w:p>
            <w:pPr>
              <w:pStyle w:val="TableContents"/>
              <w:bidi w:val="0"/>
              <w:spacing w:before="0" w:after="283"/>
              <w:jc w:val="left"/>
              <w:rPr/>
            </w:pPr>
            <w:r>
              <w:rPr/>
              <w:t>Section 3.6   Tax Matters</w:t>
            </w:r>
          </w:p>
        </w:tc>
        <w:tc>
          <w:tcPr>
            <w:tcW w:w="275" w:type="dxa"/>
            <w:tcBorders/>
            <w:shd w:fill="FFFFFF" w:val="clear"/>
            <w:vAlign w:val="center"/>
          </w:tcPr>
          <w:p>
            <w:pPr>
              <w:pStyle w:val="TableContents"/>
              <w:bidi w:val="0"/>
              <w:spacing w:before="0" w:after="283"/>
              <w:jc w:val="right"/>
              <w:rPr/>
            </w:pPr>
            <w:r>
              <w:rPr/>
              <w:t>15</w:t>
            </w:r>
          </w:p>
        </w:tc>
      </w:tr>
      <w:tr>
        <w:trPr/>
        <w:tc>
          <w:tcPr>
            <w:tcW w:w="8585" w:type="dxa"/>
            <w:tcBorders/>
            <w:shd w:fill="C6F4F9" w:val="clear"/>
            <w:vAlign w:val="center"/>
          </w:tcPr>
          <w:p>
            <w:pPr>
              <w:pStyle w:val="TableContents"/>
              <w:bidi w:val="0"/>
              <w:spacing w:before="0" w:after="283"/>
              <w:jc w:val="left"/>
              <w:rPr/>
            </w:pPr>
            <w:r>
              <w:rPr/>
              <w:t>Section 3.7   Sanctions</w:t>
            </w:r>
          </w:p>
        </w:tc>
        <w:tc>
          <w:tcPr>
            <w:tcW w:w="275" w:type="dxa"/>
            <w:tcBorders/>
            <w:shd w:fill="C6F4F9" w:val="clear"/>
            <w:vAlign w:val="center"/>
          </w:tcPr>
          <w:p>
            <w:pPr>
              <w:pStyle w:val="TableContents"/>
              <w:bidi w:val="0"/>
              <w:spacing w:before="0" w:after="283"/>
              <w:jc w:val="right"/>
              <w:rPr/>
            </w:pPr>
            <w:r>
              <w:rPr/>
              <w:t>15</w:t>
            </w:r>
          </w:p>
        </w:tc>
      </w:tr>
      <w:tr>
        <w:trPr/>
        <w:tc>
          <w:tcPr>
            <w:tcW w:w="85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585" w:type="dxa"/>
            <w:tcBorders/>
            <w:shd w:fill="C6F4F9" w:val="clear"/>
            <w:vAlign w:val="center"/>
          </w:tcPr>
          <w:p>
            <w:pPr>
              <w:pStyle w:val="TableContents"/>
              <w:bidi w:val="0"/>
              <w:spacing w:before="0" w:after="283"/>
              <w:jc w:val="left"/>
              <w:rPr/>
            </w:pPr>
            <w:r>
              <w:rPr/>
              <w:t>Article IV CAPITAL CONTRIBUTIONS, BUDGETS AND FUNDING</w:t>
            </w:r>
          </w:p>
        </w:tc>
        <w:tc>
          <w:tcPr>
            <w:tcW w:w="275" w:type="dxa"/>
            <w:tcBorders/>
            <w:shd w:fill="C6F4F9" w:val="clear"/>
            <w:vAlign w:val="center"/>
          </w:tcPr>
          <w:p>
            <w:pPr>
              <w:pStyle w:val="TableContents"/>
              <w:bidi w:val="0"/>
              <w:spacing w:before="0" w:after="283"/>
              <w:jc w:val="right"/>
              <w:rPr/>
            </w:pPr>
            <w:r>
              <w:rPr/>
              <w:t>15</w:t>
            </w:r>
          </w:p>
        </w:tc>
      </w:tr>
      <w:tr>
        <w:trPr/>
        <w:tc>
          <w:tcPr>
            <w:tcW w:w="858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8585" w:type="dxa"/>
            <w:tcBorders/>
            <w:shd w:fill="C6F4F9" w:val="clear"/>
            <w:vAlign w:val="center"/>
          </w:tcPr>
          <w:p>
            <w:pPr>
              <w:pStyle w:val="TableContents"/>
              <w:bidi w:val="0"/>
              <w:spacing w:before="0" w:after="283"/>
              <w:jc w:val="left"/>
              <w:rPr/>
            </w:pPr>
            <w:r>
              <w:rPr/>
              <w:t>Section 4.1   Initial Capital Contributions; Additional Capital Contributions</w:t>
            </w:r>
          </w:p>
        </w:tc>
        <w:tc>
          <w:tcPr>
            <w:tcW w:w="275" w:type="dxa"/>
            <w:tcBorders/>
            <w:shd w:fill="C6F4F9" w:val="clear"/>
            <w:vAlign w:val="center"/>
          </w:tcPr>
          <w:p>
            <w:pPr>
              <w:pStyle w:val="TableContents"/>
              <w:bidi w:val="0"/>
              <w:spacing w:before="0" w:after="283"/>
              <w:jc w:val="right"/>
              <w:rPr/>
            </w:pPr>
            <w:r>
              <w:rPr/>
              <w:t>15</w:t>
            </w:r>
          </w:p>
        </w:tc>
      </w:tr>
      <w:tr>
        <w:trPr/>
        <w:tc>
          <w:tcPr>
            <w:tcW w:w="8585" w:type="dxa"/>
            <w:tcBorders/>
            <w:shd w:fill="FFFFFF" w:val="clear"/>
            <w:vAlign w:val="center"/>
          </w:tcPr>
          <w:p>
            <w:pPr>
              <w:pStyle w:val="TableContents"/>
              <w:bidi w:val="0"/>
              <w:spacing w:before="0" w:after="283"/>
              <w:jc w:val="left"/>
              <w:rPr/>
            </w:pPr>
            <w:r>
              <w:rPr/>
              <w:t>Section 4.2   Units</w:t>
            </w:r>
          </w:p>
        </w:tc>
        <w:tc>
          <w:tcPr>
            <w:tcW w:w="275" w:type="dxa"/>
            <w:tcBorders/>
            <w:shd w:fill="FFFFFF" w:val="clear"/>
            <w:vAlign w:val="center"/>
          </w:tcPr>
          <w:p>
            <w:pPr>
              <w:pStyle w:val="TableContents"/>
              <w:bidi w:val="0"/>
              <w:spacing w:before="0" w:after="283"/>
              <w:jc w:val="right"/>
              <w:rPr/>
            </w:pPr>
            <w:r>
              <w:rPr/>
              <w:t>16</w:t>
            </w:r>
          </w:p>
        </w:tc>
      </w:tr>
      <w:tr>
        <w:trPr/>
        <w:tc>
          <w:tcPr>
            <w:tcW w:w="8585" w:type="dxa"/>
            <w:tcBorders/>
            <w:shd w:fill="C6F4F9" w:val="clear"/>
            <w:vAlign w:val="center"/>
          </w:tcPr>
          <w:p>
            <w:pPr>
              <w:pStyle w:val="TableContents"/>
              <w:bidi w:val="0"/>
              <w:spacing w:before="0" w:after="283"/>
              <w:jc w:val="left"/>
              <w:rPr/>
            </w:pPr>
            <w:r>
              <w:rPr/>
              <w:t>Section 4.3   Additional Units</w:t>
            </w:r>
          </w:p>
        </w:tc>
        <w:tc>
          <w:tcPr>
            <w:tcW w:w="275" w:type="dxa"/>
            <w:tcBorders/>
            <w:shd w:fill="C6F4F9" w:val="clear"/>
            <w:vAlign w:val="center"/>
          </w:tcPr>
          <w:p>
            <w:pPr>
              <w:pStyle w:val="TableContents"/>
              <w:bidi w:val="0"/>
              <w:spacing w:before="0" w:after="283"/>
              <w:jc w:val="right"/>
              <w:rPr/>
            </w:pPr>
            <w:r>
              <w:rPr/>
              <w:t>16</w:t>
            </w:r>
          </w:p>
        </w:tc>
      </w:tr>
      <w:tr>
        <w:trPr/>
        <w:tc>
          <w:tcPr>
            <w:tcW w:w="8585" w:type="dxa"/>
            <w:tcBorders/>
            <w:shd w:fill="FFFFFF" w:val="clear"/>
            <w:vAlign w:val="center"/>
          </w:tcPr>
          <w:p>
            <w:pPr>
              <w:pStyle w:val="TableContents"/>
              <w:bidi w:val="0"/>
              <w:spacing w:before="0" w:after="283"/>
              <w:jc w:val="left"/>
              <w:rPr/>
            </w:pPr>
            <w:r>
              <w:rPr/>
              <w:t>Section 4.4   Budgets</w:t>
            </w:r>
          </w:p>
        </w:tc>
        <w:tc>
          <w:tcPr>
            <w:tcW w:w="275" w:type="dxa"/>
            <w:tcBorders/>
            <w:shd w:fill="FFFFFF" w:val="clear"/>
            <w:vAlign w:val="center"/>
          </w:tcPr>
          <w:p>
            <w:pPr>
              <w:pStyle w:val="TableContents"/>
              <w:bidi w:val="0"/>
              <w:spacing w:before="0" w:after="283"/>
              <w:jc w:val="right"/>
              <w:rPr/>
            </w:pPr>
            <w:r>
              <w:rPr/>
              <w:t>16</w:t>
            </w:r>
          </w:p>
        </w:tc>
      </w:tr>
      <w:tr>
        <w:trPr/>
        <w:tc>
          <w:tcPr>
            <w:tcW w:w="8585" w:type="dxa"/>
            <w:tcBorders/>
            <w:shd w:fill="C6F4F9" w:val="clear"/>
            <w:vAlign w:val="center"/>
          </w:tcPr>
          <w:p>
            <w:pPr>
              <w:pStyle w:val="TableContents"/>
              <w:bidi w:val="0"/>
              <w:spacing w:before="0" w:after="283"/>
              <w:jc w:val="left"/>
              <w:rPr/>
            </w:pPr>
            <w:r>
              <w:rPr/>
              <w:t>Section 4.5   Status of Capital Contributions</w:t>
            </w:r>
          </w:p>
        </w:tc>
        <w:tc>
          <w:tcPr>
            <w:tcW w:w="275" w:type="dxa"/>
            <w:tcBorders/>
            <w:shd w:fill="C6F4F9" w:val="clear"/>
            <w:vAlign w:val="center"/>
          </w:tcPr>
          <w:p>
            <w:pPr>
              <w:pStyle w:val="TableContents"/>
              <w:bidi w:val="0"/>
              <w:spacing w:before="0" w:after="283"/>
              <w:jc w:val="right"/>
              <w:rPr/>
            </w:pPr>
            <w:r>
              <w:rPr/>
              <w:t>17</w:t>
            </w:r>
          </w:p>
        </w:tc>
      </w:tr>
      <w:tr>
        <w:trPr/>
        <w:tc>
          <w:tcPr>
            <w:tcW w:w="8585" w:type="dxa"/>
            <w:tcBorders/>
            <w:shd w:fill="FFFFFF" w:val="clear"/>
            <w:vAlign w:val="center"/>
          </w:tcPr>
          <w:p>
            <w:pPr>
              <w:pStyle w:val="TableContents"/>
              <w:bidi w:val="0"/>
              <w:spacing w:before="0" w:after="283"/>
              <w:jc w:val="left"/>
              <w:rPr/>
            </w:pPr>
            <w:r>
              <w:rPr/>
              <w:t>Section 4.6   Capital Accounts; Allocations</w:t>
            </w:r>
          </w:p>
        </w:tc>
        <w:tc>
          <w:tcPr>
            <w:tcW w:w="275" w:type="dxa"/>
            <w:tcBorders/>
            <w:shd w:fill="FFFFFF" w:val="clear"/>
            <w:vAlign w:val="center"/>
          </w:tcPr>
          <w:p>
            <w:pPr>
              <w:pStyle w:val="TableContents"/>
              <w:bidi w:val="0"/>
              <w:spacing w:before="0" w:after="283"/>
              <w:jc w:val="right"/>
              <w:rPr/>
            </w:pPr>
            <w:r>
              <w:rPr/>
              <w:t>17</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24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283"/>
        <w:jc w:val="left"/>
        <w:rPr/>
      </w:pPr>
      <w:r>
        <w:rPr/>
        <w:t> </w:t>
      </w:r>
    </w:p>
    <w:tbl>
      <w:tblPr>
        <w:tblW w:w="7195" w:type="dxa"/>
        <w:jc w:val="left"/>
        <w:tblInd w:w="0" w:type="dxa"/>
        <w:tblLayout w:type="fixed"/>
        <w:tblCellMar>
          <w:top w:w="0" w:type="dxa"/>
          <w:left w:w="0" w:type="dxa"/>
          <w:bottom w:w="0" w:type="dxa"/>
          <w:right w:w="0" w:type="dxa"/>
        </w:tblCellMar>
      </w:tblPr>
      <w:tblGrid>
        <w:gridCol w:w="6920"/>
        <w:gridCol w:w="275"/>
      </w:tblGrid>
      <w:tr>
        <w:trPr/>
        <w:tc>
          <w:tcPr>
            <w:tcW w:w="6920" w:type="dxa"/>
            <w:tcBorders/>
            <w:shd w:fill="C6F4F9" w:val="clear"/>
            <w:vAlign w:val="center"/>
          </w:tcPr>
          <w:p>
            <w:pPr>
              <w:pStyle w:val="TableContents"/>
              <w:bidi w:val="0"/>
              <w:spacing w:before="0" w:after="283"/>
              <w:jc w:val="left"/>
              <w:rPr/>
            </w:pPr>
            <w:r>
              <w:rPr/>
              <w:t>Article V GOVERNANCE</w:t>
            </w:r>
          </w:p>
        </w:tc>
        <w:tc>
          <w:tcPr>
            <w:tcW w:w="275" w:type="dxa"/>
            <w:tcBorders/>
            <w:shd w:fill="C6F4F9" w:val="clear"/>
            <w:vAlign w:val="center"/>
          </w:tcPr>
          <w:p>
            <w:pPr>
              <w:pStyle w:val="TableContents"/>
              <w:bidi w:val="0"/>
              <w:spacing w:before="0" w:after="283"/>
              <w:jc w:val="right"/>
              <w:rPr/>
            </w:pPr>
            <w:r>
              <w:rPr/>
              <w:t>17</w:t>
            </w:r>
          </w:p>
        </w:tc>
      </w:tr>
      <w:tr>
        <w:trPr/>
        <w:tc>
          <w:tcPr>
            <w:tcW w:w="692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920" w:type="dxa"/>
            <w:tcBorders/>
            <w:shd w:fill="C6F4F9" w:val="clear"/>
            <w:vAlign w:val="center"/>
          </w:tcPr>
          <w:p>
            <w:pPr>
              <w:pStyle w:val="TableContents"/>
              <w:bidi w:val="0"/>
              <w:spacing w:before="0" w:after="283"/>
              <w:jc w:val="left"/>
              <w:rPr/>
            </w:pPr>
            <w:r>
              <w:rPr/>
              <w:t>Section 5.1   Management of the Company</w:t>
            </w:r>
          </w:p>
        </w:tc>
        <w:tc>
          <w:tcPr>
            <w:tcW w:w="275" w:type="dxa"/>
            <w:tcBorders/>
            <w:shd w:fill="C6F4F9" w:val="clear"/>
            <w:vAlign w:val="center"/>
          </w:tcPr>
          <w:p>
            <w:pPr>
              <w:pStyle w:val="TableContents"/>
              <w:bidi w:val="0"/>
              <w:spacing w:before="0" w:after="283"/>
              <w:jc w:val="right"/>
              <w:rPr/>
            </w:pPr>
            <w:r>
              <w:rPr/>
              <w:t>17</w:t>
            </w:r>
          </w:p>
        </w:tc>
      </w:tr>
      <w:tr>
        <w:trPr/>
        <w:tc>
          <w:tcPr>
            <w:tcW w:w="6920" w:type="dxa"/>
            <w:tcBorders/>
            <w:shd w:fill="FFFFFF" w:val="clear"/>
            <w:vAlign w:val="center"/>
          </w:tcPr>
          <w:p>
            <w:pPr>
              <w:pStyle w:val="TableContents"/>
              <w:bidi w:val="0"/>
              <w:spacing w:before="0" w:after="283"/>
              <w:jc w:val="left"/>
              <w:rPr/>
            </w:pPr>
            <w:r>
              <w:rPr/>
              <w:t>Section 5.2   Board; Committees of the Board</w:t>
            </w:r>
          </w:p>
        </w:tc>
        <w:tc>
          <w:tcPr>
            <w:tcW w:w="275" w:type="dxa"/>
            <w:tcBorders/>
            <w:shd w:fill="FFFFFF" w:val="clear"/>
            <w:vAlign w:val="center"/>
          </w:tcPr>
          <w:p>
            <w:pPr>
              <w:pStyle w:val="TableContents"/>
              <w:bidi w:val="0"/>
              <w:spacing w:before="0" w:after="283"/>
              <w:jc w:val="right"/>
              <w:rPr/>
            </w:pPr>
            <w:r>
              <w:rPr/>
              <w:t>17</w:t>
            </w:r>
          </w:p>
        </w:tc>
      </w:tr>
      <w:tr>
        <w:trPr/>
        <w:tc>
          <w:tcPr>
            <w:tcW w:w="6920" w:type="dxa"/>
            <w:tcBorders/>
            <w:shd w:fill="C6F4F9" w:val="clear"/>
            <w:vAlign w:val="center"/>
          </w:tcPr>
          <w:p>
            <w:pPr>
              <w:pStyle w:val="TableContents"/>
              <w:bidi w:val="0"/>
              <w:spacing w:before="0" w:after="283"/>
              <w:jc w:val="left"/>
              <w:rPr/>
            </w:pPr>
            <w:r>
              <w:rPr/>
              <w:t>Section 5.3   Meetings</w:t>
            </w:r>
          </w:p>
        </w:tc>
        <w:tc>
          <w:tcPr>
            <w:tcW w:w="275" w:type="dxa"/>
            <w:tcBorders/>
            <w:shd w:fill="C6F4F9" w:val="clear"/>
            <w:vAlign w:val="center"/>
          </w:tcPr>
          <w:p>
            <w:pPr>
              <w:pStyle w:val="TableContents"/>
              <w:bidi w:val="0"/>
              <w:spacing w:before="0" w:after="283"/>
              <w:jc w:val="right"/>
              <w:rPr/>
            </w:pPr>
            <w:r>
              <w:rPr/>
              <w:t>18</w:t>
            </w:r>
          </w:p>
        </w:tc>
      </w:tr>
      <w:tr>
        <w:trPr/>
        <w:tc>
          <w:tcPr>
            <w:tcW w:w="6920" w:type="dxa"/>
            <w:tcBorders/>
            <w:shd w:fill="FFFFFF" w:val="clear"/>
            <w:vAlign w:val="center"/>
          </w:tcPr>
          <w:p>
            <w:pPr>
              <w:pStyle w:val="TableContents"/>
              <w:bidi w:val="0"/>
              <w:spacing w:before="0" w:after="283"/>
              <w:jc w:val="left"/>
              <w:rPr/>
            </w:pPr>
            <w:r>
              <w:rPr/>
              <w:t>Section 5.4   Quorum and Voting</w:t>
            </w:r>
          </w:p>
        </w:tc>
        <w:tc>
          <w:tcPr>
            <w:tcW w:w="275" w:type="dxa"/>
            <w:tcBorders/>
            <w:shd w:fill="FFFFFF" w:val="clear"/>
            <w:vAlign w:val="center"/>
          </w:tcPr>
          <w:p>
            <w:pPr>
              <w:pStyle w:val="TableContents"/>
              <w:bidi w:val="0"/>
              <w:spacing w:before="0" w:after="283"/>
              <w:jc w:val="right"/>
              <w:rPr/>
            </w:pPr>
            <w:r>
              <w:rPr/>
              <w:t>19</w:t>
            </w:r>
          </w:p>
        </w:tc>
      </w:tr>
      <w:tr>
        <w:trPr/>
        <w:tc>
          <w:tcPr>
            <w:tcW w:w="6920" w:type="dxa"/>
            <w:tcBorders/>
            <w:shd w:fill="C6F4F9" w:val="clear"/>
            <w:vAlign w:val="center"/>
          </w:tcPr>
          <w:p>
            <w:pPr>
              <w:pStyle w:val="TableContents"/>
              <w:bidi w:val="0"/>
              <w:spacing w:before="0" w:after="283"/>
              <w:jc w:val="left"/>
              <w:rPr/>
            </w:pPr>
            <w:r>
              <w:rPr/>
              <w:t>Section 5.5   Removal of Managers; Vacancies</w:t>
            </w:r>
          </w:p>
        </w:tc>
        <w:tc>
          <w:tcPr>
            <w:tcW w:w="275" w:type="dxa"/>
            <w:tcBorders/>
            <w:shd w:fill="C6F4F9" w:val="clear"/>
            <w:vAlign w:val="center"/>
          </w:tcPr>
          <w:p>
            <w:pPr>
              <w:pStyle w:val="TableContents"/>
              <w:bidi w:val="0"/>
              <w:spacing w:before="0" w:after="283"/>
              <w:jc w:val="right"/>
              <w:rPr/>
            </w:pPr>
            <w:r>
              <w:rPr/>
              <w:t>20</w:t>
            </w:r>
          </w:p>
        </w:tc>
      </w:tr>
      <w:tr>
        <w:trPr/>
        <w:tc>
          <w:tcPr>
            <w:tcW w:w="6920" w:type="dxa"/>
            <w:tcBorders/>
            <w:shd w:fill="FFFFFF" w:val="clear"/>
            <w:vAlign w:val="center"/>
          </w:tcPr>
          <w:p>
            <w:pPr>
              <w:pStyle w:val="TableContents"/>
              <w:bidi w:val="0"/>
              <w:spacing w:before="0" w:after="283"/>
              <w:jc w:val="left"/>
              <w:rPr/>
            </w:pPr>
            <w:r>
              <w:rPr/>
              <w:t>Section 5.6   Approval Required</w:t>
            </w:r>
          </w:p>
        </w:tc>
        <w:tc>
          <w:tcPr>
            <w:tcW w:w="275" w:type="dxa"/>
            <w:tcBorders/>
            <w:shd w:fill="FFFFFF" w:val="clear"/>
            <w:vAlign w:val="center"/>
          </w:tcPr>
          <w:p>
            <w:pPr>
              <w:pStyle w:val="TableContents"/>
              <w:bidi w:val="0"/>
              <w:spacing w:before="0" w:after="283"/>
              <w:jc w:val="right"/>
              <w:rPr/>
            </w:pPr>
            <w:r>
              <w:rPr/>
              <w:t>20</w:t>
            </w:r>
          </w:p>
        </w:tc>
      </w:tr>
      <w:tr>
        <w:trPr/>
        <w:tc>
          <w:tcPr>
            <w:tcW w:w="6920" w:type="dxa"/>
            <w:tcBorders/>
            <w:shd w:fill="C6F4F9" w:val="clear"/>
            <w:vAlign w:val="center"/>
          </w:tcPr>
          <w:p>
            <w:pPr>
              <w:pStyle w:val="TableContents"/>
              <w:bidi w:val="0"/>
              <w:spacing w:before="0" w:after="283"/>
              <w:jc w:val="left"/>
              <w:rPr/>
            </w:pPr>
            <w:r>
              <w:rPr/>
              <w:t>Section 5.7   Action without a Meeting</w:t>
            </w:r>
          </w:p>
        </w:tc>
        <w:tc>
          <w:tcPr>
            <w:tcW w:w="275" w:type="dxa"/>
            <w:tcBorders/>
            <w:shd w:fill="C6F4F9" w:val="clear"/>
            <w:vAlign w:val="center"/>
          </w:tcPr>
          <w:p>
            <w:pPr>
              <w:pStyle w:val="TableContents"/>
              <w:bidi w:val="0"/>
              <w:spacing w:before="0" w:after="283"/>
              <w:jc w:val="right"/>
              <w:rPr/>
            </w:pPr>
            <w:r>
              <w:rPr/>
              <w:t>22</w:t>
            </w:r>
          </w:p>
        </w:tc>
      </w:tr>
      <w:tr>
        <w:trPr/>
        <w:tc>
          <w:tcPr>
            <w:tcW w:w="6920" w:type="dxa"/>
            <w:tcBorders/>
            <w:shd w:fill="FFFFFF" w:val="clear"/>
            <w:vAlign w:val="center"/>
          </w:tcPr>
          <w:p>
            <w:pPr>
              <w:pStyle w:val="TableContents"/>
              <w:bidi w:val="0"/>
              <w:spacing w:before="0" w:after="283"/>
              <w:jc w:val="left"/>
              <w:rPr/>
            </w:pPr>
            <w:r>
              <w:rPr/>
              <w:t>Section 5.8   Telephonic Meetings</w:t>
            </w:r>
          </w:p>
        </w:tc>
        <w:tc>
          <w:tcPr>
            <w:tcW w:w="275" w:type="dxa"/>
            <w:tcBorders/>
            <w:shd w:fill="FFFFFF" w:val="clear"/>
            <w:vAlign w:val="center"/>
          </w:tcPr>
          <w:p>
            <w:pPr>
              <w:pStyle w:val="TableContents"/>
              <w:bidi w:val="0"/>
              <w:spacing w:before="0" w:after="283"/>
              <w:jc w:val="right"/>
              <w:rPr/>
            </w:pPr>
            <w:r>
              <w:rPr/>
              <w:t>22</w:t>
            </w:r>
          </w:p>
        </w:tc>
      </w:tr>
      <w:tr>
        <w:trPr/>
        <w:tc>
          <w:tcPr>
            <w:tcW w:w="6920" w:type="dxa"/>
            <w:tcBorders/>
            <w:shd w:fill="C6F4F9" w:val="clear"/>
            <w:vAlign w:val="center"/>
          </w:tcPr>
          <w:p>
            <w:pPr>
              <w:pStyle w:val="TableContents"/>
              <w:bidi w:val="0"/>
              <w:spacing w:before="0" w:after="283"/>
              <w:jc w:val="left"/>
              <w:rPr/>
            </w:pPr>
            <w:r>
              <w:rPr/>
              <w:t>Section 5.9   Company Minutes</w:t>
            </w:r>
          </w:p>
        </w:tc>
        <w:tc>
          <w:tcPr>
            <w:tcW w:w="275" w:type="dxa"/>
            <w:tcBorders/>
            <w:shd w:fill="C6F4F9" w:val="clear"/>
            <w:vAlign w:val="center"/>
          </w:tcPr>
          <w:p>
            <w:pPr>
              <w:pStyle w:val="TableContents"/>
              <w:bidi w:val="0"/>
              <w:spacing w:before="0" w:after="283"/>
              <w:jc w:val="right"/>
              <w:rPr/>
            </w:pPr>
            <w:r>
              <w:rPr/>
              <w:t>23</w:t>
            </w:r>
          </w:p>
        </w:tc>
      </w:tr>
      <w:tr>
        <w:trPr/>
        <w:tc>
          <w:tcPr>
            <w:tcW w:w="6920" w:type="dxa"/>
            <w:tcBorders/>
            <w:shd w:fill="FFFFFF" w:val="clear"/>
            <w:vAlign w:val="center"/>
          </w:tcPr>
          <w:p>
            <w:pPr>
              <w:pStyle w:val="TableContents"/>
              <w:bidi w:val="0"/>
              <w:spacing w:before="0" w:after="283"/>
              <w:jc w:val="left"/>
              <w:rPr/>
            </w:pPr>
            <w:r>
              <w:rPr/>
              <w:t>Section 5.10   Performance of Duties; Liability of Managers and Officers</w:t>
            </w:r>
          </w:p>
        </w:tc>
        <w:tc>
          <w:tcPr>
            <w:tcW w:w="275" w:type="dxa"/>
            <w:tcBorders/>
            <w:shd w:fill="FFFFFF" w:val="clear"/>
            <w:vAlign w:val="center"/>
          </w:tcPr>
          <w:p>
            <w:pPr>
              <w:pStyle w:val="TableContents"/>
              <w:bidi w:val="0"/>
              <w:spacing w:before="0" w:after="283"/>
              <w:jc w:val="right"/>
              <w:rPr/>
            </w:pPr>
            <w:r>
              <w:rPr/>
              <w:t>23</w:t>
            </w:r>
          </w:p>
        </w:tc>
      </w:tr>
      <w:tr>
        <w:trPr/>
        <w:tc>
          <w:tcPr>
            <w:tcW w:w="6920" w:type="dxa"/>
            <w:tcBorders/>
            <w:shd w:fill="C6F4F9" w:val="clear"/>
            <w:vAlign w:val="center"/>
          </w:tcPr>
          <w:p>
            <w:pPr>
              <w:pStyle w:val="TableContents"/>
              <w:bidi w:val="0"/>
              <w:spacing w:before="0" w:after="283"/>
              <w:jc w:val="left"/>
              <w:rPr/>
            </w:pPr>
            <w:r>
              <w:rPr/>
              <w:t>Section 5.11   Reimbursements</w:t>
            </w:r>
          </w:p>
        </w:tc>
        <w:tc>
          <w:tcPr>
            <w:tcW w:w="275" w:type="dxa"/>
            <w:tcBorders/>
            <w:shd w:fill="C6F4F9" w:val="clear"/>
            <w:vAlign w:val="center"/>
          </w:tcPr>
          <w:p>
            <w:pPr>
              <w:pStyle w:val="TableContents"/>
              <w:bidi w:val="0"/>
              <w:spacing w:before="0" w:after="283"/>
              <w:jc w:val="right"/>
              <w:rPr/>
            </w:pPr>
            <w:r>
              <w:rPr/>
              <w:t>24</w:t>
            </w:r>
          </w:p>
        </w:tc>
      </w:tr>
      <w:tr>
        <w:trPr/>
        <w:tc>
          <w:tcPr>
            <w:tcW w:w="6920" w:type="dxa"/>
            <w:tcBorders/>
            <w:shd w:fill="FFFFFF" w:val="clear"/>
            <w:vAlign w:val="center"/>
          </w:tcPr>
          <w:p>
            <w:pPr>
              <w:pStyle w:val="TableContents"/>
              <w:bidi w:val="0"/>
              <w:spacing w:before="0" w:after="283"/>
              <w:jc w:val="left"/>
              <w:rPr/>
            </w:pPr>
            <w:r>
              <w:rPr/>
              <w:t>Section 5.12   Officers</w:t>
            </w:r>
          </w:p>
        </w:tc>
        <w:tc>
          <w:tcPr>
            <w:tcW w:w="275" w:type="dxa"/>
            <w:tcBorders/>
            <w:shd w:fill="FFFFFF" w:val="clear"/>
            <w:vAlign w:val="center"/>
          </w:tcPr>
          <w:p>
            <w:pPr>
              <w:pStyle w:val="TableContents"/>
              <w:bidi w:val="0"/>
              <w:spacing w:before="0" w:after="283"/>
              <w:jc w:val="right"/>
              <w:rPr/>
            </w:pPr>
            <w:r>
              <w:rPr/>
              <w:t>24</w:t>
            </w:r>
          </w:p>
        </w:tc>
      </w:tr>
      <w:tr>
        <w:trPr/>
        <w:tc>
          <w:tcPr>
            <w:tcW w:w="6920" w:type="dxa"/>
            <w:tcBorders/>
            <w:shd w:fill="C6F4F9" w:val="clear"/>
            <w:vAlign w:val="center"/>
          </w:tcPr>
          <w:p>
            <w:pPr>
              <w:pStyle w:val="TableContents"/>
              <w:bidi w:val="0"/>
              <w:spacing w:before="0" w:after="283"/>
              <w:jc w:val="left"/>
              <w:rPr/>
            </w:pPr>
            <w:r>
              <w:rPr/>
              <w:t>Section 5.13   License Agreement</w:t>
            </w:r>
          </w:p>
        </w:tc>
        <w:tc>
          <w:tcPr>
            <w:tcW w:w="275" w:type="dxa"/>
            <w:tcBorders/>
            <w:shd w:fill="C6F4F9" w:val="clear"/>
            <w:vAlign w:val="center"/>
          </w:tcPr>
          <w:p>
            <w:pPr>
              <w:pStyle w:val="TableContents"/>
              <w:bidi w:val="0"/>
              <w:spacing w:before="0" w:after="283"/>
              <w:jc w:val="right"/>
              <w:rPr/>
            </w:pPr>
            <w:r>
              <w:rPr/>
              <w:t>25</w:t>
            </w:r>
          </w:p>
        </w:tc>
      </w:tr>
      <w:tr>
        <w:trPr/>
        <w:tc>
          <w:tcPr>
            <w:tcW w:w="6920" w:type="dxa"/>
            <w:tcBorders/>
            <w:shd w:fill="FFFFFF" w:val="clear"/>
            <w:vAlign w:val="center"/>
          </w:tcPr>
          <w:p>
            <w:pPr>
              <w:pStyle w:val="TableContents"/>
              <w:bidi w:val="0"/>
              <w:spacing w:before="0" w:after="283"/>
              <w:jc w:val="left"/>
              <w:rPr/>
            </w:pPr>
            <w:r>
              <w:rPr/>
              <w:t>Section 5.14   Consultation Rights</w:t>
            </w:r>
          </w:p>
        </w:tc>
        <w:tc>
          <w:tcPr>
            <w:tcW w:w="275" w:type="dxa"/>
            <w:tcBorders/>
            <w:shd w:fill="FFFFFF" w:val="clear"/>
            <w:vAlign w:val="center"/>
          </w:tcPr>
          <w:p>
            <w:pPr>
              <w:pStyle w:val="TableContents"/>
              <w:bidi w:val="0"/>
              <w:spacing w:before="0" w:after="283"/>
              <w:jc w:val="right"/>
              <w:rPr/>
            </w:pPr>
            <w:r>
              <w:rPr/>
              <w:t>25</w:t>
            </w:r>
          </w:p>
        </w:tc>
      </w:tr>
      <w:tr>
        <w:trPr/>
        <w:tc>
          <w:tcPr>
            <w:tcW w:w="692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920" w:type="dxa"/>
            <w:tcBorders/>
            <w:shd w:fill="FFFFFF" w:val="clear"/>
            <w:vAlign w:val="center"/>
          </w:tcPr>
          <w:p>
            <w:pPr>
              <w:pStyle w:val="TableContents"/>
              <w:bidi w:val="0"/>
              <w:spacing w:before="0" w:after="283"/>
              <w:jc w:val="left"/>
              <w:rPr/>
            </w:pPr>
            <w:r>
              <w:rPr/>
              <w:t>Article VI Withholding</w:t>
            </w:r>
          </w:p>
        </w:tc>
        <w:tc>
          <w:tcPr>
            <w:tcW w:w="275" w:type="dxa"/>
            <w:tcBorders/>
            <w:shd w:fill="FFFFFF" w:val="clear"/>
            <w:vAlign w:val="center"/>
          </w:tcPr>
          <w:p>
            <w:pPr>
              <w:pStyle w:val="TableContents"/>
              <w:bidi w:val="0"/>
              <w:spacing w:before="0" w:after="283"/>
              <w:jc w:val="right"/>
              <w:rPr/>
            </w:pPr>
            <w:r>
              <w:rPr/>
              <w:t>26</w:t>
            </w:r>
          </w:p>
        </w:tc>
      </w:tr>
      <w:tr>
        <w:trPr/>
        <w:tc>
          <w:tcPr>
            <w:tcW w:w="692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920" w:type="dxa"/>
            <w:tcBorders/>
            <w:shd w:fill="FFFFFF" w:val="clear"/>
            <w:vAlign w:val="center"/>
          </w:tcPr>
          <w:p>
            <w:pPr>
              <w:pStyle w:val="TableContents"/>
              <w:bidi w:val="0"/>
              <w:spacing w:before="0" w:after="283"/>
              <w:jc w:val="left"/>
              <w:rPr/>
            </w:pPr>
            <w:r>
              <w:rPr/>
              <w:t>Section 6.1   Generally</w:t>
            </w:r>
          </w:p>
        </w:tc>
        <w:tc>
          <w:tcPr>
            <w:tcW w:w="275" w:type="dxa"/>
            <w:tcBorders/>
            <w:shd w:fill="FFFFFF" w:val="clear"/>
            <w:vAlign w:val="center"/>
          </w:tcPr>
          <w:p>
            <w:pPr>
              <w:pStyle w:val="TableContents"/>
              <w:bidi w:val="0"/>
              <w:spacing w:before="0" w:after="283"/>
              <w:jc w:val="right"/>
              <w:rPr/>
            </w:pPr>
            <w:r>
              <w:rPr/>
              <w:t>26</w:t>
            </w:r>
          </w:p>
        </w:tc>
      </w:tr>
      <w:tr>
        <w:trPr/>
        <w:tc>
          <w:tcPr>
            <w:tcW w:w="6920" w:type="dxa"/>
            <w:tcBorders/>
            <w:shd w:fill="C6F4F9" w:val="clear"/>
            <w:vAlign w:val="center"/>
          </w:tcPr>
          <w:p>
            <w:pPr>
              <w:pStyle w:val="TableContents"/>
              <w:bidi w:val="0"/>
              <w:spacing w:before="0" w:after="283"/>
              <w:jc w:val="left"/>
              <w:rPr/>
            </w:pPr>
            <w:r>
              <w:rPr/>
              <w:t>Section 6.2   Treatment of Withheld Amounts</w:t>
            </w:r>
          </w:p>
        </w:tc>
        <w:tc>
          <w:tcPr>
            <w:tcW w:w="275" w:type="dxa"/>
            <w:tcBorders/>
            <w:shd w:fill="C6F4F9" w:val="clear"/>
            <w:vAlign w:val="center"/>
          </w:tcPr>
          <w:p>
            <w:pPr>
              <w:pStyle w:val="TableContents"/>
              <w:bidi w:val="0"/>
              <w:spacing w:before="0" w:after="283"/>
              <w:jc w:val="right"/>
              <w:rPr/>
            </w:pPr>
            <w:r>
              <w:rPr/>
              <w:t>26</w:t>
            </w:r>
          </w:p>
        </w:tc>
      </w:tr>
      <w:tr>
        <w:trPr/>
        <w:tc>
          <w:tcPr>
            <w:tcW w:w="6920" w:type="dxa"/>
            <w:tcBorders/>
            <w:shd w:fill="FFFFFF" w:val="clear"/>
            <w:vAlign w:val="center"/>
          </w:tcPr>
          <w:p>
            <w:pPr>
              <w:pStyle w:val="TableContents"/>
              <w:bidi w:val="0"/>
              <w:spacing w:before="0" w:after="283"/>
              <w:jc w:val="left"/>
              <w:rPr/>
            </w:pPr>
            <w:r>
              <w:rPr/>
              <w:t>Section 6.3   Obligation to Fund Withholding</w:t>
            </w:r>
          </w:p>
        </w:tc>
        <w:tc>
          <w:tcPr>
            <w:tcW w:w="275" w:type="dxa"/>
            <w:tcBorders/>
            <w:shd w:fill="FFFFFF" w:val="clear"/>
            <w:vAlign w:val="center"/>
          </w:tcPr>
          <w:p>
            <w:pPr>
              <w:pStyle w:val="TableContents"/>
              <w:bidi w:val="0"/>
              <w:spacing w:before="0" w:after="283"/>
              <w:jc w:val="right"/>
              <w:rPr/>
            </w:pPr>
            <w:r>
              <w:rPr/>
              <w:t>26</w:t>
            </w:r>
          </w:p>
        </w:tc>
      </w:tr>
      <w:tr>
        <w:trPr/>
        <w:tc>
          <w:tcPr>
            <w:tcW w:w="6920" w:type="dxa"/>
            <w:tcBorders/>
            <w:shd w:fill="C6F4F9" w:val="clear"/>
            <w:vAlign w:val="center"/>
          </w:tcPr>
          <w:p>
            <w:pPr>
              <w:pStyle w:val="TableContents"/>
              <w:bidi w:val="0"/>
              <w:spacing w:before="0" w:after="283"/>
              <w:jc w:val="left"/>
              <w:rPr/>
            </w:pPr>
            <w:r>
              <w:rPr/>
              <w:t>Section 6.4   Special Rule for Code Section 1446(f)</w:t>
            </w:r>
          </w:p>
        </w:tc>
        <w:tc>
          <w:tcPr>
            <w:tcW w:w="275" w:type="dxa"/>
            <w:tcBorders/>
            <w:shd w:fill="C6F4F9" w:val="clear"/>
            <w:vAlign w:val="center"/>
          </w:tcPr>
          <w:p>
            <w:pPr>
              <w:pStyle w:val="TableContents"/>
              <w:bidi w:val="0"/>
              <w:spacing w:before="0" w:after="283"/>
              <w:jc w:val="right"/>
              <w:rPr/>
            </w:pPr>
            <w:r>
              <w:rPr/>
              <w:t>26</w:t>
            </w:r>
          </w:p>
        </w:tc>
      </w:tr>
      <w:tr>
        <w:trPr/>
        <w:tc>
          <w:tcPr>
            <w:tcW w:w="6920" w:type="dxa"/>
            <w:tcBorders/>
            <w:shd w:fill="FFFFFF" w:val="clear"/>
            <w:vAlign w:val="center"/>
          </w:tcPr>
          <w:p>
            <w:pPr>
              <w:pStyle w:val="TableContents"/>
              <w:bidi w:val="0"/>
              <w:spacing w:before="0" w:after="283"/>
              <w:jc w:val="left"/>
              <w:rPr/>
            </w:pPr>
            <w:r>
              <w:rPr/>
              <w:t>Section 6.5   Former Members; Survival Amendment</w:t>
            </w:r>
          </w:p>
        </w:tc>
        <w:tc>
          <w:tcPr>
            <w:tcW w:w="275" w:type="dxa"/>
            <w:tcBorders/>
            <w:shd w:fill="FFFFFF" w:val="clear"/>
            <w:vAlign w:val="center"/>
          </w:tcPr>
          <w:p>
            <w:pPr>
              <w:pStyle w:val="TableContents"/>
              <w:bidi w:val="0"/>
              <w:spacing w:before="0" w:after="283"/>
              <w:jc w:val="right"/>
              <w:rPr/>
            </w:pPr>
            <w:r>
              <w:rPr/>
              <w:t>26</w:t>
            </w:r>
          </w:p>
        </w:tc>
      </w:tr>
      <w:tr>
        <w:trPr/>
        <w:tc>
          <w:tcPr>
            <w:tcW w:w="692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920" w:type="dxa"/>
            <w:tcBorders/>
            <w:shd w:fill="FFFFFF" w:val="clear"/>
            <w:vAlign w:val="center"/>
          </w:tcPr>
          <w:p>
            <w:pPr>
              <w:pStyle w:val="TableContents"/>
              <w:bidi w:val="0"/>
              <w:spacing w:before="0" w:after="283"/>
              <w:jc w:val="left"/>
              <w:rPr/>
            </w:pPr>
            <w:r>
              <w:rPr/>
              <w:t>Article VII DISTRIBUTIONS</w:t>
            </w:r>
          </w:p>
        </w:tc>
        <w:tc>
          <w:tcPr>
            <w:tcW w:w="275" w:type="dxa"/>
            <w:tcBorders/>
            <w:shd w:fill="FFFFFF" w:val="clear"/>
            <w:vAlign w:val="center"/>
          </w:tcPr>
          <w:p>
            <w:pPr>
              <w:pStyle w:val="TableContents"/>
              <w:bidi w:val="0"/>
              <w:spacing w:before="0" w:after="283"/>
              <w:jc w:val="right"/>
              <w:rPr/>
            </w:pPr>
            <w:r>
              <w:rPr/>
              <w:t>26</w:t>
            </w:r>
          </w:p>
        </w:tc>
      </w:tr>
      <w:tr>
        <w:trPr/>
        <w:tc>
          <w:tcPr>
            <w:tcW w:w="692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920" w:type="dxa"/>
            <w:tcBorders/>
            <w:shd w:fill="FFFFFF" w:val="clear"/>
            <w:vAlign w:val="center"/>
          </w:tcPr>
          <w:p>
            <w:pPr>
              <w:pStyle w:val="TableContents"/>
              <w:bidi w:val="0"/>
              <w:spacing w:before="0" w:after="283"/>
              <w:jc w:val="left"/>
              <w:rPr/>
            </w:pPr>
            <w:r>
              <w:rPr/>
              <w:t>Section 7.1   Distributions</w:t>
            </w:r>
          </w:p>
        </w:tc>
        <w:tc>
          <w:tcPr>
            <w:tcW w:w="275" w:type="dxa"/>
            <w:tcBorders/>
            <w:shd w:fill="FFFFFF" w:val="clear"/>
            <w:vAlign w:val="center"/>
          </w:tcPr>
          <w:p>
            <w:pPr>
              <w:pStyle w:val="TableContents"/>
              <w:bidi w:val="0"/>
              <w:spacing w:before="0" w:after="283"/>
              <w:jc w:val="right"/>
              <w:rPr/>
            </w:pPr>
            <w:r>
              <w:rPr/>
              <w:t>26</w:t>
            </w:r>
          </w:p>
        </w:tc>
      </w:tr>
      <w:tr>
        <w:trPr/>
        <w:tc>
          <w:tcPr>
            <w:tcW w:w="6920" w:type="dxa"/>
            <w:tcBorders/>
            <w:shd w:fill="C6F4F9" w:val="clear"/>
            <w:vAlign w:val="center"/>
          </w:tcPr>
          <w:p>
            <w:pPr>
              <w:pStyle w:val="TableContents"/>
              <w:bidi w:val="0"/>
              <w:spacing w:before="0" w:after="283"/>
              <w:jc w:val="left"/>
              <w:rPr/>
            </w:pPr>
            <w:r>
              <w:rPr/>
              <w:t>Section 7.2   Successors</w:t>
            </w:r>
          </w:p>
        </w:tc>
        <w:tc>
          <w:tcPr>
            <w:tcW w:w="275" w:type="dxa"/>
            <w:tcBorders/>
            <w:shd w:fill="C6F4F9" w:val="clear"/>
            <w:vAlign w:val="center"/>
          </w:tcPr>
          <w:p>
            <w:pPr>
              <w:pStyle w:val="TableContents"/>
              <w:bidi w:val="0"/>
              <w:spacing w:before="0" w:after="283"/>
              <w:jc w:val="right"/>
              <w:rPr/>
            </w:pPr>
            <w:r>
              <w:rPr/>
              <w:t>27</w:t>
            </w:r>
          </w:p>
        </w:tc>
      </w:tr>
      <w:tr>
        <w:trPr/>
        <w:tc>
          <w:tcPr>
            <w:tcW w:w="6920" w:type="dxa"/>
            <w:tcBorders/>
            <w:shd w:fill="FFFFFF" w:val="clear"/>
            <w:vAlign w:val="center"/>
          </w:tcPr>
          <w:p>
            <w:pPr>
              <w:pStyle w:val="TableContents"/>
              <w:bidi w:val="0"/>
              <w:spacing w:before="0" w:after="283"/>
              <w:jc w:val="left"/>
              <w:rPr/>
            </w:pPr>
            <w:r>
              <w:rPr/>
              <w:t>Section 7.3   Distributions In-Kind</w:t>
            </w:r>
          </w:p>
        </w:tc>
        <w:tc>
          <w:tcPr>
            <w:tcW w:w="275" w:type="dxa"/>
            <w:tcBorders/>
            <w:shd w:fill="FFFFFF" w:val="clear"/>
            <w:vAlign w:val="center"/>
          </w:tcPr>
          <w:p>
            <w:pPr>
              <w:pStyle w:val="TableContents"/>
              <w:bidi w:val="0"/>
              <w:spacing w:before="0" w:after="283"/>
              <w:jc w:val="right"/>
              <w:rPr/>
            </w:pPr>
            <w:r>
              <w:rPr/>
              <w:t>27</w:t>
            </w:r>
          </w:p>
        </w:tc>
      </w:tr>
      <w:tr>
        <w:trPr/>
        <w:tc>
          <w:tcPr>
            <w:tcW w:w="692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920" w:type="dxa"/>
            <w:tcBorders/>
            <w:shd w:fill="FFFFFF" w:val="clear"/>
            <w:vAlign w:val="center"/>
          </w:tcPr>
          <w:p>
            <w:pPr>
              <w:pStyle w:val="TableContents"/>
              <w:bidi w:val="0"/>
              <w:spacing w:before="0" w:after="283"/>
              <w:jc w:val="left"/>
              <w:rPr/>
            </w:pPr>
            <w:r>
              <w:rPr/>
              <w:t>Article VIII INFORMATION RIGHTS</w:t>
            </w:r>
          </w:p>
        </w:tc>
        <w:tc>
          <w:tcPr>
            <w:tcW w:w="275" w:type="dxa"/>
            <w:tcBorders/>
            <w:shd w:fill="FFFFFF" w:val="clear"/>
            <w:vAlign w:val="center"/>
          </w:tcPr>
          <w:p>
            <w:pPr>
              <w:pStyle w:val="TableContents"/>
              <w:bidi w:val="0"/>
              <w:spacing w:before="0" w:after="283"/>
              <w:jc w:val="right"/>
              <w:rPr/>
            </w:pPr>
            <w:r>
              <w:rPr/>
              <w:t>27</w:t>
            </w:r>
          </w:p>
        </w:tc>
      </w:tr>
      <w:tr>
        <w:trPr/>
        <w:tc>
          <w:tcPr>
            <w:tcW w:w="692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920" w:type="dxa"/>
            <w:tcBorders/>
            <w:shd w:fill="FFFFFF" w:val="clear"/>
            <w:vAlign w:val="center"/>
          </w:tcPr>
          <w:p>
            <w:pPr>
              <w:pStyle w:val="TableContents"/>
              <w:bidi w:val="0"/>
              <w:spacing w:before="0" w:after="283"/>
              <w:jc w:val="left"/>
              <w:rPr/>
            </w:pPr>
            <w:r>
              <w:rPr/>
              <w:t>Section 8.1   Financial Statements; Inspection Rights</w:t>
            </w:r>
          </w:p>
        </w:tc>
        <w:tc>
          <w:tcPr>
            <w:tcW w:w="275" w:type="dxa"/>
            <w:tcBorders/>
            <w:shd w:fill="FFFFFF" w:val="clear"/>
            <w:vAlign w:val="center"/>
          </w:tcPr>
          <w:p>
            <w:pPr>
              <w:pStyle w:val="TableContents"/>
              <w:bidi w:val="0"/>
              <w:spacing w:before="0" w:after="283"/>
              <w:jc w:val="right"/>
              <w:rPr/>
            </w:pPr>
            <w:r>
              <w:rPr/>
              <w:t>27</w:t>
            </w:r>
          </w:p>
        </w:tc>
      </w:tr>
      <w:tr>
        <w:trPr/>
        <w:tc>
          <w:tcPr>
            <w:tcW w:w="692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920" w:type="dxa"/>
            <w:tcBorders/>
            <w:shd w:fill="FFFFFF" w:val="clear"/>
            <w:vAlign w:val="center"/>
          </w:tcPr>
          <w:p>
            <w:pPr>
              <w:pStyle w:val="TableContents"/>
              <w:bidi w:val="0"/>
              <w:spacing w:before="0" w:after="283"/>
              <w:jc w:val="left"/>
              <w:rPr/>
            </w:pPr>
            <w:r>
              <w:rPr/>
              <w:t>Article IX TRANSFER OF UNITS</w:t>
            </w:r>
          </w:p>
        </w:tc>
        <w:tc>
          <w:tcPr>
            <w:tcW w:w="275" w:type="dxa"/>
            <w:tcBorders/>
            <w:shd w:fill="FFFFFF" w:val="clear"/>
            <w:vAlign w:val="center"/>
          </w:tcPr>
          <w:p>
            <w:pPr>
              <w:pStyle w:val="TableContents"/>
              <w:bidi w:val="0"/>
              <w:spacing w:before="0" w:after="283"/>
              <w:jc w:val="right"/>
              <w:rPr/>
            </w:pPr>
            <w:r>
              <w:rPr/>
              <w:t>29</w:t>
            </w:r>
          </w:p>
        </w:tc>
      </w:tr>
      <w:tr>
        <w:trPr/>
        <w:tc>
          <w:tcPr>
            <w:tcW w:w="692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920" w:type="dxa"/>
            <w:tcBorders/>
            <w:shd w:fill="FFFFFF" w:val="clear"/>
            <w:vAlign w:val="center"/>
          </w:tcPr>
          <w:p>
            <w:pPr>
              <w:pStyle w:val="TableContents"/>
              <w:bidi w:val="0"/>
              <w:spacing w:before="0" w:after="283"/>
              <w:jc w:val="left"/>
              <w:rPr/>
            </w:pPr>
            <w:r>
              <w:rPr/>
              <w:t>Section 9.1   Certain Restrictions on Transfer or Encumbrance</w:t>
            </w:r>
          </w:p>
        </w:tc>
        <w:tc>
          <w:tcPr>
            <w:tcW w:w="275" w:type="dxa"/>
            <w:tcBorders/>
            <w:shd w:fill="FFFFFF" w:val="clear"/>
            <w:vAlign w:val="center"/>
          </w:tcPr>
          <w:p>
            <w:pPr>
              <w:pStyle w:val="TableContents"/>
              <w:bidi w:val="0"/>
              <w:spacing w:before="0" w:after="283"/>
              <w:jc w:val="right"/>
              <w:rPr/>
            </w:pPr>
            <w:r>
              <w:rPr/>
              <w:t>29</w:t>
            </w:r>
          </w:p>
        </w:tc>
      </w:tr>
      <w:tr>
        <w:trPr/>
        <w:tc>
          <w:tcPr>
            <w:tcW w:w="6920" w:type="dxa"/>
            <w:tcBorders/>
            <w:shd w:fill="C6F4F9" w:val="clear"/>
            <w:vAlign w:val="center"/>
          </w:tcPr>
          <w:p>
            <w:pPr>
              <w:pStyle w:val="TableContents"/>
              <w:bidi w:val="0"/>
              <w:spacing w:before="0" w:after="283"/>
              <w:jc w:val="left"/>
              <w:rPr/>
            </w:pPr>
            <w:r>
              <w:rPr/>
              <w:t>Section 9.2   Transfer Fees and Expenses; Closing Date of Transfers</w:t>
            </w:r>
          </w:p>
        </w:tc>
        <w:tc>
          <w:tcPr>
            <w:tcW w:w="275" w:type="dxa"/>
            <w:tcBorders/>
            <w:shd w:fill="C6F4F9" w:val="clear"/>
            <w:vAlign w:val="center"/>
          </w:tcPr>
          <w:p>
            <w:pPr>
              <w:pStyle w:val="TableContents"/>
              <w:bidi w:val="0"/>
              <w:spacing w:before="0" w:after="283"/>
              <w:jc w:val="right"/>
              <w:rPr/>
            </w:pPr>
            <w:r>
              <w:rPr/>
              <w:t>30</w:t>
            </w:r>
          </w:p>
        </w:tc>
      </w:tr>
      <w:tr>
        <w:trPr/>
        <w:tc>
          <w:tcPr>
            <w:tcW w:w="6920" w:type="dxa"/>
            <w:tcBorders/>
            <w:shd w:fill="FFFFFF" w:val="clear"/>
            <w:vAlign w:val="center"/>
          </w:tcPr>
          <w:p>
            <w:pPr>
              <w:pStyle w:val="TableContents"/>
              <w:bidi w:val="0"/>
              <w:spacing w:before="0" w:after="283"/>
              <w:jc w:val="left"/>
              <w:rPr/>
            </w:pPr>
            <w:r>
              <w:rPr/>
              <w:t>Section 9.3   Change of Control Option</w:t>
            </w:r>
          </w:p>
        </w:tc>
        <w:tc>
          <w:tcPr>
            <w:tcW w:w="275" w:type="dxa"/>
            <w:tcBorders/>
            <w:shd w:fill="FFFFFF" w:val="clear"/>
            <w:vAlign w:val="center"/>
          </w:tcPr>
          <w:p>
            <w:pPr>
              <w:pStyle w:val="TableContents"/>
              <w:bidi w:val="0"/>
              <w:spacing w:before="0" w:after="283"/>
              <w:jc w:val="right"/>
              <w:rPr/>
            </w:pPr>
            <w:r>
              <w:rPr/>
              <w:t>30</w:t>
            </w:r>
          </w:p>
        </w:tc>
      </w:tr>
      <w:tr>
        <w:trPr/>
        <w:tc>
          <w:tcPr>
            <w:tcW w:w="6920" w:type="dxa"/>
            <w:tcBorders/>
            <w:shd w:fill="C6F4F9" w:val="clear"/>
            <w:vAlign w:val="center"/>
          </w:tcPr>
          <w:p>
            <w:pPr>
              <w:pStyle w:val="TableContents"/>
              <w:bidi w:val="0"/>
              <w:spacing w:before="0" w:after="283"/>
              <w:jc w:val="left"/>
              <w:rPr/>
            </w:pPr>
            <w:r>
              <w:rPr/>
              <w:t>Section 9.4   Per Unit FMV</w:t>
            </w:r>
          </w:p>
        </w:tc>
        <w:tc>
          <w:tcPr>
            <w:tcW w:w="275" w:type="dxa"/>
            <w:tcBorders/>
            <w:shd w:fill="C6F4F9" w:val="clear"/>
            <w:vAlign w:val="center"/>
          </w:tcPr>
          <w:p>
            <w:pPr>
              <w:pStyle w:val="TableContents"/>
              <w:bidi w:val="0"/>
              <w:spacing w:before="0" w:after="283"/>
              <w:jc w:val="right"/>
              <w:rPr/>
            </w:pPr>
            <w:r>
              <w:rPr/>
              <w:t>32</w:t>
            </w:r>
          </w:p>
        </w:tc>
      </w:tr>
      <w:tr>
        <w:trPr/>
        <w:tc>
          <w:tcPr>
            <w:tcW w:w="6920" w:type="dxa"/>
            <w:tcBorders/>
            <w:shd w:fill="FFFFFF" w:val="clear"/>
            <w:vAlign w:val="center"/>
          </w:tcPr>
          <w:p>
            <w:pPr>
              <w:pStyle w:val="TableContents"/>
              <w:bidi w:val="0"/>
              <w:spacing w:before="0" w:after="283"/>
              <w:jc w:val="left"/>
              <w:rPr/>
            </w:pPr>
            <w:r>
              <w:rPr/>
              <w:t>Section 9.5   Purchase Offer</w:t>
            </w:r>
          </w:p>
        </w:tc>
        <w:tc>
          <w:tcPr>
            <w:tcW w:w="275" w:type="dxa"/>
            <w:tcBorders/>
            <w:shd w:fill="FFFFFF" w:val="clear"/>
            <w:vAlign w:val="center"/>
          </w:tcPr>
          <w:p>
            <w:pPr>
              <w:pStyle w:val="TableContents"/>
              <w:bidi w:val="0"/>
              <w:spacing w:before="0" w:after="283"/>
              <w:jc w:val="right"/>
              <w:rPr/>
            </w:pPr>
            <w:r>
              <w:rPr/>
              <w:t>32</w:t>
            </w:r>
          </w:p>
        </w:tc>
      </w:tr>
      <w:tr>
        <w:trPr/>
        <w:tc>
          <w:tcPr>
            <w:tcW w:w="6920" w:type="dxa"/>
            <w:tcBorders/>
            <w:shd w:fill="C6F4F9" w:val="clear"/>
            <w:vAlign w:val="center"/>
          </w:tcPr>
          <w:p>
            <w:pPr>
              <w:pStyle w:val="TableContents"/>
              <w:bidi w:val="0"/>
              <w:spacing w:before="0" w:after="283"/>
              <w:jc w:val="left"/>
              <w:rPr/>
            </w:pPr>
            <w:r>
              <w:rPr/>
              <w:t>Section 9.6   Tag-Along Rights</w:t>
            </w:r>
          </w:p>
        </w:tc>
        <w:tc>
          <w:tcPr>
            <w:tcW w:w="275" w:type="dxa"/>
            <w:tcBorders/>
            <w:shd w:fill="C6F4F9" w:val="clear"/>
            <w:vAlign w:val="center"/>
          </w:tcPr>
          <w:p>
            <w:pPr>
              <w:pStyle w:val="TableContents"/>
              <w:bidi w:val="0"/>
              <w:spacing w:before="0" w:after="283"/>
              <w:jc w:val="right"/>
              <w:rPr/>
            </w:pPr>
            <w:r>
              <w:rPr/>
              <w:t>33</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24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283"/>
        <w:jc w:val="left"/>
        <w:rPr/>
      </w:pPr>
      <w:r>
        <w:rPr/>
        <w:t> </w:t>
      </w:r>
    </w:p>
    <w:tbl>
      <w:tblPr>
        <w:tblW w:w="7225" w:type="dxa"/>
        <w:jc w:val="left"/>
        <w:tblInd w:w="0" w:type="dxa"/>
        <w:tblLayout w:type="fixed"/>
        <w:tblCellMar>
          <w:top w:w="0" w:type="dxa"/>
          <w:left w:w="0" w:type="dxa"/>
          <w:bottom w:w="0" w:type="dxa"/>
          <w:right w:w="0" w:type="dxa"/>
        </w:tblCellMar>
      </w:tblPr>
      <w:tblGrid>
        <w:gridCol w:w="6950"/>
        <w:gridCol w:w="275"/>
      </w:tblGrid>
      <w:tr>
        <w:trPr/>
        <w:tc>
          <w:tcPr>
            <w:tcW w:w="6950" w:type="dxa"/>
            <w:tcBorders/>
            <w:shd w:fill="C6F4F9" w:val="clear"/>
            <w:vAlign w:val="center"/>
          </w:tcPr>
          <w:p>
            <w:pPr>
              <w:pStyle w:val="TableContents"/>
              <w:bidi w:val="0"/>
              <w:spacing w:before="0" w:after="283"/>
              <w:jc w:val="left"/>
              <w:rPr/>
            </w:pPr>
            <w:r>
              <w:rPr/>
              <w:t>Article X DISSOLUTION, LIQUIDATION AND TERMINATION</w:t>
            </w:r>
          </w:p>
        </w:tc>
        <w:tc>
          <w:tcPr>
            <w:tcW w:w="275" w:type="dxa"/>
            <w:tcBorders/>
            <w:shd w:fill="C6F4F9" w:val="clear"/>
            <w:vAlign w:val="center"/>
          </w:tcPr>
          <w:p>
            <w:pPr>
              <w:pStyle w:val="TableContents"/>
              <w:bidi w:val="0"/>
              <w:spacing w:before="0" w:after="283"/>
              <w:jc w:val="right"/>
              <w:rPr/>
            </w:pPr>
            <w:r>
              <w:rPr/>
              <w:t>35</w:t>
            </w:r>
          </w:p>
        </w:tc>
      </w:tr>
      <w:tr>
        <w:trPr/>
        <w:tc>
          <w:tcPr>
            <w:tcW w:w="695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950" w:type="dxa"/>
            <w:tcBorders/>
            <w:shd w:fill="C6F4F9" w:val="clear"/>
            <w:vAlign w:val="center"/>
          </w:tcPr>
          <w:p>
            <w:pPr>
              <w:pStyle w:val="TableContents"/>
              <w:bidi w:val="0"/>
              <w:spacing w:before="0" w:after="283"/>
              <w:jc w:val="left"/>
              <w:rPr/>
            </w:pPr>
            <w:r>
              <w:rPr/>
              <w:t>Section 10.1   No Dissolution or Partition</w:t>
            </w:r>
          </w:p>
        </w:tc>
        <w:tc>
          <w:tcPr>
            <w:tcW w:w="275" w:type="dxa"/>
            <w:tcBorders/>
            <w:shd w:fill="C6F4F9" w:val="clear"/>
            <w:vAlign w:val="center"/>
          </w:tcPr>
          <w:p>
            <w:pPr>
              <w:pStyle w:val="TableContents"/>
              <w:bidi w:val="0"/>
              <w:spacing w:before="0" w:after="283"/>
              <w:jc w:val="right"/>
              <w:rPr/>
            </w:pPr>
            <w:r>
              <w:rPr/>
              <w:t>35</w:t>
            </w:r>
          </w:p>
        </w:tc>
      </w:tr>
      <w:tr>
        <w:trPr/>
        <w:tc>
          <w:tcPr>
            <w:tcW w:w="6950" w:type="dxa"/>
            <w:tcBorders/>
            <w:shd w:fill="FFFFFF" w:val="clear"/>
            <w:vAlign w:val="center"/>
          </w:tcPr>
          <w:p>
            <w:pPr>
              <w:pStyle w:val="TableContents"/>
              <w:bidi w:val="0"/>
              <w:spacing w:before="0" w:after="283"/>
              <w:jc w:val="left"/>
              <w:rPr/>
            </w:pPr>
            <w:r>
              <w:rPr/>
              <w:t>Section 10.2   Dissolution Events</w:t>
            </w:r>
          </w:p>
        </w:tc>
        <w:tc>
          <w:tcPr>
            <w:tcW w:w="275" w:type="dxa"/>
            <w:tcBorders/>
            <w:shd w:fill="FFFFFF" w:val="clear"/>
            <w:vAlign w:val="center"/>
          </w:tcPr>
          <w:p>
            <w:pPr>
              <w:pStyle w:val="TableContents"/>
              <w:bidi w:val="0"/>
              <w:spacing w:before="0" w:after="283"/>
              <w:jc w:val="right"/>
              <w:rPr/>
            </w:pPr>
            <w:r>
              <w:rPr/>
              <w:t>35</w:t>
            </w:r>
          </w:p>
        </w:tc>
      </w:tr>
      <w:tr>
        <w:trPr/>
        <w:tc>
          <w:tcPr>
            <w:tcW w:w="6950" w:type="dxa"/>
            <w:tcBorders/>
            <w:shd w:fill="C6F4F9" w:val="clear"/>
            <w:vAlign w:val="center"/>
          </w:tcPr>
          <w:p>
            <w:pPr>
              <w:pStyle w:val="TableContents"/>
              <w:bidi w:val="0"/>
              <w:spacing w:before="0" w:after="283"/>
              <w:jc w:val="left"/>
              <w:rPr/>
            </w:pPr>
            <w:r>
              <w:rPr/>
              <w:t>Section 10.3   Notice of Dissolution</w:t>
            </w:r>
          </w:p>
        </w:tc>
        <w:tc>
          <w:tcPr>
            <w:tcW w:w="275" w:type="dxa"/>
            <w:tcBorders/>
            <w:shd w:fill="C6F4F9" w:val="clear"/>
            <w:vAlign w:val="center"/>
          </w:tcPr>
          <w:p>
            <w:pPr>
              <w:pStyle w:val="TableContents"/>
              <w:bidi w:val="0"/>
              <w:spacing w:before="0" w:after="283"/>
              <w:jc w:val="right"/>
              <w:rPr/>
            </w:pPr>
            <w:r>
              <w:rPr/>
              <w:t>36</w:t>
            </w:r>
          </w:p>
        </w:tc>
      </w:tr>
      <w:tr>
        <w:trPr/>
        <w:tc>
          <w:tcPr>
            <w:tcW w:w="6950" w:type="dxa"/>
            <w:tcBorders/>
            <w:shd w:fill="FFFFFF" w:val="clear"/>
            <w:vAlign w:val="center"/>
          </w:tcPr>
          <w:p>
            <w:pPr>
              <w:pStyle w:val="TableContents"/>
              <w:bidi w:val="0"/>
              <w:spacing w:before="0" w:after="283"/>
              <w:jc w:val="left"/>
              <w:rPr/>
            </w:pPr>
            <w:r>
              <w:rPr/>
              <w:t>Section 10.4   Liquidation</w:t>
            </w:r>
          </w:p>
        </w:tc>
        <w:tc>
          <w:tcPr>
            <w:tcW w:w="275" w:type="dxa"/>
            <w:tcBorders/>
            <w:shd w:fill="FFFFFF" w:val="clear"/>
            <w:vAlign w:val="center"/>
          </w:tcPr>
          <w:p>
            <w:pPr>
              <w:pStyle w:val="TableContents"/>
              <w:bidi w:val="0"/>
              <w:spacing w:before="0" w:after="283"/>
              <w:jc w:val="right"/>
              <w:rPr/>
            </w:pPr>
            <w:r>
              <w:rPr/>
              <w:t>36</w:t>
            </w:r>
          </w:p>
        </w:tc>
      </w:tr>
      <w:tr>
        <w:trPr/>
        <w:tc>
          <w:tcPr>
            <w:tcW w:w="6950" w:type="dxa"/>
            <w:tcBorders/>
            <w:shd w:fill="C6F4F9" w:val="clear"/>
            <w:vAlign w:val="center"/>
          </w:tcPr>
          <w:p>
            <w:pPr>
              <w:pStyle w:val="TableContents"/>
              <w:bidi w:val="0"/>
              <w:spacing w:before="0" w:after="283"/>
              <w:jc w:val="left"/>
              <w:rPr/>
            </w:pPr>
            <w:r>
              <w:rPr/>
              <w:t>Section 10.5   Termination</w:t>
            </w:r>
          </w:p>
        </w:tc>
        <w:tc>
          <w:tcPr>
            <w:tcW w:w="275" w:type="dxa"/>
            <w:tcBorders/>
            <w:shd w:fill="C6F4F9" w:val="clear"/>
            <w:vAlign w:val="center"/>
          </w:tcPr>
          <w:p>
            <w:pPr>
              <w:pStyle w:val="TableContents"/>
              <w:bidi w:val="0"/>
              <w:spacing w:before="0" w:after="283"/>
              <w:jc w:val="right"/>
              <w:rPr/>
            </w:pPr>
            <w:r>
              <w:rPr/>
              <w:t>36</w:t>
            </w:r>
          </w:p>
        </w:tc>
      </w:tr>
      <w:tr>
        <w:trPr/>
        <w:tc>
          <w:tcPr>
            <w:tcW w:w="6950" w:type="dxa"/>
            <w:tcBorders/>
            <w:shd w:fill="FFFFFF" w:val="clear"/>
            <w:vAlign w:val="center"/>
          </w:tcPr>
          <w:p>
            <w:pPr>
              <w:pStyle w:val="TableContents"/>
              <w:bidi w:val="0"/>
              <w:spacing w:before="0" w:after="283"/>
              <w:jc w:val="left"/>
              <w:rPr/>
            </w:pPr>
            <w:r>
              <w:rPr/>
              <w:t>Section 10.6   Claims of the Members</w:t>
            </w:r>
          </w:p>
        </w:tc>
        <w:tc>
          <w:tcPr>
            <w:tcW w:w="275" w:type="dxa"/>
            <w:tcBorders/>
            <w:shd w:fill="FFFFFF" w:val="clear"/>
            <w:vAlign w:val="center"/>
          </w:tcPr>
          <w:p>
            <w:pPr>
              <w:pStyle w:val="TableContents"/>
              <w:bidi w:val="0"/>
              <w:spacing w:before="0" w:after="283"/>
              <w:jc w:val="right"/>
              <w:rPr/>
            </w:pPr>
            <w:r>
              <w:rPr/>
              <w:t>36</w:t>
            </w:r>
          </w:p>
        </w:tc>
      </w:tr>
      <w:tr>
        <w:trPr/>
        <w:tc>
          <w:tcPr>
            <w:tcW w:w="695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950" w:type="dxa"/>
            <w:tcBorders/>
            <w:shd w:fill="FFFFFF" w:val="clear"/>
            <w:vAlign w:val="center"/>
          </w:tcPr>
          <w:p>
            <w:pPr>
              <w:pStyle w:val="TableContents"/>
              <w:bidi w:val="0"/>
              <w:spacing w:before="0" w:after="283"/>
              <w:jc w:val="left"/>
              <w:rPr/>
            </w:pPr>
            <w:r>
              <w:rPr/>
              <w:t>Article XI LIABILITY, EXCULPATION AND INDEMNIFICATION</w:t>
            </w:r>
          </w:p>
        </w:tc>
        <w:tc>
          <w:tcPr>
            <w:tcW w:w="275" w:type="dxa"/>
            <w:tcBorders/>
            <w:shd w:fill="FFFFFF" w:val="clear"/>
            <w:vAlign w:val="center"/>
          </w:tcPr>
          <w:p>
            <w:pPr>
              <w:pStyle w:val="TableContents"/>
              <w:bidi w:val="0"/>
              <w:spacing w:before="0" w:after="283"/>
              <w:jc w:val="right"/>
              <w:rPr/>
            </w:pPr>
            <w:r>
              <w:rPr/>
              <w:t>37</w:t>
            </w:r>
          </w:p>
        </w:tc>
      </w:tr>
      <w:tr>
        <w:trPr/>
        <w:tc>
          <w:tcPr>
            <w:tcW w:w="695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950" w:type="dxa"/>
            <w:tcBorders/>
            <w:shd w:fill="FFFFFF" w:val="clear"/>
            <w:vAlign w:val="center"/>
          </w:tcPr>
          <w:p>
            <w:pPr>
              <w:pStyle w:val="TableContents"/>
              <w:bidi w:val="0"/>
              <w:spacing w:before="0" w:after="283"/>
              <w:jc w:val="left"/>
              <w:rPr/>
            </w:pPr>
            <w:r>
              <w:rPr/>
              <w:t>Section 11.1   Liability</w:t>
            </w:r>
          </w:p>
        </w:tc>
        <w:tc>
          <w:tcPr>
            <w:tcW w:w="275" w:type="dxa"/>
            <w:tcBorders/>
            <w:shd w:fill="FFFFFF" w:val="clear"/>
            <w:vAlign w:val="center"/>
          </w:tcPr>
          <w:p>
            <w:pPr>
              <w:pStyle w:val="TableContents"/>
              <w:bidi w:val="0"/>
              <w:spacing w:before="0" w:after="283"/>
              <w:jc w:val="right"/>
              <w:rPr/>
            </w:pPr>
            <w:r>
              <w:rPr/>
              <w:t>37</w:t>
            </w:r>
          </w:p>
        </w:tc>
      </w:tr>
      <w:tr>
        <w:trPr/>
        <w:tc>
          <w:tcPr>
            <w:tcW w:w="6950" w:type="dxa"/>
            <w:tcBorders/>
            <w:shd w:fill="C6F4F9" w:val="clear"/>
            <w:vAlign w:val="center"/>
          </w:tcPr>
          <w:p>
            <w:pPr>
              <w:pStyle w:val="TableContents"/>
              <w:bidi w:val="0"/>
              <w:spacing w:before="0" w:after="283"/>
              <w:jc w:val="left"/>
              <w:rPr/>
            </w:pPr>
            <w:r>
              <w:rPr/>
              <w:t>Section 11.2   Exculpation</w:t>
            </w:r>
          </w:p>
        </w:tc>
        <w:tc>
          <w:tcPr>
            <w:tcW w:w="275" w:type="dxa"/>
            <w:tcBorders/>
            <w:shd w:fill="C6F4F9" w:val="clear"/>
            <w:vAlign w:val="center"/>
          </w:tcPr>
          <w:p>
            <w:pPr>
              <w:pStyle w:val="TableContents"/>
              <w:bidi w:val="0"/>
              <w:spacing w:before="0" w:after="283"/>
              <w:jc w:val="right"/>
              <w:rPr/>
            </w:pPr>
            <w:r>
              <w:rPr/>
              <w:t>37</w:t>
            </w:r>
          </w:p>
        </w:tc>
      </w:tr>
      <w:tr>
        <w:trPr/>
        <w:tc>
          <w:tcPr>
            <w:tcW w:w="6950" w:type="dxa"/>
            <w:tcBorders/>
            <w:shd w:fill="FFFFFF" w:val="clear"/>
            <w:vAlign w:val="center"/>
          </w:tcPr>
          <w:p>
            <w:pPr>
              <w:pStyle w:val="TableContents"/>
              <w:bidi w:val="0"/>
              <w:spacing w:before="0" w:after="283"/>
              <w:jc w:val="left"/>
              <w:rPr/>
            </w:pPr>
            <w:r>
              <w:rPr/>
              <w:t>Section 11.3   Indemnification by the Company</w:t>
            </w:r>
          </w:p>
        </w:tc>
        <w:tc>
          <w:tcPr>
            <w:tcW w:w="275" w:type="dxa"/>
            <w:tcBorders/>
            <w:shd w:fill="FFFFFF" w:val="clear"/>
            <w:vAlign w:val="center"/>
          </w:tcPr>
          <w:p>
            <w:pPr>
              <w:pStyle w:val="TableContents"/>
              <w:bidi w:val="0"/>
              <w:spacing w:before="0" w:after="283"/>
              <w:jc w:val="right"/>
              <w:rPr/>
            </w:pPr>
            <w:r>
              <w:rPr/>
              <w:t>37</w:t>
            </w:r>
          </w:p>
        </w:tc>
      </w:tr>
      <w:tr>
        <w:trPr/>
        <w:tc>
          <w:tcPr>
            <w:tcW w:w="6950" w:type="dxa"/>
            <w:tcBorders/>
            <w:shd w:fill="C6F4F9" w:val="clear"/>
            <w:vAlign w:val="center"/>
          </w:tcPr>
          <w:p>
            <w:pPr>
              <w:pStyle w:val="TableContents"/>
              <w:bidi w:val="0"/>
              <w:spacing w:before="0" w:after="283"/>
              <w:jc w:val="left"/>
              <w:rPr/>
            </w:pPr>
            <w:r>
              <w:rPr/>
              <w:t>Section 11.4   Advancement of Expenses</w:t>
            </w:r>
          </w:p>
        </w:tc>
        <w:tc>
          <w:tcPr>
            <w:tcW w:w="275" w:type="dxa"/>
            <w:tcBorders/>
            <w:shd w:fill="C6F4F9" w:val="clear"/>
            <w:vAlign w:val="center"/>
          </w:tcPr>
          <w:p>
            <w:pPr>
              <w:pStyle w:val="TableContents"/>
              <w:bidi w:val="0"/>
              <w:spacing w:before="0" w:after="283"/>
              <w:jc w:val="right"/>
              <w:rPr/>
            </w:pPr>
            <w:r>
              <w:rPr/>
              <w:t>39</w:t>
            </w:r>
          </w:p>
        </w:tc>
      </w:tr>
      <w:tr>
        <w:trPr/>
        <w:tc>
          <w:tcPr>
            <w:tcW w:w="6950" w:type="dxa"/>
            <w:tcBorders/>
            <w:shd w:fill="FFFFFF" w:val="clear"/>
            <w:vAlign w:val="center"/>
          </w:tcPr>
          <w:p>
            <w:pPr>
              <w:pStyle w:val="TableContents"/>
              <w:bidi w:val="0"/>
              <w:spacing w:before="0" w:after="283"/>
              <w:jc w:val="left"/>
              <w:rPr/>
            </w:pPr>
            <w:r>
              <w:rPr/>
              <w:t>Section 11.5   Reliance</w:t>
            </w:r>
          </w:p>
        </w:tc>
        <w:tc>
          <w:tcPr>
            <w:tcW w:w="275" w:type="dxa"/>
            <w:tcBorders/>
            <w:shd w:fill="FFFFFF" w:val="clear"/>
            <w:vAlign w:val="center"/>
          </w:tcPr>
          <w:p>
            <w:pPr>
              <w:pStyle w:val="TableContents"/>
              <w:bidi w:val="0"/>
              <w:spacing w:before="0" w:after="283"/>
              <w:jc w:val="right"/>
              <w:rPr/>
            </w:pPr>
            <w:r>
              <w:rPr/>
              <w:t>40</w:t>
            </w:r>
          </w:p>
        </w:tc>
      </w:tr>
      <w:tr>
        <w:trPr/>
        <w:tc>
          <w:tcPr>
            <w:tcW w:w="6950" w:type="dxa"/>
            <w:tcBorders/>
            <w:shd w:fill="C6F4F9" w:val="clear"/>
            <w:vAlign w:val="center"/>
          </w:tcPr>
          <w:p>
            <w:pPr>
              <w:pStyle w:val="TableContents"/>
              <w:bidi w:val="0"/>
              <w:spacing w:before="0" w:after="283"/>
              <w:jc w:val="left"/>
              <w:rPr/>
            </w:pPr>
            <w:r>
              <w:rPr/>
              <w:t>Section 11.6   Insurance</w:t>
            </w:r>
          </w:p>
        </w:tc>
        <w:tc>
          <w:tcPr>
            <w:tcW w:w="275" w:type="dxa"/>
            <w:tcBorders/>
            <w:shd w:fill="C6F4F9" w:val="clear"/>
            <w:vAlign w:val="center"/>
          </w:tcPr>
          <w:p>
            <w:pPr>
              <w:pStyle w:val="TableContents"/>
              <w:bidi w:val="0"/>
              <w:spacing w:before="0" w:after="283"/>
              <w:jc w:val="right"/>
              <w:rPr/>
            </w:pPr>
            <w:r>
              <w:rPr/>
              <w:t>40</w:t>
            </w:r>
          </w:p>
        </w:tc>
      </w:tr>
      <w:tr>
        <w:trPr/>
        <w:tc>
          <w:tcPr>
            <w:tcW w:w="6950" w:type="dxa"/>
            <w:tcBorders/>
            <w:shd w:fill="FFFFFF" w:val="clear"/>
            <w:vAlign w:val="center"/>
          </w:tcPr>
          <w:p>
            <w:pPr>
              <w:pStyle w:val="TableContents"/>
              <w:bidi w:val="0"/>
              <w:spacing w:before="0" w:after="283"/>
              <w:jc w:val="left"/>
              <w:rPr/>
            </w:pPr>
            <w:r>
              <w:rPr/>
              <w:t>Section 11.7   Non-Exclusivity of Rights</w:t>
            </w:r>
          </w:p>
        </w:tc>
        <w:tc>
          <w:tcPr>
            <w:tcW w:w="275" w:type="dxa"/>
            <w:tcBorders/>
            <w:shd w:fill="FFFFFF" w:val="clear"/>
            <w:vAlign w:val="center"/>
          </w:tcPr>
          <w:p>
            <w:pPr>
              <w:pStyle w:val="TableContents"/>
              <w:bidi w:val="0"/>
              <w:spacing w:before="0" w:after="283"/>
              <w:jc w:val="right"/>
              <w:rPr/>
            </w:pPr>
            <w:r>
              <w:rPr/>
              <w:t>40</w:t>
            </w:r>
          </w:p>
        </w:tc>
      </w:tr>
      <w:tr>
        <w:trPr/>
        <w:tc>
          <w:tcPr>
            <w:tcW w:w="6950" w:type="dxa"/>
            <w:tcBorders/>
            <w:shd w:fill="C6F4F9" w:val="clear"/>
            <w:vAlign w:val="center"/>
          </w:tcPr>
          <w:p>
            <w:pPr>
              <w:pStyle w:val="TableContents"/>
              <w:bidi w:val="0"/>
              <w:spacing w:before="0" w:after="283"/>
              <w:jc w:val="left"/>
              <w:rPr/>
            </w:pPr>
            <w:r>
              <w:rPr/>
              <w:t>Section 11.8   Representation, Warranties and Covenants of Members</w:t>
            </w:r>
          </w:p>
        </w:tc>
        <w:tc>
          <w:tcPr>
            <w:tcW w:w="275" w:type="dxa"/>
            <w:tcBorders/>
            <w:shd w:fill="C6F4F9" w:val="clear"/>
            <w:vAlign w:val="center"/>
          </w:tcPr>
          <w:p>
            <w:pPr>
              <w:pStyle w:val="TableContents"/>
              <w:bidi w:val="0"/>
              <w:spacing w:before="0" w:after="283"/>
              <w:jc w:val="right"/>
              <w:rPr/>
            </w:pPr>
            <w:r>
              <w:rPr/>
              <w:t>40</w:t>
            </w:r>
          </w:p>
        </w:tc>
      </w:tr>
      <w:tr>
        <w:trPr/>
        <w:tc>
          <w:tcPr>
            <w:tcW w:w="695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950" w:type="dxa"/>
            <w:tcBorders/>
            <w:shd w:fill="C6F4F9" w:val="clear"/>
            <w:vAlign w:val="center"/>
          </w:tcPr>
          <w:p>
            <w:pPr>
              <w:pStyle w:val="TableContents"/>
              <w:bidi w:val="0"/>
              <w:spacing w:before="0" w:after="283"/>
              <w:jc w:val="left"/>
              <w:rPr/>
            </w:pPr>
            <w:r>
              <w:rPr/>
              <w:t>Article XII OTHER AGREEMENTS</w:t>
            </w:r>
          </w:p>
        </w:tc>
        <w:tc>
          <w:tcPr>
            <w:tcW w:w="275" w:type="dxa"/>
            <w:tcBorders/>
            <w:shd w:fill="C6F4F9" w:val="clear"/>
            <w:vAlign w:val="center"/>
          </w:tcPr>
          <w:p>
            <w:pPr>
              <w:pStyle w:val="TableContents"/>
              <w:bidi w:val="0"/>
              <w:spacing w:before="0" w:after="283"/>
              <w:jc w:val="right"/>
              <w:rPr/>
            </w:pPr>
            <w:r>
              <w:rPr/>
              <w:t>40</w:t>
            </w:r>
          </w:p>
        </w:tc>
      </w:tr>
      <w:tr>
        <w:trPr/>
        <w:tc>
          <w:tcPr>
            <w:tcW w:w="695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950" w:type="dxa"/>
            <w:tcBorders/>
            <w:shd w:fill="C6F4F9" w:val="clear"/>
            <w:vAlign w:val="center"/>
          </w:tcPr>
          <w:p>
            <w:pPr>
              <w:pStyle w:val="TableContents"/>
              <w:bidi w:val="0"/>
              <w:spacing w:before="0" w:after="283"/>
              <w:jc w:val="left"/>
              <w:rPr/>
            </w:pPr>
            <w:r>
              <w:rPr/>
              <w:t>Section 12.1   Right to Purchase New Securities</w:t>
            </w:r>
          </w:p>
        </w:tc>
        <w:tc>
          <w:tcPr>
            <w:tcW w:w="275" w:type="dxa"/>
            <w:tcBorders/>
            <w:shd w:fill="C6F4F9" w:val="clear"/>
            <w:vAlign w:val="center"/>
          </w:tcPr>
          <w:p>
            <w:pPr>
              <w:pStyle w:val="TableContents"/>
              <w:bidi w:val="0"/>
              <w:spacing w:before="0" w:after="283"/>
              <w:jc w:val="right"/>
              <w:rPr/>
            </w:pPr>
            <w:r>
              <w:rPr/>
              <w:t>40</w:t>
            </w:r>
          </w:p>
        </w:tc>
      </w:tr>
      <w:tr>
        <w:trPr/>
        <w:tc>
          <w:tcPr>
            <w:tcW w:w="6950" w:type="dxa"/>
            <w:tcBorders/>
            <w:shd w:fill="FFFFFF" w:val="clear"/>
            <w:vAlign w:val="center"/>
          </w:tcPr>
          <w:p>
            <w:pPr>
              <w:pStyle w:val="TableContents"/>
              <w:bidi w:val="0"/>
              <w:spacing w:before="0" w:after="283"/>
              <w:jc w:val="left"/>
              <w:rPr/>
            </w:pPr>
            <w:r>
              <w:rPr/>
              <w:t>Section 12.2   Further Assurances</w:t>
            </w:r>
          </w:p>
        </w:tc>
        <w:tc>
          <w:tcPr>
            <w:tcW w:w="275" w:type="dxa"/>
            <w:tcBorders/>
            <w:shd w:fill="FFFFFF" w:val="clear"/>
            <w:vAlign w:val="center"/>
          </w:tcPr>
          <w:p>
            <w:pPr>
              <w:pStyle w:val="TableContents"/>
              <w:bidi w:val="0"/>
              <w:spacing w:before="0" w:after="283"/>
              <w:jc w:val="right"/>
              <w:rPr/>
            </w:pPr>
            <w:r>
              <w:rPr/>
              <w:t>42</w:t>
            </w:r>
          </w:p>
        </w:tc>
      </w:tr>
      <w:tr>
        <w:trPr/>
        <w:tc>
          <w:tcPr>
            <w:tcW w:w="6950" w:type="dxa"/>
            <w:tcBorders/>
            <w:shd w:fill="C6F4F9" w:val="clear"/>
            <w:vAlign w:val="center"/>
          </w:tcPr>
          <w:p>
            <w:pPr>
              <w:pStyle w:val="TableContents"/>
              <w:bidi w:val="0"/>
              <w:spacing w:before="0" w:after="283"/>
              <w:jc w:val="left"/>
              <w:rPr/>
            </w:pPr>
            <w:r>
              <w:rPr/>
              <w:t>Section 12.3   Waiver of Fiduciary Duties; Corporate Opportunities</w:t>
            </w:r>
          </w:p>
        </w:tc>
        <w:tc>
          <w:tcPr>
            <w:tcW w:w="275" w:type="dxa"/>
            <w:tcBorders/>
            <w:shd w:fill="C6F4F9" w:val="clear"/>
            <w:vAlign w:val="center"/>
          </w:tcPr>
          <w:p>
            <w:pPr>
              <w:pStyle w:val="TableContents"/>
              <w:bidi w:val="0"/>
              <w:spacing w:before="0" w:after="283"/>
              <w:jc w:val="right"/>
              <w:rPr/>
            </w:pPr>
            <w:r>
              <w:rPr/>
              <w:t>42</w:t>
            </w:r>
          </w:p>
        </w:tc>
      </w:tr>
      <w:tr>
        <w:trPr/>
        <w:tc>
          <w:tcPr>
            <w:tcW w:w="6950" w:type="dxa"/>
            <w:tcBorders/>
            <w:shd w:fill="FFFFFF" w:val="clear"/>
            <w:vAlign w:val="center"/>
          </w:tcPr>
          <w:p>
            <w:pPr>
              <w:pStyle w:val="TableContents"/>
              <w:bidi w:val="0"/>
              <w:spacing w:before="0" w:after="283"/>
              <w:jc w:val="left"/>
              <w:rPr/>
            </w:pPr>
            <w:r>
              <w:rPr/>
              <w:t>Section 12.4   Confidential Information</w:t>
            </w:r>
          </w:p>
        </w:tc>
        <w:tc>
          <w:tcPr>
            <w:tcW w:w="275" w:type="dxa"/>
            <w:tcBorders/>
            <w:shd w:fill="FFFFFF" w:val="clear"/>
            <w:vAlign w:val="center"/>
          </w:tcPr>
          <w:p>
            <w:pPr>
              <w:pStyle w:val="TableContents"/>
              <w:bidi w:val="0"/>
              <w:spacing w:before="0" w:after="283"/>
              <w:jc w:val="right"/>
              <w:rPr/>
            </w:pPr>
            <w:r>
              <w:rPr/>
              <w:t>43</w:t>
            </w:r>
          </w:p>
        </w:tc>
      </w:tr>
      <w:tr>
        <w:trPr/>
        <w:tc>
          <w:tcPr>
            <w:tcW w:w="6950" w:type="dxa"/>
            <w:tcBorders/>
            <w:shd w:fill="C6F4F9" w:val="clear"/>
            <w:vAlign w:val="center"/>
          </w:tcPr>
          <w:p>
            <w:pPr>
              <w:pStyle w:val="TableContents"/>
              <w:bidi w:val="0"/>
              <w:spacing w:before="0" w:after="283"/>
              <w:jc w:val="left"/>
              <w:rPr/>
            </w:pPr>
            <w:r>
              <w:rPr/>
              <w:t>Section 12.5   Initial Public Offering; Registration Rights</w:t>
            </w:r>
          </w:p>
        </w:tc>
        <w:tc>
          <w:tcPr>
            <w:tcW w:w="275" w:type="dxa"/>
            <w:tcBorders/>
            <w:shd w:fill="C6F4F9" w:val="clear"/>
            <w:vAlign w:val="center"/>
          </w:tcPr>
          <w:p>
            <w:pPr>
              <w:pStyle w:val="TableContents"/>
              <w:bidi w:val="0"/>
              <w:spacing w:before="0" w:after="283"/>
              <w:jc w:val="right"/>
              <w:rPr/>
            </w:pPr>
            <w:r>
              <w:rPr/>
              <w:t>46</w:t>
            </w:r>
          </w:p>
        </w:tc>
      </w:tr>
      <w:tr>
        <w:trPr/>
        <w:tc>
          <w:tcPr>
            <w:tcW w:w="695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950" w:type="dxa"/>
            <w:tcBorders/>
            <w:shd w:fill="C6F4F9" w:val="clear"/>
            <w:vAlign w:val="center"/>
          </w:tcPr>
          <w:p>
            <w:pPr>
              <w:pStyle w:val="TableContents"/>
              <w:bidi w:val="0"/>
              <w:spacing w:before="0" w:after="283"/>
              <w:jc w:val="left"/>
              <w:rPr/>
            </w:pPr>
            <w:r>
              <w:rPr/>
              <w:t>Article XIII GENERAL PROVISIONS</w:t>
            </w:r>
          </w:p>
        </w:tc>
        <w:tc>
          <w:tcPr>
            <w:tcW w:w="275" w:type="dxa"/>
            <w:tcBorders/>
            <w:shd w:fill="C6F4F9" w:val="clear"/>
            <w:vAlign w:val="center"/>
          </w:tcPr>
          <w:p>
            <w:pPr>
              <w:pStyle w:val="TableContents"/>
              <w:bidi w:val="0"/>
              <w:spacing w:before="0" w:after="283"/>
              <w:jc w:val="right"/>
              <w:rPr/>
            </w:pPr>
            <w:r>
              <w:rPr/>
              <w:t>46</w:t>
            </w:r>
          </w:p>
        </w:tc>
      </w:tr>
      <w:tr>
        <w:trPr/>
        <w:tc>
          <w:tcPr>
            <w:tcW w:w="695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950" w:type="dxa"/>
            <w:tcBorders/>
            <w:shd w:fill="C6F4F9" w:val="clear"/>
            <w:vAlign w:val="center"/>
          </w:tcPr>
          <w:p>
            <w:pPr>
              <w:pStyle w:val="TableContents"/>
              <w:bidi w:val="0"/>
              <w:spacing w:before="0" w:after="283"/>
              <w:jc w:val="left"/>
              <w:rPr/>
            </w:pPr>
            <w:r>
              <w:rPr/>
              <w:t>Section 13.1   Fees and Expenses</w:t>
            </w:r>
          </w:p>
        </w:tc>
        <w:tc>
          <w:tcPr>
            <w:tcW w:w="275" w:type="dxa"/>
            <w:tcBorders/>
            <w:shd w:fill="C6F4F9" w:val="clear"/>
            <w:vAlign w:val="center"/>
          </w:tcPr>
          <w:p>
            <w:pPr>
              <w:pStyle w:val="TableContents"/>
              <w:bidi w:val="0"/>
              <w:spacing w:before="0" w:after="283"/>
              <w:jc w:val="right"/>
              <w:rPr/>
            </w:pPr>
            <w:r>
              <w:rPr/>
              <w:t>46</w:t>
            </w:r>
          </w:p>
        </w:tc>
      </w:tr>
      <w:tr>
        <w:trPr/>
        <w:tc>
          <w:tcPr>
            <w:tcW w:w="6950" w:type="dxa"/>
            <w:tcBorders/>
            <w:shd w:fill="FFFFFF" w:val="clear"/>
            <w:vAlign w:val="center"/>
          </w:tcPr>
          <w:p>
            <w:pPr>
              <w:pStyle w:val="TableContents"/>
              <w:bidi w:val="0"/>
              <w:spacing w:before="0" w:after="283"/>
              <w:jc w:val="left"/>
              <w:rPr/>
            </w:pPr>
            <w:r>
              <w:rPr/>
              <w:t>Section 13.2   Amendments and Waivers</w:t>
            </w:r>
          </w:p>
        </w:tc>
        <w:tc>
          <w:tcPr>
            <w:tcW w:w="275" w:type="dxa"/>
            <w:tcBorders/>
            <w:shd w:fill="FFFFFF" w:val="clear"/>
            <w:vAlign w:val="center"/>
          </w:tcPr>
          <w:p>
            <w:pPr>
              <w:pStyle w:val="TableContents"/>
              <w:bidi w:val="0"/>
              <w:spacing w:before="0" w:after="283"/>
              <w:jc w:val="right"/>
              <w:rPr/>
            </w:pPr>
            <w:r>
              <w:rPr/>
              <w:t>47</w:t>
            </w:r>
          </w:p>
        </w:tc>
      </w:tr>
      <w:tr>
        <w:trPr/>
        <w:tc>
          <w:tcPr>
            <w:tcW w:w="6950" w:type="dxa"/>
            <w:tcBorders/>
            <w:shd w:fill="C6F4F9" w:val="clear"/>
            <w:vAlign w:val="center"/>
          </w:tcPr>
          <w:p>
            <w:pPr>
              <w:pStyle w:val="TableContents"/>
              <w:bidi w:val="0"/>
              <w:spacing w:before="0" w:after="283"/>
              <w:jc w:val="left"/>
              <w:rPr/>
            </w:pPr>
            <w:r>
              <w:rPr/>
              <w:t>Section 13.3   Notices</w:t>
            </w:r>
          </w:p>
        </w:tc>
        <w:tc>
          <w:tcPr>
            <w:tcW w:w="275" w:type="dxa"/>
            <w:tcBorders/>
            <w:shd w:fill="C6F4F9" w:val="clear"/>
            <w:vAlign w:val="center"/>
          </w:tcPr>
          <w:p>
            <w:pPr>
              <w:pStyle w:val="TableContents"/>
              <w:bidi w:val="0"/>
              <w:spacing w:before="0" w:after="283"/>
              <w:jc w:val="right"/>
              <w:rPr/>
            </w:pPr>
            <w:r>
              <w:rPr/>
              <w:t>47</w:t>
            </w:r>
          </w:p>
        </w:tc>
      </w:tr>
      <w:tr>
        <w:trPr/>
        <w:tc>
          <w:tcPr>
            <w:tcW w:w="6950" w:type="dxa"/>
            <w:tcBorders/>
            <w:shd w:fill="FFFFFF" w:val="clear"/>
            <w:vAlign w:val="center"/>
          </w:tcPr>
          <w:p>
            <w:pPr>
              <w:pStyle w:val="TableContents"/>
              <w:bidi w:val="0"/>
              <w:spacing w:before="0" w:after="283"/>
              <w:jc w:val="left"/>
              <w:rPr/>
            </w:pPr>
            <w:r>
              <w:rPr/>
              <w:t>Section 13.4   Interpretation</w:t>
            </w:r>
          </w:p>
        </w:tc>
        <w:tc>
          <w:tcPr>
            <w:tcW w:w="275" w:type="dxa"/>
            <w:tcBorders/>
            <w:shd w:fill="FFFFFF" w:val="clear"/>
            <w:vAlign w:val="center"/>
          </w:tcPr>
          <w:p>
            <w:pPr>
              <w:pStyle w:val="TableContents"/>
              <w:bidi w:val="0"/>
              <w:spacing w:before="0" w:after="283"/>
              <w:jc w:val="right"/>
              <w:rPr/>
            </w:pPr>
            <w:r>
              <w:rPr/>
              <w:t>48</w:t>
            </w:r>
          </w:p>
        </w:tc>
      </w:tr>
      <w:tr>
        <w:trPr/>
        <w:tc>
          <w:tcPr>
            <w:tcW w:w="6950" w:type="dxa"/>
            <w:tcBorders/>
            <w:shd w:fill="C6F4F9" w:val="clear"/>
            <w:vAlign w:val="center"/>
          </w:tcPr>
          <w:p>
            <w:pPr>
              <w:pStyle w:val="TableContents"/>
              <w:bidi w:val="0"/>
              <w:spacing w:before="0" w:after="283"/>
              <w:jc w:val="left"/>
              <w:rPr/>
            </w:pPr>
            <w:r>
              <w:rPr/>
              <w:t>Section 13.5   Entire Agreement</w:t>
            </w:r>
          </w:p>
        </w:tc>
        <w:tc>
          <w:tcPr>
            <w:tcW w:w="275" w:type="dxa"/>
            <w:tcBorders/>
            <w:shd w:fill="C6F4F9" w:val="clear"/>
            <w:vAlign w:val="center"/>
          </w:tcPr>
          <w:p>
            <w:pPr>
              <w:pStyle w:val="TableContents"/>
              <w:bidi w:val="0"/>
              <w:spacing w:before="0" w:after="283"/>
              <w:jc w:val="right"/>
              <w:rPr/>
            </w:pPr>
            <w:r>
              <w:rPr/>
              <w:t>48</w:t>
            </w:r>
          </w:p>
        </w:tc>
      </w:tr>
      <w:tr>
        <w:trPr/>
        <w:tc>
          <w:tcPr>
            <w:tcW w:w="6950" w:type="dxa"/>
            <w:tcBorders/>
            <w:shd w:fill="FFFFFF" w:val="clear"/>
            <w:vAlign w:val="center"/>
          </w:tcPr>
          <w:p>
            <w:pPr>
              <w:pStyle w:val="TableContents"/>
              <w:bidi w:val="0"/>
              <w:spacing w:before="0" w:after="283"/>
              <w:jc w:val="left"/>
              <w:rPr/>
            </w:pPr>
            <w:r>
              <w:rPr/>
              <w:t>Section 13.6   No Third-Party Beneficiaries</w:t>
            </w:r>
          </w:p>
        </w:tc>
        <w:tc>
          <w:tcPr>
            <w:tcW w:w="275" w:type="dxa"/>
            <w:tcBorders/>
            <w:shd w:fill="FFFFFF" w:val="clear"/>
            <w:vAlign w:val="center"/>
          </w:tcPr>
          <w:p>
            <w:pPr>
              <w:pStyle w:val="TableContents"/>
              <w:bidi w:val="0"/>
              <w:spacing w:before="0" w:after="283"/>
              <w:jc w:val="right"/>
              <w:rPr/>
            </w:pPr>
            <w:r>
              <w:rPr/>
              <w:t>48</w:t>
            </w:r>
          </w:p>
        </w:tc>
      </w:tr>
      <w:tr>
        <w:trPr/>
        <w:tc>
          <w:tcPr>
            <w:tcW w:w="6950" w:type="dxa"/>
            <w:tcBorders/>
            <w:shd w:fill="C6F4F9" w:val="clear"/>
            <w:vAlign w:val="center"/>
          </w:tcPr>
          <w:p>
            <w:pPr>
              <w:pStyle w:val="TableContents"/>
              <w:bidi w:val="0"/>
              <w:spacing w:before="0" w:after="283"/>
              <w:jc w:val="left"/>
              <w:rPr/>
            </w:pPr>
            <w:r>
              <w:rPr/>
              <w:t>Section 13.7   Restrictions on Other Agreements</w:t>
            </w:r>
          </w:p>
        </w:tc>
        <w:tc>
          <w:tcPr>
            <w:tcW w:w="275" w:type="dxa"/>
            <w:tcBorders/>
            <w:shd w:fill="C6F4F9" w:val="clear"/>
            <w:vAlign w:val="center"/>
          </w:tcPr>
          <w:p>
            <w:pPr>
              <w:pStyle w:val="TableContents"/>
              <w:bidi w:val="0"/>
              <w:spacing w:before="0" w:after="283"/>
              <w:jc w:val="right"/>
              <w:rPr/>
            </w:pPr>
            <w:r>
              <w:rPr/>
              <w:t>49</w:t>
            </w:r>
          </w:p>
        </w:tc>
      </w:tr>
      <w:tr>
        <w:trPr/>
        <w:tc>
          <w:tcPr>
            <w:tcW w:w="6950" w:type="dxa"/>
            <w:tcBorders/>
            <w:shd w:fill="FFFFFF" w:val="clear"/>
            <w:vAlign w:val="center"/>
          </w:tcPr>
          <w:p>
            <w:pPr>
              <w:pStyle w:val="TableContents"/>
              <w:bidi w:val="0"/>
              <w:spacing w:before="0" w:after="283"/>
              <w:jc w:val="left"/>
              <w:rPr/>
            </w:pPr>
            <w:r>
              <w:rPr/>
              <w:t>Section 13.8   Governing Law</w:t>
            </w:r>
          </w:p>
        </w:tc>
        <w:tc>
          <w:tcPr>
            <w:tcW w:w="275" w:type="dxa"/>
            <w:tcBorders/>
            <w:shd w:fill="FFFFFF" w:val="clear"/>
            <w:vAlign w:val="center"/>
          </w:tcPr>
          <w:p>
            <w:pPr>
              <w:pStyle w:val="TableContents"/>
              <w:bidi w:val="0"/>
              <w:spacing w:before="0" w:after="283"/>
              <w:jc w:val="right"/>
              <w:rPr/>
            </w:pPr>
            <w:r>
              <w:rPr/>
              <w:t>49</w:t>
            </w:r>
          </w:p>
        </w:tc>
      </w:tr>
      <w:tr>
        <w:trPr/>
        <w:tc>
          <w:tcPr>
            <w:tcW w:w="6950" w:type="dxa"/>
            <w:tcBorders/>
            <w:shd w:fill="C6F4F9" w:val="clear"/>
            <w:vAlign w:val="center"/>
          </w:tcPr>
          <w:p>
            <w:pPr>
              <w:pStyle w:val="TableContents"/>
              <w:bidi w:val="0"/>
              <w:spacing w:before="0" w:after="283"/>
              <w:jc w:val="left"/>
              <w:rPr/>
            </w:pPr>
            <w:r>
              <w:rPr/>
              <w:t>Section 13.9   Dispute Resolution</w:t>
            </w:r>
          </w:p>
        </w:tc>
        <w:tc>
          <w:tcPr>
            <w:tcW w:w="275" w:type="dxa"/>
            <w:tcBorders/>
            <w:shd w:fill="C6F4F9" w:val="clear"/>
            <w:vAlign w:val="center"/>
          </w:tcPr>
          <w:p>
            <w:pPr>
              <w:pStyle w:val="TableContents"/>
              <w:bidi w:val="0"/>
              <w:spacing w:before="0" w:after="283"/>
              <w:jc w:val="right"/>
              <w:rPr/>
            </w:pPr>
            <w:r>
              <w:rPr/>
              <w:t>49</w:t>
            </w:r>
          </w:p>
        </w:tc>
      </w:tr>
      <w:tr>
        <w:trPr/>
        <w:tc>
          <w:tcPr>
            <w:tcW w:w="6950" w:type="dxa"/>
            <w:tcBorders/>
            <w:shd w:fill="FFFFFF" w:val="clear"/>
            <w:vAlign w:val="center"/>
          </w:tcPr>
          <w:p>
            <w:pPr>
              <w:pStyle w:val="TableContents"/>
              <w:bidi w:val="0"/>
              <w:spacing w:before="0" w:after="283"/>
              <w:jc w:val="left"/>
              <w:rPr/>
            </w:pPr>
            <w:r>
              <w:rPr/>
              <w:t>Section 13.10   Successors, Assigns and Transferees</w:t>
            </w:r>
          </w:p>
        </w:tc>
        <w:tc>
          <w:tcPr>
            <w:tcW w:w="275" w:type="dxa"/>
            <w:tcBorders/>
            <w:shd w:fill="FFFFFF" w:val="clear"/>
            <w:vAlign w:val="center"/>
          </w:tcPr>
          <w:p>
            <w:pPr>
              <w:pStyle w:val="TableContents"/>
              <w:bidi w:val="0"/>
              <w:spacing w:before="0" w:after="283"/>
              <w:jc w:val="right"/>
              <w:rPr/>
            </w:pPr>
            <w:r>
              <w:rPr/>
              <w:t>49</w:t>
            </w:r>
          </w:p>
        </w:tc>
      </w:tr>
      <w:tr>
        <w:trPr/>
        <w:tc>
          <w:tcPr>
            <w:tcW w:w="6950" w:type="dxa"/>
            <w:tcBorders/>
            <w:shd w:fill="C6F4F9" w:val="clear"/>
            <w:vAlign w:val="center"/>
          </w:tcPr>
          <w:p>
            <w:pPr>
              <w:pStyle w:val="TableContents"/>
              <w:bidi w:val="0"/>
              <w:spacing w:before="0" w:after="283"/>
              <w:jc w:val="left"/>
              <w:rPr/>
            </w:pPr>
            <w:r>
              <w:rPr/>
              <w:t>Section 13.11   Enforcement</w:t>
            </w:r>
          </w:p>
        </w:tc>
        <w:tc>
          <w:tcPr>
            <w:tcW w:w="275" w:type="dxa"/>
            <w:tcBorders/>
            <w:shd w:fill="C6F4F9" w:val="clear"/>
            <w:vAlign w:val="center"/>
          </w:tcPr>
          <w:p>
            <w:pPr>
              <w:pStyle w:val="TableContents"/>
              <w:bidi w:val="0"/>
              <w:spacing w:before="0" w:after="283"/>
              <w:jc w:val="right"/>
              <w:rPr/>
            </w:pPr>
            <w:r>
              <w:rPr/>
              <w:t>49</w:t>
            </w:r>
          </w:p>
        </w:tc>
      </w:tr>
      <w:tr>
        <w:trPr/>
        <w:tc>
          <w:tcPr>
            <w:tcW w:w="6950" w:type="dxa"/>
            <w:tcBorders/>
            <w:shd w:fill="FFFFFF" w:val="clear"/>
            <w:vAlign w:val="center"/>
          </w:tcPr>
          <w:p>
            <w:pPr>
              <w:pStyle w:val="TableContents"/>
              <w:bidi w:val="0"/>
              <w:spacing w:before="0" w:after="283"/>
              <w:jc w:val="left"/>
              <w:rPr/>
            </w:pPr>
            <w:r>
              <w:rPr/>
              <w:t>Section 13.12   Currency</w:t>
            </w:r>
          </w:p>
        </w:tc>
        <w:tc>
          <w:tcPr>
            <w:tcW w:w="275" w:type="dxa"/>
            <w:tcBorders/>
            <w:shd w:fill="FFFFFF" w:val="clear"/>
            <w:vAlign w:val="center"/>
          </w:tcPr>
          <w:p>
            <w:pPr>
              <w:pStyle w:val="TableContents"/>
              <w:bidi w:val="0"/>
              <w:spacing w:before="0" w:after="283"/>
              <w:jc w:val="right"/>
              <w:rPr/>
            </w:pPr>
            <w:r>
              <w:rPr/>
              <w:t>50</w:t>
            </w:r>
          </w:p>
        </w:tc>
      </w:tr>
      <w:tr>
        <w:trPr/>
        <w:tc>
          <w:tcPr>
            <w:tcW w:w="6950" w:type="dxa"/>
            <w:tcBorders/>
            <w:shd w:fill="C6F4F9" w:val="clear"/>
            <w:vAlign w:val="center"/>
          </w:tcPr>
          <w:p>
            <w:pPr>
              <w:pStyle w:val="TableContents"/>
              <w:bidi w:val="0"/>
              <w:spacing w:before="0" w:after="283"/>
              <w:jc w:val="left"/>
              <w:rPr/>
            </w:pPr>
            <w:r>
              <w:rPr/>
              <w:t>Section 13.13   Severability</w:t>
            </w:r>
          </w:p>
        </w:tc>
        <w:tc>
          <w:tcPr>
            <w:tcW w:w="275" w:type="dxa"/>
            <w:tcBorders/>
            <w:shd w:fill="C6F4F9" w:val="clear"/>
            <w:vAlign w:val="center"/>
          </w:tcPr>
          <w:p>
            <w:pPr>
              <w:pStyle w:val="TableContents"/>
              <w:bidi w:val="0"/>
              <w:spacing w:before="0" w:after="283"/>
              <w:jc w:val="right"/>
              <w:rPr/>
            </w:pPr>
            <w:r>
              <w:rPr/>
              <w:t>50</w:t>
            </w:r>
          </w:p>
        </w:tc>
      </w:tr>
    </w:tbl>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24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283"/>
        <w:jc w:val="left"/>
        <w:rPr/>
      </w:pPr>
      <w:r>
        <w:rPr/>
        <w:t> </w:t>
      </w:r>
    </w:p>
    <w:tbl>
      <w:tblPr>
        <w:tblW w:w="7150" w:type="dxa"/>
        <w:jc w:val="left"/>
        <w:tblInd w:w="0" w:type="dxa"/>
        <w:tblLayout w:type="fixed"/>
        <w:tblCellMar>
          <w:top w:w="0" w:type="dxa"/>
          <w:left w:w="0" w:type="dxa"/>
          <w:bottom w:w="0" w:type="dxa"/>
          <w:right w:w="0" w:type="dxa"/>
        </w:tblCellMar>
      </w:tblPr>
      <w:tblGrid>
        <w:gridCol w:w="6875"/>
        <w:gridCol w:w="275"/>
      </w:tblGrid>
      <w:tr>
        <w:trPr/>
        <w:tc>
          <w:tcPr>
            <w:tcW w:w="6875" w:type="dxa"/>
            <w:tcBorders/>
            <w:shd w:fill="C6F4F9" w:val="clear"/>
            <w:vAlign w:val="center"/>
          </w:tcPr>
          <w:p>
            <w:pPr>
              <w:pStyle w:val="TableContents"/>
              <w:bidi w:val="0"/>
              <w:spacing w:before="0" w:after="283"/>
              <w:jc w:val="left"/>
              <w:rPr/>
            </w:pPr>
            <w:r>
              <w:rPr/>
              <w:t>Section 13.14   Counterparts</w:t>
            </w:r>
          </w:p>
        </w:tc>
        <w:tc>
          <w:tcPr>
            <w:tcW w:w="275" w:type="dxa"/>
            <w:tcBorders/>
            <w:shd w:fill="C6F4F9" w:val="clear"/>
            <w:vAlign w:val="center"/>
          </w:tcPr>
          <w:p>
            <w:pPr>
              <w:pStyle w:val="TableContents"/>
              <w:bidi w:val="0"/>
              <w:spacing w:before="0" w:after="283"/>
              <w:jc w:val="right"/>
              <w:rPr/>
            </w:pPr>
            <w:r>
              <w:rPr/>
              <w:t>50</w:t>
            </w:r>
          </w:p>
        </w:tc>
      </w:tr>
      <w:tr>
        <w:trPr/>
        <w:tc>
          <w:tcPr>
            <w:tcW w:w="6875" w:type="dxa"/>
            <w:tcBorders/>
            <w:shd w:fill="FFFFFF" w:val="clear"/>
            <w:vAlign w:val="center"/>
          </w:tcPr>
          <w:p>
            <w:pPr>
              <w:pStyle w:val="TableContents"/>
              <w:bidi w:val="0"/>
              <w:spacing w:before="0" w:after="283"/>
              <w:jc w:val="left"/>
              <w:rPr/>
            </w:pPr>
            <w:r>
              <w:rPr/>
              <w:t>Section 13.15   Electronic Signature</w:t>
            </w:r>
          </w:p>
        </w:tc>
        <w:tc>
          <w:tcPr>
            <w:tcW w:w="275" w:type="dxa"/>
            <w:tcBorders/>
            <w:shd w:fill="FFFFFF" w:val="clear"/>
            <w:vAlign w:val="center"/>
          </w:tcPr>
          <w:p>
            <w:pPr>
              <w:pStyle w:val="TableContents"/>
              <w:bidi w:val="0"/>
              <w:spacing w:before="0" w:after="283"/>
              <w:jc w:val="right"/>
              <w:rPr/>
            </w:pPr>
            <w:r>
              <w:rPr/>
              <w:t>50</w:t>
            </w:r>
          </w:p>
        </w:tc>
      </w:tr>
      <w:tr>
        <w:trPr/>
        <w:tc>
          <w:tcPr>
            <w:tcW w:w="6875" w:type="dxa"/>
            <w:tcBorders/>
            <w:shd w:fill="C6F4F9" w:val="clear"/>
            <w:vAlign w:val="center"/>
          </w:tcPr>
          <w:p>
            <w:pPr>
              <w:pStyle w:val="TableContents"/>
              <w:bidi w:val="0"/>
              <w:spacing w:before="0" w:after="283"/>
              <w:jc w:val="left"/>
              <w:rPr/>
            </w:pPr>
            <w:r>
              <w:rPr/>
              <w:t>Section 13.16   No Presumption Against Drafting Party</w:t>
            </w:r>
          </w:p>
        </w:tc>
        <w:tc>
          <w:tcPr>
            <w:tcW w:w="275" w:type="dxa"/>
            <w:tcBorders/>
            <w:shd w:fill="C6F4F9" w:val="clear"/>
            <w:vAlign w:val="center"/>
          </w:tcPr>
          <w:p>
            <w:pPr>
              <w:pStyle w:val="TableContents"/>
              <w:bidi w:val="0"/>
              <w:spacing w:before="0" w:after="283"/>
              <w:jc w:val="right"/>
              <w:rPr/>
            </w:pPr>
            <w:r>
              <w:rPr/>
              <w:t>50</w:t>
            </w:r>
          </w:p>
        </w:tc>
      </w:tr>
      <w:tr>
        <w:trPr/>
        <w:tc>
          <w:tcPr>
            <w:tcW w:w="6875" w:type="dxa"/>
            <w:tcBorders/>
            <w:shd w:fill="FFFFFF" w:val="clear"/>
            <w:vAlign w:val="center"/>
          </w:tcPr>
          <w:p>
            <w:pPr>
              <w:pStyle w:val="TableContents"/>
              <w:bidi w:val="0"/>
              <w:spacing w:before="0" w:after="283"/>
              <w:jc w:val="left"/>
              <w:rPr/>
            </w:pPr>
            <w:r>
              <w:rPr/>
              <w:t>Section 13.17   No Recourse</w:t>
            </w:r>
          </w:p>
        </w:tc>
        <w:tc>
          <w:tcPr>
            <w:tcW w:w="275" w:type="dxa"/>
            <w:tcBorders/>
            <w:shd w:fill="FFFFFF" w:val="clear"/>
            <w:vAlign w:val="center"/>
          </w:tcPr>
          <w:p>
            <w:pPr>
              <w:pStyle w:val="TableContents"/>
              <w:bidi w:val="0"/>
              <w:spacing w:before="0" w:after="283"/>
              <w:jc w:val="right"/>
              <w:rPr/>
            </w:pPr>
            <w:r>
              <w:rPr/>
              <w:t>50</w:t>
            </w:r>
          </w:p>
        </w:tc>
      </w:tr>
      <w:tr>
        <w:trPr/>
        <w:tc>
          <w:tcPr>
            <w:tcW w:w="6875"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875" w:type="dxa"/>
            <w:tcBorders/>
            <w:shd w:fill="FFFFFF" w:val="clear"/>
            <w:vAlign w:val="center"/>
          </w:tcPr>
          <w:p>
            <w:pPr>
              <w:pStyle w:val="TableContents"/>
              <w:bidi w:val="0"/>
              <w:spacing w:before="0" w:after="283"/>
              <w:jc w:val="left"/>
              <w:rPr/>
            </w:pPr>
            <w:r>
              <w:rPr/>
              <w:t>TAX ANNEX</w:t>
            </w:r>
          </w:p>
        </w:tc>
        <w:tc>
          <w:tcPr>
            <w:tcW w:w="275" w:type="dxa"/>
            <w:tcBorders/>
            <w:shd w:fill="FFFFFF" w:val="clear"/>
            <w:vAlign w:val="center"/>
          </w:tcPr>
          <w:p>
            <w:pPr>
              <w:pStyle w:val="TableContents"/>
              <w:bidi w:val="0"/>
              <w:spacing w:before="0" w:after="283"/>
              <w:jc w:val="right"/>
              <w:rPr/>
            </w:pPr>
            <w:r>
              <w:rPr/>
              <w:t>1</w:t>
            </w:r>
          </w:p>
        </w:tc>
      </w:tr>
      <w:tr>
        <w:trPr/>
        <w:tc>
          <w:tcPr>
            <w:tcW w:w="6875"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875" w:type="dxa"/>
            <w:tcBorders/>
            <w:shd w:fill="FFFFFF" w:val="clear"/>
            <w:vAlign w:val="center"/>
          </w:tcPr>
          <w:p>
            <w:pPr>
              <w:pStyle w:val="TableContents"/>
              <w:bidi w:val="0"/>
              <w:spacing w:before="0" w:after="283"/>
              <w:jc w:val="left"/>
              <w:rPr/>
            </w:pPr>
            <w:r>
              <w:rPr/>
              <w:t>Article I TAX ANNEX; INTERPRETATION</w:t>
            </w:r>
          </w:p>
        </w:tc>
        <w:tc>
          <w:tcPr>
            <w:tcW w:w="275" w:type="dxa"/>
            <w:tcBorders/>
            <w:shd w:fill="FFFFFF" w:val="clear"/>
            <w:vAlign w:val="center"/>
          </w:tcPr>
          <w:p>
            <w:pPr>
              <w:pStyle w:val="TableContents"/>
              <w:bidi w:val="0"/>
              <w:spacing w:before="0" w:after="283"/>
              <w:jc w:val="right"/>
              <w:rPr/>
            </w:pPr>
            <w:r>
              <w:rPr/>
              <w:t>1</w:t>
            </w:r>
          </w:p>
        </w:tc>
      </w:tr>
      <w:tr>
        <w:trPr/>
        <w:tc>
          <w:tcPr>
            <w:tcW w:w="6875"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875" w:type="dxa"/>
            <w:tcBorders/>
            <w:shd w:fill="FFFFFF" w:val="clear"/>
            <w:vAlign w:val="center"/>
          </w:tcPr>
          <w:p>
            <w:pPr>
              <w:pStyle w:val="TableContents"/>
              <w:bidi w:val="0"/>
              <w:spacing w:before="0" w:after="283"/>
              <w:jc w:val="left"/>
              <w:rPr/>
            </w:pPr>
            <w:r>
              <w:rPr/>
              <w:t>Section 1.1   Partnership Agreement</w:t>
            </w:r>
          </w:p>
        </w:tc>
        <w:tc>
          <w:tcPr>
            <w:tcW w:w="275" w:type="dxa"/>
            <w:tcBorders/>
            <w:shd w:fill="FFFFFF" w:val="clear"/>
            <w:vAlign w:val="center"/>
          </w:tcPr>
          <w:p>
            <w:pPr>
              <w:pStyle w:val="TableContents"/>
              <w:bidi w:val="0"/>
              <w:spacing w:before="0" w:after="283"/>
              <w:jc w:val="right"/>
              <w:rPr/>
            </w:pPr>
            <w:r>
              <w:rPr/>
              <w:t>1</w:t>
            </w:r>
          </w:p>
        </w:tc>
      </w:tr>
      <w:tr>
        <w:trPr/>
        <w:tc>
          <w:tcPr>
            <w:tcW w:w="6875" w:type="dxa"/>
            <w:tcBorders/>
            <w:shd w:fill="C6F4F9" w:val="clear"/>
            <w:vAlign w:val="center"/>
          </w:tcPr>
          <w:p>
            <w:pPr>
              <w:pStyle w:val="TableContents"/>
              <w:bidi w:val="0"/>
              <w:spacing w:before="0" w:after="283"/>
              <w:jc w:val="left"/>
              <w:rPr/>
            </w:pPr>
            <w:r>
              <w:rPr/>
              <w:t>Section 1.2   Interpretation</w:t>
            </w:r>
          </w:p>
        </w:tc>
        <w:tc>
          <w:tcPr>
            <w:tcW w:w="275" w:type="dxa"/>
            <w:tcBorders/>
            <w:shd w:fill="C6F4F9" w:val="clear"/>
            <w:vAlign w:val="center"/>
          </w:tcPr>
          <w:p>
            <w:pPr>
              <w:pStyle w:val="TableContents"/>
              <w:bidi w:val="0"/>
              <w:spacing w:before="0" w:after="283"/>
              <w:jc w:val="right"/>
              <w:rPr/>
            </w:pPr>
            <w:r>
              <w:rPr/>
              <w:t>1</w:t>
            </w:r>
          </w:p>
        </w:tc>
      </w:tr>
      <w:tr>
        <w:trPr/>
        <w:tc>
          <w:tcPr>
            <w:tcW w:w="68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875" w:type="dxa"/>
            <w:tcBorders/>
            <w:shd w:fill="C6F4F9" w:val="clear"/>
            <w:vAlign w:val="center"/>
          </w:tcPr>
          <w:p>
            <w:pPr>
              <w:pStyle w:val="TableContents"/>
              <w:bidi w:val="0"/>
              <w:spacing w:before="0" w:after="283"/>
              <w:jc w:val="left"/>
              <w:rPr/>
            </w:pPr>
            <w:r>
              <w:rPr/>
              <w:t>Article II TAX-RELATED GOVERNANCE MATTERS</w:t>
            </w:r>
          </w:p>
        </w:tc>
        <w:tc>
          <w:tcPr>
            <w:tcW w:w="275" w:type="dxa"/>
            <w:tcBorders/>
            <w:shd w:fill="C6F4F9" w:val="clear"/>
            <w:vAlign w:val="center"/>
          </w:tcPr>
          <w:p>
            <w:pPr>
              <w:pStyle w:val="TableContents"/>
              <w:bidi w:val="0"/>
              <w:spacing w:before="0" w:after="283"/>
              <w:jc w:val="right"/>
              <w:rPr/>
            </w:pPr>
            <w:r>
              <w:rPr/>
              <w:t>1</w:t>
            </w:r>
          </w:p>
        </w:tc>
      </w:tr>
      <w:tr>
        <w:trPr/>
        <w:tc>
          <w:tcPr>
            <w:tcW w:w="68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875" w:type="dxa"/>
            <w:tcBorders/>
            <w:shd w:fill="C6F4F9" w:val="clear"/>
            <w:vAlign w:val="center"/>
          </w:tcPr>
          <w:p>
            <w:pPr>
              <w:pStyle w:val="TableContents"/>
              <w:bidi w:val="0"/>
              <w:spacing w:before="0" w:after="283"/>
              <w:jc w:val="left"/>
              <w:rPr/>
            </w:pPr>
            <w:r>
              <w:rPr/>
              <w:t>Section 2.1   Tax Actions</w:t>
            </w:r>
          </w:p>
        </w:tc>
        <w:tc>
          <w:tcPr>
            <w:tcW w:w="275" w:type="dxa"/>
            <w:tcBorders/>
            <w:shd w:fill="C6F4F9" w:val="clear"/>
            <w:vAlign w:val="center"/>
          </w:tcPr>
          <w:p>
            <w:pPr>
              <w:pStyle w:val="TableContents"/>
              <w:bidi w:val="0"/>
              <w:spacing w:before="0" w:after="283"/>
              <w:jc w:val="right"/>
              <w:rPr/>
            </w:pPr>
            <w:r>
              <w:rPr/>
              <w:t>1</w:t>
            </w:r>
          </w:p>
        </w:tc>
      </w:tr>
      <w:tr>
        <w:trPr/>
        <w:tc>
          <w:tcPr>
            <w:tcW w:w="6875" w:type="dxa"/>
            <w:tcBorders/>
            <w:shd w:fill="FFFFFF" w:val="clear"/>
            <w:vAlign w:val="center"/>
          </w:tcPr>
          <w:p>
            <w:pPr>
              <w:pStyle w:val="TableContents"/>
              <w:bidi w:val="0"/>
              <w:spacing w:before="0" w:after="283"/>
              <w:jc w:val="left"/>
              <w:rPr/>
            </w:pPr>
            <w:r>
              <w:rPr/>
              <w:t>Section 2.2   No Independent Actions or Inconsistent Positions</w:t>
            </w:r>
          </w:p>
        </w:tc>
        <w:tc>
          <w:tcPr>
            <w:tcW w:w="275" w:type="dxa"/>
            <w:tcBorders/>
            <w:shd w:fill="FFFFFF" w:val="clear"/>
            <w:vAlign w:val="center"/>
          </w:tcPr>
          <w:p>
            <w:pPr>
              <w:pStyle w:val="TableContents"/>
              <w:bidi w:val="0"/>
              <w:spacing w:before="0" w:after="283"/>
              <w:jc w:val="right"/>
              <w:rPr/>
            </w:pPr>
            <w:r>
              <w:rPr/>
              <w:t>1</w:t>
            </w:r>
          </w:p>
        </w:tc>
      </w:tr>
      <w:tr>
        <w:trPr/>
        <w:tc>
          <w:tcPr>
            <w:tcW w:w="6875" w:type="dxa"/>
            <w:tcBorders/>
            <w:shd w:fill="C6F4F9" w:val="clear"/>
            <w:vAlign w:val="center"/>
          </w:tcPr>
          <w:p>
            <w:pPr>
              <w:pStyle w:val="TableContents"/>
              <w:bidi w:val="0"/>
              <w:spacing w:before="0" w:after="283"/>
              <w:jc w:val="left"/>
              <w:rPr/>
            </w:pPr>
            <w:r>
              <w:rPr/>
              <w:t>Section 2.3   Other Tax Laws</w:t>
            </w:r>
          </w:p>
        </w:tc>
        <w:tc>
          <w:tcPr>
            <w:tcW w:w="275" w:type="dxa"/>
            <w:tcBorders/>
            <w:shd w:fill="C6F4F9" w:val="clear"/>
            <w:vAlign w:val="center"/>
          </w:tcPr>
          <w:p>
            <w:pPr>
              <w:pStyle w:val="TableContents"/>
              <w:bidi w:val="0"/>
              <w:spacing w:before="0" w:after="283"/>
              <w:jc w:val="right"/>
              <w:rPr/>
            </w:pPr>
            <w:r>
              <w:rPr/>
              <w:t>1</w:t>
            </w:r>
          </w:p>
        </w:tc>
      </w:tr>
      <w:tr>
        <w:trPr/>
        <w:tc>
          <w:tcPr>
            <w:tcW w:w="6875" w:type="dxa"/>
            <w:tcBorders/>
            <w:shd w:fill="FFFFFF" w:val="clear"/>
            <w:vAlign w:val="center"/>
          </w:tcPr>
          <w:p>
            <w:pPr>
              <w:pStyle w:val="TableContents"/>
              <w:bidi w:val="0"/>
              <w:spacing w:before="0" w:after="283"/>
              <w:jc w:val="left"/>
              <w:rPr/>
            </w:pPr>
            <w:r>
              <w:rPr/>
              <w:t>Section 2.4   No Deficit Restoration Obligation</w:t>
            </w:r>
          </w:p>
        </w:tc>
        <w:tc>
          <w:tcPr>
            <w:tcW w:w="275" w:type="dxa"/>
            <w:tcBorders/>
            <w:shd w:fill="FFFFFF" w:val="clear"/>
            <w:vAlign w:val="center"/>
          </w:tcPr>
          <w:p>
            <w:pPr>
              <w:pStyle w:val="TableContents"/>
              <w:bidi w:val="0"/>
              <w:spacing w:before="0" w:after="283"/>
              <w:jc w:val="right"/>
              <w:rPr/>
            </w:pPr>
            <w:r>
              <w:rPr/>
              <w:t>1</w:t>
            </w:r>
          </w:p>
        </w:tc>
      </w:tr>
      <w:tr>
        <w:trPr/>
        <w:tc>
          <w:tcPr>
            <w:tcW w:w="6875"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875" w:type="dxa"/>
            <w:tcBorders/>
            <w:shd w:fill="FFFFFF" w:val="clear"/>
            <w:vAlign w:val="center"/>
          </w:tcPr>
          <w:p>
            <w:pPr>
              <w:pStyle w:val="TableContents"/>
              <w:bidi w:val="0"/>
              <w:spacing w:before="0" w:after="283"/>
              <w:jc w:val="left"/>
              <w:rPr/>
            </w:pPr>
            <w:r>
              <w:rPr/>
              <w:t>Article III ALLOCATIONS AND CAPITAL ACCOUNTS</w:t>
            </w:r>
          </w:p>
        </w:tc>
        <w:tc>
          <w:tcPr>
            <w:tcW w:w="275" w:type="dxa"/>
            <w:tcBorders/>
            <w:shd w:fill="FFFFFF" w:val="clear"/>
            <w:vAlign w:val="center"/>
          </w:tcPr>
          <w:p>
            <w:pPr>
              <w:pStyle w:val="TableContents"/>
              <w:bidi w:val="0"/>
              <w:spacing w:before="0" w:after="283"/>
              <w:jc w:val="right"/>
              <w:rPr/>
            </w:pPr>
            <w:r>
              <w:rPr/>
              <w:t>1</w:t>
            </w:r>
          </w:p>
        </w:tc>
      </w:tr>
      <w:tr>
        <w:trPr/>
        <w:tc>
          <w:tcPr>
            <w:tcW w:w="6875"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right"/>
              <w:rPr/>
            </w:pPr>
            <w:r>
              <w:rPr/>
              <w:t> </w:t>
            </w:r>
          </w:p>
        </w:tc>
      </w:tr>
      <w:tr>
        <w:trPr/>
        <w:tc>
          <w:tcPr>
            <w:tcW w:w="6875" w:type="dxa"/>
            <w:tcBorders/>
            <w:shd w:fill="FFFFFF" w:val="clear"/>
            <w:vAlign w:val="center"/>
          </w:tcPr>
          <w:p>
            <w:pPr>
              <w:pStyle w:val="TableContents"/>
              <w:bidi w:val="0"/>
              <w:spacing w:before="0" w:after="283"/>
              <w:jc w:val="left"/>
              <w:rPr/>
            </w:pPr>
            <w:r>
              <w:rPr/>
              <w:t>Section 3.1   Allocations</w:t>
            </w:r>
          </w:p>
        </w:tc>
        <w:tc>
          <w:tcPr>
            <w:tcW w:w="275" w:type="dxa"/>
            <w:tcBorders/>
            <w:shd w:fill="FFFFFF" w:val="clear"/>
            <w:vAlign w:val="center"/>
          </w:tcPr>
          <w:p>
            <w:pPr>
              <w:pStyle w:val="TableContents"/>
              <w:bidi w:val="0"/>
              <w:spacing w:before="0" w:after="283"/>
              <w:jc w:val="right"/>
              <w:rPr/>
            </w:pPr>
            <w:r>
              <w:rPr/>
              <w:t>1</w:t>
            </w:r>
          </w:p>
        </w:tc>
      </w:tr>
      <w:tr>
        <w:trPr/>
        <w:tc>
          <w:tcPr>
            <w:tcW w:w="6875" w:type="dxa"/>
            <w:tcBorders/>
            <w:shd w:fill="C6F4F9" w:val="clear"/>
            <w:vAlign w:val="center"/>
          </w:tcPr>
          <w:p>
            <w:pPr>
              <w:pStyle w:val="TableContents"/>
              <w:bidi w:val="0"/>
              <w:spacing w:before="0" w:after="283"/>
              <w:jc w:val="left"/>
              <w:rPr/>
            </w:pPr>
            <w:r>
              <w:rPr/>
              <w:t>Section 3.2   Priority Allocations</w:t>
            </w:r>
          </w:p>
        </w:tc>
        <w:tc>
          <w:tcPr>
            <w:tcW w:w="275" w:type="dxa"/>
            <w:tcBorders/>
            <w:shd w:fill="C6F4F9" w:val="clear"/>
            <w:vAlign w:val="center"/>
          </w:tcPr>
          <w:p>
            <w:pPr>
              <w:pStyle w:val="TableContents"/>
              <w:bidi w:val="0"/>
              <w:spacing w:before="0" w:after="283"/>
              <w:jc w:val="right"/>
              <w:rPr/>
            </w:pPr>
            <w:r>
              <w:rPr/>
              <w:t>2</w:t>
            </w:r>
          </w:p>
        </w:tc>
      </w:tr>
      <w:tr>
        <w:trPr/>
        <w:tc>
          <w:tcPr>
            <w:tcW w:w="6875" w:type="dxa"/>
            <w:tcBorders/>
            <w:shd w:fill="FFFFFF" w:val="clear"/>
            <w:vAlign w:val="center"/>
          </w:tcPr>
          <w:p>
            <w:pPr>
              <w:pStyle w:val="TableContents"/>
              <w:bidi w:val="0"/>
              <w:spacing w:before="0" w:after="283"/>
              <w:jc w:val="left"/>
              <w:rPr/>
            </w:pPr>
            <w:r>
              <w:rPr/>
              <w:t>Section 3.3   Other Allocation Rules</w:t>
            </w:r>
          </w:p>
        </w:tc>
        <w:tc>
          <w:tcPr>
            <w:tcW w:w="275" w:type="dxa"/>
            <w:tcBorders/>
            <w:shd w:fill="FFFFFF" w:val="clear"/>
            <w:vAlign w:val="center"/>
          </w:tcPr>
          <w:p>
            <w:pPr>
              <w:pStyle w:val="TableContents"/>
              <w:bidi w:val="0"/>
              <w:spacing w:before="0" w:after="283"/>
              <w:jc w:val="right"/>
              <w:rPr/>
            </w:pPr>
            <w:r>
              <w:rPr/>
              <w:t>3</w:t>
            </w:r>
          </w:p>
        </w:tc>
      </w:tr>
      <w:tr>
        <w:trPr/>
        <w:tc>
          <w:tcPr>
            <w:tcW w:w="6875" w:type="dxa"/>
            <w:tcBorders/>
            <w:shd w:fill="C6F4F9" w:val="clear"/>
            <w:vAlign w:val="center"/>
          </w:tcPr>
          <w:p>
            <w:pPr>
              <w:pStyle w:val="TableContents"/>
              <w:bidi w:val="0"/>
              <w:spacing w:before="0" w:after="283"/>
              <w:jc w:val="left"/>
              <w:rPr/>
            </w:pPr>
            <w:r>
              <w:rPr/>
              <w:t>Section 3.4   Capital Accounts</w:t>
            </w:r>
          </w:p>
        </w:tc>
        <w:tc>
          <w:tcPr>
            <w:tcW w:w="275" w:type="dxa"/>
            <w:tcBorders/>
            <w:shd w:fill="C6F4F9" w:val="clear"/>
            <w:vAlign w:val="center"/>
          </w:tcPr>
          <w:p>
            <w:pPr>
              <w:pStyle w:val="TableContents"/>
              <w:bidi w:val="0"/>
              <w:spacing w:before="0" w:after="283"/>
              <w:jc w:val="right"/>
              <w:rPr/>
            </w:pPr>
            <w:r>
              <w:rPr/>
              <w:t>4</w:t>
            </w:r>
          </w:p>
        </w:tc>
      </w:tr>
      <w:tr>
        <w:trPr/>
        <w:tc>
          <w:tcPr>
            <w:tcW w:w="68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875" w:type="dxa"/>
            <w:tcBorders/>
            <w:shd w:fill="C6F4F9" w:val="clear"/>
            <w:vAlign w:val="center"/>
          </w:tcPr>
          <w:p>
            <w:pPr>
              <w:pStyle w:val="TableContents"/>
              <w:bidi w:val="0"/>
              <w:spacing w:before="0" w:after="283"/>
              <w:jc w:val="left"/>
              <w:rPr/>
            </w:pPr>
            <w:r>
              <w:rPr/>
              <w:t>Article IV TAX RETURNS; INFORMATION; AUDITS</w:t>
            </w:r>
          </w:p>
        </w:tc>
        <w:tc>
          <w:tcPr>
            <w:tcW w:w="275" w:type="dxa"/>
            <w:tcBorders/>
            <w:shd w:fill="C6F4F9" w:val="clear"/>
            <w:vAlign w:val="center"/>
          </w:tcPr>
          <w:p>
            <w:pPr>
              <w:pStyle w:val="TableContents"/>
              <w:bidi w:val="0"/>
              <w:spacing w:before="0" w:after="283"/>
              <w:jc w:val="right"/>
              <w:rPr/>
            </w:pPr>
            <w:r>
              <w:rPr/>
              <w:t>4</w:t>
            </w:r>
          </w:p>
        </w:tc>
      </w:tr>
      <w:tr>
        <w:trPr/>
        <w:tc>
          <w:tcPr>
            <w:tcW w:w="68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875" w:type="dxa"/>
            <w:tcBorders/>
            <w:shd w:fill="C6F4F9" w:val="clear"/>
            <w:vAlign w:val="center"/>
          </w:tcPr>
          <w:p>
            <w:pPr>
              <w:pStyle w:val="TableContents"/>
              <w:bidi w:val="0"/>
              <w:spacing w:before="0" w:after="283"/>
              <w:jc w:val="left"/>
              <w:rPr/>
            </w:pPr>
            <w:r>
              <w:rPr/>
              <w:t>Section 4.1   Company Tax Returns</w:t>
            </w:r>
          </w:p>
        </w:tc>
        <w:tc>
          <w:tcPr>
            <w:tcW w:w="275" w:type="dxa"/>
            <w:tcBorders/>
            <w:shd w:fill="C6F4F9" w:val="clear"/>
            <w:vAlign w:val="center"/>
          </w:tcPr>
          <w:p>
            <w:pPr>
              <w:pStyle w:val="TableContents"/>
              <w:bidi w:val="0"/>
              <w:spacing w:before="0" w:after="283"/>
              <w:jc w:val="right"/>
              <w:rPr/>
            </w:pPr>
            <w:r>
              <w:rPr/>
              <w:t>4</w:t>
            </w:r>
          </w:p>
        </w:tc>
      </w:tr>
      <w:tr>
        <w:trPr/>
        <w:tc>
          <w:tcPr>
            <w:tcW w:w="6875" w:type="dxa"/>
            <w:tcBorders/>
            <w:shd w:fill="FFFFFF" w:val="clear"/>
            <w:vAlign w:val="center"/>
          </w:tcPr>
          <w:p>
            <w:pPr>
              <w:pStyle w:val="TableContents"/>
              <w:bidi w:val="0"/>
              <w:spacing w:before="0" w:after="283"/>
              <w:jc w:val="left"/>
              <w:rPr/>
            </w:pPr>
            <w:r>
              <w:rPr/>
              <w:t>Section 4.2   Information to Be Provided by Members to Company</w:t>
            </w:r>
          </w:p>
        </w:tc>
        <w:tc>
          <w:tcPr>
            <w:tcW w:w="275" w:type="dxa"/>
            <w:tcBorders/>
            <w:shd w:fill="FFFFFF" w:val="clear"/>
            <w:vAlign w:val="center"/>
          </w:tcPr>
          <w:p>
            <w:pPr>
              <w:pStyle w:val="TableContents"/>
              <w:bidi w:val="0"/>
              <w:spacing w:before="0" w:after="283"/>
              <w:jc w:val="right"/>
              <w:rPr/>
            </w:pPr>
            <w:r>
              <w:rPr/>
              <w:t>4</w:t>
            </w:r>
          </w:p>
        </w:tc>
      </w:tr>
      <w:tr>
        <w:trPr/>
        <w:tc>
          <w:tcPr>
            <w:tcW w:w="6875" w:type="dxa"/>
            <w:tcBorders/>
            <w:shd w:fill="C6F4F9" w:val="clear"/>
            <w:vAlign w:val="center"/>
          </w:tcPr>
          <w:p>
            <w:pPr>
              <w:pStyle w:val="TableContents"/>
              <w:bidi w:val="0"/>
              <w:spacing w:before="0" w:after="283"/>
              <w:jc w:val="left"/>
              <w:rPr/>
            </w:pPr>
            <w:r>
              <w:rPr/>
              <w:t>Section 4.3   Member Tax Returns</w:t>
            </w:r>
          </w:p>
        </w:tc>
        <w:tc>
          <w:tcPr>
            <w:tcW w:w="275" w:type="dxa"/>
            <w:tcBorders/>
            <w:shd w:fill="C6F4F9" w:val="clear"/>
            <w:vAlign w:val="center"/>
          </w:tcPr>
          <w:p>
            <w:pPr>
              <w:pStyle w:val="TableContents"/>
              <w:bidi w:val="0"/>
              <w:spacing w:before="0" w:after="283"/>
              <w:jc w:val="right"/>
              <w:rPr/>
            </w:pPr>
            <w:r>
              <w:rPr/>
              <w:t>4</w:t>
            </w:r>
          </w:p>
        </w:tc>
      </w:tr>
      <w:tr>
        <w:trPr/>
        <w:tc>
          <w:tcPr>
            <w:tcW w:w="6875" w:type="dxa"/>
            <w:tcBorders/>
            <w:shd w:fill="FFFFFF" w:val="clear"/>
            <w:vAlign w:val="center"/>
          </w:tcPr>
          <w:p>
            <w:pPr>
              <w:pStyle w:val="TableContents"/>
              <w:bidi w:val="0"/>
              <w:spacing w:before="0" w:after="283"/>
              <w:jc w:val="left"/>
              <w:rPr/>
            </w:pPr>
            <w:r>
              <w:rPr/>
              <w:t>Section 4.4   Tax Representative</w:t>
            </w:r>
          </w:p>
        </w:tc>
        <w:tc>
          <w:tcPr>
            <w:tcW w:w="275" w:type="dxa"/>
            <w:tcBorders/>
            <w:shd w:fill="FFFFFF" w:val="clear"/>
            <w:vAlign w:val="center"/>
          </w:tcPr>
          <w:p>
            <w:pPr>
              <w:pStyle w:val="TableContents"/>
              <w:bidi w:val="0"/>
              <w:spacing w:before="0" w:after="283"/>
              <w:jc w:val="right"/>
              <w:rPr/>
            </w:pPr>
            <w:r>
              <w:rPr/>
              <w:t>5</w:t>
            </w:r>
          </w:p>
        </w:tc>
      </w:tr>
      <w:tr>
        <w:trPr/>
        <w:tc>
          <w:tcPr>
            <w:tcW w:w="6875" w:type="dxa"/>
            <w:tcBorders/>
            <w:shd w:fill="C6F4F9" w:val="clear"/>
            <w:vAlign w:val="center"/>
          </w:tcPr>
          <w:p>
            <w:pPr>
              <w:pStyle w:val="TableContents"/>
              <w:bidi w:val="0"/>
              <w:spacing w:before="0" w:after="283"/>
              <w:jc w:val="left"/>
              <w:rPr/>
            </w:pPr>
            <w:r>
              <w:rPr/>
              <w:t>Section 4.5   Tax Audits</w:t>
            </w:r>
          </w:p>
        </w:tc>
        <w:tc>
          <w:tcPr>
            <w:tcW w:w="275" w:type="dxa"/>
            <w:tcBorders/>
            <w:shd w:fill="C6F4F9" w:val="clear"/>
            <w:vAlign w:val="center"/>
          </w:tcPr>
          <w:p>
            <w:pPr>
              <w:pStyle w:val="TableContents"/>
              <w:bidi w:val="0"/>
              <w:spacing w:before="0" w:after="283"/>
              <w:jc w:val="right"/>
              <w:rPr/>
            </w:pPr>
            <w:r>
              <w:rPr/>
              <w:t>5</w:t>
            </w:r>
          </w:p>
        </w:tc>
      </w:tr>
      <w:tr>
        <w:trPr/>
        <w:tc>
          <w:tcPr>
            <w:tcW w:w="6875" w:type="dxa"/>
            <w:tcBorders/>
            <w:shd w:fill="FFFFFF" w:val="clear"/>
            <w:vAlign w:val="center"/>
          </w:tcPr>
          <w:p>
            <w:pPr>
              <w:pStyle w:val="TableContents"/>
              <w:bidi w:val="0"/>
              <w:spacing w:before="0" w:after="283"/>
              <w:jc w:val="left"/>
              <w:rPr/>
            </w:pPr>
            <w:r>
              <w:rPr/>
              <w:t>Section 4.6   Tax Approval Required</w:t>
            </w:r>
          </w:p>
        </w:tc>
        <w:tc>
          <w:tcPr>
            <w:tcW w:w="275" w:type="dxa"/>
            <w:tcBorders/>
            <w:shd w:fill="FFFFFF" w:val="clear"/>
            <w:vAlign w:val="center"/>
          </w:tcPr>
          <w:p>
            <w:pPr>
              <w:pStyle w:val="TableContents"/>
              <w:bidi w:val="0"/>
              <w:spacing w:before="0" w:after="283"/>
              <w:jc w:val="right"/>
              <w:rPr/>
            </w:pPr>
            <w:r>
              <w:rPr/>
              <w:t>6</w:t>
            </w:r>
          </w:p>
        </w:tc>
      </w:tr>
      <w:tr>
        <w:trPr/>
        <w:tc>
          <w:tcPr>
            <w:tcW w:w="6875" w:type="dxa"/>
            <w:tcBorders/>
            <w:shd w:fill="C6F4F9" w:val="clear"/>
            <w:vAlign w:val="center"/>
          </w:tcPr>
          <w:p>
            <w:pPr>
              <w:pStyle w:val="TableContents"/>
              <w:bidi w:val="0"/>
              <w:spacing w:before="0" w:after="283"/>
              <w:jc w:val="left"/>
              <w:rPr/>
            </w:pPr>
            <w:r>
              <w:rPr/>
              <w:t>Section 4.7   Former Members; Survival; Amendment</w:t>
            </w:r>
          </w:p>
        </w:tc>
        <w:tc>
          <w:tcPr>
            <w:tcW w:w="275" w:type="dxa"/>
            <w:tcBorders/>
            <w:shd w:fill="C6F4F9" w:val="clear"/>
            <w:vAlign w:val="center"/>
          </w:tcPr>
          <w:p>
            <w:pPr>
              <w:pStyle w:val="TableContents"/>
              <w:bidi w:val="0"/>
              <w:spacing w:before="0" w:after="283"/>
              <w:jc w:val="right"/>
              <w:rPr/>
            </w:pPr>
            <w:r>
              <w:rPr/>
              <w:t>7</w:t>
            </w:r>
          </w:p>
        </w:tc>
      </w:tr>
      <w:tr>
        <w:trPr/>
        <w:tc>
          <w:tcPr>
            <w:tcW w:w="68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875" w:type="dxa"/>
            <w:tcBorders/>
            <w:shd w:fill="C6F4F9" w:val="clear"/>
            <w:vAlign w:val="center"/>
          </w:tcPr>
          <w:p>
            <w:pPr>
              <w:pStyle w:val="TableContents"/>
              <w:bidi w:val="0"/>
              <w:spacing w:before="0" w:after="283"/>
              <w:jc w:val="left"/>
              <w:rPr/>
            </w:pPr>
            <w:r>
              <w:rPr/>
              <w:t>Article V TRANSFERS</w:t>
            </w:r>
          </w:p>
        </w:tc>
        <w:tc>
          <w:tcPr>
            <w:tcW w:w="275" w:type="dxa"/>
            <w:tcBorders/>
            <w:shd w:fill="C6F4F9" w:val="clear"/>
            <w:vAlign w:val="center"/>
          </w:tcPr>
          <w:p>
            <w:pPr>
              <w:pStyle w:val="TableContents"/>
              <w:bidi w:val="0"/>
              <w:spacing w:before="0" w:after="283"/>
              <w:jc w:val="right"/>
              <w:rPr/>
            </w:pPr>
            <w:r>
              <w:rPr/>
              <w:t>7</w:t>
            </w:r>
          </w:p>
        </w:tc>
      </w:tr>
      <w:tr>
        <w:trPr/>
        <w:tc>
          <w:tcPr>
            <w:tcW w:w="68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875" w:type="dxa"/>
            <w:tcBorders/>
            <w:shd w:fill="C6F4F9" w:val="clear"/>
            <w:vAlign w:val="center"/>
          </w:tcPr>
          <w:p>
            <w:pPr>
              <w:pStyle w:val="TableContents"/>
              <w:bidi w:val="0"/>
              <w:spacing w:before="0" w:after="283"/>
              <w:jc w:val="left"/>
              <w:rPr/>
            </w:pPr>
            <w:r>
              <w:rPr/>
              <w:t>Section 5.1   Limitation of Transfers to Ensure Partnership Classification</w:t>
            </w:r>
          </w:p>
        </w:tc>
        <w:tc>
          <w:tcPr>
            <w:tcW w:w="275" w:type="dxa"/>
            <w:tcBorders/>
            <w:shd w:fill="C6F4F9" w:val="clear"/>
            <w:vAlign w:val="center"/>
          </w:tcPr>
          <w:p>
            <w:pPr>
              <w:pStyle w:val="TableContents"/>
              <w:bidi w:val="0"/>
              <w:spacing w:before="0" w:after="283"/>
              <w:jc w:val="right"/>
              <w:rPr/>
            </w:pPr>
            <w:r>
              <w:rPr/>
              <w:t>7</w:t>
            </w:r>
          </w:p>
        </w:tc>
      </w:tr>
      <w:tr>
        <w:trPr/>
        <w:tc>
          <w:tcPr>
            <w:tcW w:w="68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875" w:type="dxa"/>
            <w:tcBorders/>
            <w:shd w:fill="C6F4F9" w:val="clear"/>
            <w:vAlign w:val="center"/>
          </w:tcPr>
          <w:p>
            <w:pPr>
              <w:pStyle w:val="TableContents"/>
              <w:bidi w:val="0"/>
              <w:spacing w:before="0" w:after="283"/>
              <w:jc w:val="left"/>
              <w:rPr/>
            </w:pPr>
            <w:r>
              <w:rPr/>
              <w:t>Article VI Miscellaneous</w:t>
            </w:r>
          </w:p>
        </w:tc>
        <w:tc>
          <w:tcPr>
            <w:tcW w:w="275" w:type="dxa"/>
            <w:tcBorders/>
            <w:shd w:fill="C6F4F9" w:val="clear"/>
            <w:vAlign w:val="center"/>
          </w:tcPr>
          <w:p>
            <w:pPr>
              <w:pStyle w:val="TableContents"/>
              <w:bidi w:val="0"/>
              <w:spacing w:before="0" w:after="283"/>
              <w:jc w:val="right"/>
              <w:rPr/>
            </w:pPr>
            <w:r>
              <w:rPr/>
              <w:t>7</w:t>
            </w:r>
          </w:p>
        </w:tc>
      </w:tr>
      <w:tr>
        <w:trPr/>
        <w:tc>
          <w:tcPr>
            <w:tcW w:w="68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6875" w:type="dxa"/>
            <w:tcBorders/>
            <w:shd w:fill="C6F4F9" w:val="clear"/>
            <w:vAlign w:val="center"/>
          </w:tcPr>
          <w:p>
            <w:pPr>
              <w:pStyle w:val="TableContents"/>
              <w:bidi w:val="0"/>
              <w:spacing w:before="0" w:after="283"/>
              <w:jc w:val="left"/>
              <w:rPr/>
            </w:pPr>
            <w:r>
              <w:rPr/>
              <w:t>Section 6.1   Definitions</w:t>
            </w:r>
          </w:p>
        </w:tc>
        <w:tc>
          <w:tcPr>
            <w:tcW w:w="275" w:type="dxa"/>
            <w:tcBorders/>
            <w:shd w:fill="C6F4F9" w:val="clear"/>
            <w:vAlign w:val="center"/>
          </w:tcPr>
          <w:p>
            <w:pPr>
              <w:pStyle w:val="TableContents"/>
              <w:bidi w:val="0"/>
              <w:spacing w:before="0" w:after="283"/>
              <w:jc w:val="right"/>
              <w:rPr/>
            </w:pPr>
            <w:r>
              <w:rPr/>
              <w:t>7</w:t>
            </w:r>
          </w:p>
        </w:tc>
      </w:tr>
    </w:tbl>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OPERATING AGREEMENT</w:t>
        <w:br/>
        <w:br/>
        <w:t>of</w:t>
        <w:br/>
        <w:br/>
        <w:t>MJ Topco, LLC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OPERATING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MJ Topco,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dated as of [●], 2026, among the Company, MJWHP, LLC, a Delaware limited liability company (together with its Permitted Transferees, the “</w:t>
      </w:r>
      <w:r>
        <w:rPr>
          <w:rFonts w:ascii="Times New Roman;Times;Serif" w:hAnsi="Times New Roman;Times;Serif"/>
          <w:b w:val="false"/>
          <w:i w:val="false"/>
          <w:caps w:val="false"/>
          <w:smallCaps w:val="false"/>
          <w:sz w:val="20"/>
          <w:u w:val="single"/>
        </w:rPr>
        <w:t>WHP Member</w:t>
      </w:r>
      <w:r>
        <w:rPr>
          <w:rFonts w:ascii="Times New Roman;Times;Serif" w:hAnsi="Times New Roman;Times;Serif"/>
          <w:b w:val="false"/>
          <w:i w:val="false"/>
          <w:caps w:val="false"/>
          <w:smallCaps w:val="false"/>
          <w:sz w:val="20"/>
        </w:rPr>
        <w:t>”), and G-III Investments, Inc., a Delaware corporation (together with its Permitted Transferees, the “</w:t>
      </w:r>
      <w:r>
        <w:rPr>
          <w:rFonts w:ascii="Times New Roman;Times;Serif" w:hAnsi="Times New Roman;Times;Serif"/>
          <w:b w:val="false"/>
          <w:i w:val="false"/>
          <w:caps w:val="false"/>
          <w:smallCaps w:val="false"/>
          <w:sz w:val="20"/>
          <w:u w:val="single"/>
        </w:rPr>
        <w:t>G-III Member</w:t>
      </w:r>
      <w:r>
        <w:rPr>
          <w:rFonts w:ascii="Times New Roman;Times;Serif" w:hAnsi="Times New Roman;Times;Serif"/>
          <w:b w:val="false"/>
          <w:i w:val="false"/>
          <w:caps w:val="false"/>
          <w:smallCaps w:val="false"/>
          <w:sz w:val="20"/>
        </w:rPr>
        <w:t>”), and such other Persons that may hereafter be admitted from time to time as Members in accordance with the provisions hereof.</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was formed as a limited liability company pursuant to the Delaware Limited Liability Company Act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for the purposes and upon the terms and conditions set forth herein;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was previously governed by that certain Operating Agreement, effective as of [●], 2026 (the “</w:t>
      </w:r>
      <w:r>
        <w:rPr>
          <w:rFonts w:ascii="Times New Roman;Times;Serif" w:hAnsi="Times New Roman;Times;Serif"/>
          <w:b w:val="false"/>
          <w:i w:val="false"/>
          <w:caps w:val="false"/>
          <w:smallCaps w:val="false"/>
          <w:sz w:val="20"/>
          <w:u w:val="single"/>
        </w:rPr>
        <w:t>Prior Operating Agreement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Majestic AcqCo, LLC, a wholly-owned Subsidiary of the Company is party to that certain Unit Purchase Agreement, by and among LVMH MJ Holdings Inc., MJH Employee Aggregator LLC, Marc Jacobs, Robert Duffy, WH Borrower, LLC, solely for purposes of Section 11.10, and LVMH Moet Hennessy Louis Vuitton Inc., solely for purposes of Section 11.11, dated as of [●], 2026 (as it may be amended, supplemented or otherwise modified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Members desire that the Company engage in the business of, directly or indirectly, acquiring, owning, maintaining, managing, licensing and protecting the MARC JACOBS brand and related intellectual property (the “</w:t>
      </w:r>
      <w:r>
        <w:rPr>
          <w:rFonts w:ascii="Times New Roman;Times;Serif" w:hAnsi="Times New Roman;Times;Serif"/>
          <w:b w:val="false"/>
          <w:i w:val="false"/>
          <w:caps w:val="false"/>
          <w:smallCaps w:val="false"/>
          <w:sz w:val="20"/>
          <w:u w:val="single"/>
        </w:rPr>
        <w:t>Marc Jacobs Brand”)</w:t>
      </w:r>
      <w:r>
        <w:rPr>
          <w:rFonts w:ascii="Times New Roman;Times;Serif" w:hAnsi="Times New Roman;Times;Serif"/>
          <w:b w:val="false"/>
          <w:i w:val="false"/>
          <w:caps w:val="false"/>
          <w:smallCaps w:val="false"/>
          <w:sz w:val="20"/>
        </w:rPr>
        <w:t>, and performing such other obligations and duties as are imposed upon the Company under this Agreement and any other contracts to which the Company is a party (the “</w:t>
      </w:r>
      <w:r>
        <w:rPr>
          <w:rFonts w:ascii="Times New Roman;Times;Serif" w:hAnsi="Times New Roman;Times;Serif"/>
          <w:b w:val="false"/>
          <w:i w:val="false"/>
          <w:caps w:val="false"/>
          <w:smallCaps w:val="false"/>
          <w:sz w:val="20"/>
          <w:u w:val="single"/>
        </w:rPr>
        <w:t>Company Business</w:t>
      </w:r>
      <w:r>
        <w:rPr>
          <w:rFonts w:ascii="Times New Roman;Times;Serif" w:hAnsi="Times New Roman;Times;Serif"/>
          <w:b w:val="false"/>
          <w:i w:val="false"/>
          <w:caps w:val="false"/>
          <w:smallCaps w:val="false"/>
          <w:sz w:val="20"/>
        </w:rPr>
        <w:t>”), upon the terms and conditions set forth herein; and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Members desire to amend and restate the Prior Operating Agreement in its entirety, it being the intention of the Members that (1) this Agreement shall fully supersede the Prior Operating Agreement in all respects, and (2) commencing as of the date hereof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the Company’s business and affairs shall be conducted pursuant to this Agreement.</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the Members hereby agree as follows:</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w:t>
      </w:r>
      <w:r>
        <w:rPr>
          <w:rFonts w:ascii="Times New Roman;Times;Serif" w:hAnsi="Times New Roman;Times;Serif"/>
          <w:b/>
          <w:i w:val="false"/>
          <w:caps/>
          <w:sz w:val="20"/>
        </w:rPr>
        <w:br/>
        <w:br/>
        <w:t>DEFINITIONS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Capitalized terms used in this Agreement and not defined elsewhere in this Agreement are defined below. Other terms not defined below are defined elsewhere in this Agreement, on the page set forth opposite each such term in the Table of Defined Terms.</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Member</w:t>
      </w:r>
      <w:r>
        <w:rPr>
          <w:rFonts w:ascii="Times New Roman;Times;Serif" w:hAnsi="Times New Roman;Times;Serif"/>
          <w:b w:val="false"/>
          <w:i w:val="false"/>
          <w:caps w:val="false"/>
          <w:smallCaps w:val="false"/>
          <w:sz w:val="20"/>
        </w:rPr>
        <w:t xml:space="preserve">” means any Person that has been admitted to the Company as a Member after the Effective Date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with respect to a specified Person, any other Person that directly, or indirectly through one or more intermediaries, controls, is controlled by, or is under common control with, such specified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none of the Members or their parent companies or Affiliates shall be deemed to be an Affiliate of any other Member or its parent company or Affiliates and (ii) none of the Members or their parent companies or Affiliates shall be deemed to be an Affiliate of the Company or any of its Subsidiaries, solely by virtue of its participation in the Company.</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Cash</w:t>
      </w:r>
      <w:r>
        <w:rPr>
          <w:rFonts w:ascii="Times New Roman;Times;Serif" w:hAnsi="Times New Roman;Times;Serif"/>
          <w:b w:val="false"/>
          <w:i w:val="false"/>
          <w:caps w:val="false"/>
          <w:smallCaps w:val="false"/>
          <w:sz w:val="20"/>
        </w:rPr>
        <w:t>” means, with respect to any fiscal period, cash (in United States dollars) of the Company and its Subsidiaries in excess of $15,000,000, subject to further reduction for any amounts determined by the Board (with the prior written consent of the G-III Member, not to be unreasonably withheld, conditioned, or delayed) to be reasonably necessary or advisable to be retained by the Company to meet actual or anticipated, direct or indirect, expenses, capital investments, working capital needs or liabilities (actual, contingent or otherwise) of the Company or its Subsidiaries, or for the operation of the business of the Company and its Subsidiaries, or to create reasonable reserves for any of the foregoing.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of a Member shall be deemed to occur for purposes of this Agreement if:</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an involuntary petition under any bankruptcy or insolvency Law or under the reorganization provisions of any such Law is filed with respect to such Member or a receiver of or for the property of such Member is appointed without acquiescence of such Member, which petition or appointment remains undischarged or unstayed for an aggregate period of ninety (90) days (whether or not consecutive); or</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a voluntary petition under any bankruptcy or insolvency Law or under the reorganization provisions of any such Law is filed by such Member, a voluntary assignment of such Member’s property for the benefit of creditors is made, or a receiver of or for the property of such Member is appointed by, or acquiesced in, by such Member.</w:t>
      </w:r>
    </w:p>
    <w:p>
      <w:pPr>
        <w:pStyle w:val="TextBody"/>
        <w:bidi w:val="0"/>
        <w:spacing w:before="240" w:after="240"/>
        <w:ind w:left="240" w:right="240" w:firstLine="21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xml:space="preserve">” has the meaning given such term in Rule 13d-3 under the Exchange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determining beneficial ownership, (i) a Person shall be deemed to be the beneficial owner of any security that may be acquired by such Person, whether within sixty (60) days or thereafter, upon the conversion, exchange or exercise of any warrants, options, rights or other securities and (ii) no Person shall be deemed to beneficially own any security solely as a result of this Agreement.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a Sunday or other day on which banks are required or authorized by Law to be closed in the State of New York.</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Account</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Contribution</w:t>
      </w:r>
      <w:r>
        <w:rPr>
          <w:rFonts w:ascii="Times New Roman;Times;Serif" w:hAnsi="Times New Roman;Times;Serif"/>
          <w:b w:val="false"/>
          <w:i w:val="false"/>
          <w:caps w:val="false"/>
          <w:smallCaps w:val="false"/>
          <w:sz w:val="20"/>
        </w:rPr>
        <w:t>” means, with respect to any Member, the aggregate amount of cash contributed to the Company and the Fair Market Value of any property (other than cash) (net of liabilities secured by such contributed property that the Company is considered to assume or take subject to) contributed to the Company pursuant to Article IV. In the case of a Member that acquires an interest in the Company by virtue of a Transfer in accordance with the terms of this Agreement, “Capital Contribution” means, as of the date of such Transfer, the Capital Contribution of such Member’s predecessor to the extent relating to the acquired interest.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China and Japan Operating Business</w:t>
      </w:r>
      <w:r>
        <w:rPr>
          <w:rFonts w:ascii="Times New Roman;Times;Serif" w:hAnsi="Times New Roman;Times;Serif"/>
          <w:b w:val="false"/>
          <w:i w:val="false"/>
          <w:caps w:val="false"/>
          <w:smallCaps w:val="false"/>
          <w:sz w:val="20"/>
        </w:rPr>
        <w:t>” means all operating assets and liabilities, including all real estate, employees, inventory and other working capital of Marc Jacobs International, LLC and its Subsidiaries existing as of the date hereof in China and Japan, which includes Marc Jacobs KK Japan, Marc Jacobs Hong Kong Limited, Marc Jacobs Hong Kong Distribution Company Limited, Marc Jacobs Macau Distribution Company Limited, and Marc Jacobs Commercial and Trading (Shanghai) Co., Ltd.</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All references in this Agreement to sections of the Code shall include any corresponding provision or provisions of succeeding law.</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Business</w:t>
      </w:r>
      <w:r>
        <w:rPr>
          <w:rFonts w:ascii="Times New Roman;Times;Serif" w:hAnsi="Times New Roman;Times;Serif"/>
          <w:b w:val="false"/>
          <w:i w:val="false"/>
          <w:caps w:val="false"/>
          <w:smallCaps w:val="false"/>
          <w:sz w:val="20"/>
        </w:rPr>
        <w:t xml:space="preserve">” has the meaning set forth in the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means with respect to any Person, the possession, directly or indirectly, of the power to direct or cause the direction of the management or policies of such Person, whether through the ownership of voting securities, as trustee or executor, as general partner or managing member, by contract or otherwise, including the ownership, directly or indirectly, of securities having the power to elect a majority of the board of directors or similar body governing the affairs of such Person.</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Person</w:t>
      </w:r>
      <w:r>
        <w:rPr>
          <w:rFonts w:ascii="Times New Roman;Times;Serif" w:hAnsi="Times New Roman;Times;Serif"/>
          <w:b w:val="false"/>
          <w:i w:val="false"/>
          <w:caps w:val="false"/>
          <w:smallCaps w:val="false"/>
          <w:sz w:val="20"/>
        </w:rPr>
        <w:t>” means (i) a Member, the Tax Representative, the Designated Individual, (ii) any Affiliate of any of the Persons described in clause (i), (iii) any officer, director, manager, shareholder, employee, partner or member of any of the Persons described in clauses (i) and (ii), or (iv) any Manager or Officer of the Company, in each case whether current or former.</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Individual</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shall have the meaning ascribed to such term in Rule 405 promulgated under the Securities Act as in effect on the date hereof and in any event means any common stock, limited partnership interest, limited liability company interest, and any other interest or security in any Person, whether or not having the attendance right to vote for directors or similar representatives, and any and all securities or instruments (including convertible debt) of such Person convertible into or exchangeable or exercisable for (whether or not subject to contingencies or the passage of time, or both) any of the foregoing securities, including options, warrants and other rights to acquire any of the foregoing.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United States Securities Exchange Act of 1934, as amended, and the rules and regulations promulgated thereunder.</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of Units or other property, as the case may be, means the cash price that a Third Party would pay to acquire all of such Units (computed on a fully diluted basis after giving effect to the exercise of any and all outstanding conversion rights, exchange rights, warrants and options) or other property in an arm’s length transaction, assuming with respect to the Fair Market Value of Units that that the Company was being sold as a going concern in an orderly transaction designed to maximize proceeds therefor, and taking into account all existing circumstances, including the terms and conditions of all agreements (including this Agreement) to which the Company is then a party or by which it is otherwise benefited or affected,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control premium, minority discount, discount for illiquidity or other similar type of discount shall be taken into consideration. Fair Market Value shall be determined by the Board in good faith;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connection with any CoC Option Transaction, the Per Unit FMV of the Units subject to such CoC Option Transaction (i) shall be determined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and (ii) shall not be lower than the value per Unit implied by a total enterprise value of the Company of $850,000,000.</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(i) the period commencing upon the date of this Agreement and ending on December 31 of the same calendar year or (ii) any subsequent 12-month period commencing on January 1 and ending on December 31.</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as in effect from time to time.</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G-III Specified Party</w:t>
      </w:r>
      <w:r>
        <w:rPr>
          <w:rFonts w:ascii="Times New Roman;Times;Serif" w:hAnsi="Times New Roman;Times;Serif"/>
          <w:b w:val="false"/>
          <w:i w:val="false"/>
          <w:caps w:val="false"/>
          <w:smallCaps w:val="false"/>
          <w:sz w:val="20"/>
        </w:rPr>
        <w:t xml:space="preserve">” means any of the Persons identified in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United States or non-United States federal, national, supranational, state, provincial, local or similar government, governmental, regulatory or administrative authority, branch, agency, law enforcement body or commission, or any court, tribunal, or arbitral or judicial body.</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Imputed Underpayment</w:t>
      </w:r>
      <w:r>
        <w:rPr>
          <w:rFonts w:ascii="Times New Roman;Times;Serif" w:hAnsi="Times New Roman;Times;Serif"/>
          <w:b w:val="false"/>
          <w:i w:val="false"/>
          <w:caps w:val="false"/>
          <w:smallCaps w:val="false"/>
          <w:sz w:val="20"/>
        </w:rPr>
        <w:t>” has the meaning set forth in the Tax Annex.</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Imputed Underpayment Share</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Public Offering</w:t>
      </w:r>
      <w:r>
        <w:rPr>
          <w:rFonts w:ascii="Times New Roman;Times;Serif" w:hAnsi="Times New Roman;Times;Serif"/>
          <w:b w:val="false"/>
          <w:i w:val="false"/>
          <w:caps w:val="false"/>
          <w:smallCaps w:val="false"/>
          <w:sz w:val="20"/>
        </w:rPr>
        <w:t>” means, with respect to the Company or any Subsidiary thereof, any bona fide (a) underwritten initial public offering of Equity Securities of such Person pursuant to an effective registration statement under the Securities Act or any comparable foreign statute in which the offered securities are listed for trading on a national or equivalent securities exchange, (b) merger, consolidation, reorganization or similar business combination the result of which any class of Equity Securities of such Person is initially listed, or initially converted into securities that are listed, for trading on a national or equivalent securities exchange, including by way of an initial de-SPAC transaction, or (c) initial listing of Equity Securities of such Person on a national or equivalent securities exchange effected by means of a registration statement declared effective by the SEC (or comparable foreign regulatory authority) without an accompanying underwritten offering.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statute, law, ordinance, regulation, rule, code, executive order, injunction, judgment, decree or order of any Governmental Authority.</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 Agreement</w:t>
      </w:r>
      <w:r>
        <w:rPr>
          <w:rFonts w:ascii="Times New Roman;Times;Serif" w:hAnsi="Times New Roman;Times;Serif"/>
          <w:b w:val="false"/>
          <w:i w:val="false"/>
          <w:caps w:val="false"/>
          <w:smallCaps w:val="false"/>
          <w:sz w:val="20"/>
        </w:rPr>
        <w:t>” means that certain License Agreement, dated as of the Effective Date, by and among the Company and G-III Leather Fashions, Inc. and G-III Apparel Canada ULC, as may be amended, supplemented or otherwise modified from time to time.</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Marc Jacobs Brand</w:t>
      </w:r>
      <w:r>
        <w:rPr>
          <w:rFonts w:ascii="Times New Roman;Times;Serif" w:hAnsi="Times New Roman;Times;Serif"/>
          <w:b w:val="false"/>
          <w:i w:val="false"/>
          <w:caps w:val="false"/>
          <w:smallCaps w:val="false"/>
          <w:sz w:val="20"/>
        </w:rPr>
        <w:t xml:space="preserve">” has the meaning set forth in the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xml:space="preserve">” means any Person named as a member of the Company on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hereto (as amended from time to time in accordance with the terms hereof), and any Person admitted as an Additional Member of the Company or a substitute member of the Company pursuant to the provisions of this Agreement, in each case, in such Person’s capacity as a member of the Company, until such time as such Person has transferred or disposed of all of such Person’s Units in accordance with the provisions hereof.</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Membership Interest</w:t>
      </w:r>
      <w:r>
        <w:rPr>
          <w:rFonts w:ascii="Times New Roman;Times;Serif" w:hAnsi="Times New Roman;Times;Serif"/>
          <w:b w:val="false"/>
          <w:i w:val="false"/>
          <w:caps w:val="false"/>
          <w:smallCaps w:val="false"/>
          <w:sz w:val="20"/>
        </w:rPr>
        <w:t>” means, with respect to any Member, such Member’s entire undivided economic interest in the Company, including, except as may otherwise be provided in Article VI, each item of income, gain, loss and credit and distributions of the Company, including any right of such Member to the return of Capital Contributions and any interest thereon.</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Securities</w:t>
      </w:r>
      <w:r>
        <w:rPr>
          <w:rFonts w:ascii="Times New Roman;Times;Serif" w:hAnsi="Times New Roman;Times;Serif"/>
          <w:b w:val="false"/>
          <w:i w:val="false"/>
          <w:caps w:val="false"/>
          <w:smallCaps w:val="false"/>
          <w:sz w:val="20"/>
        </w:rPr>
        <w:t>” means any (x) Equity Securities or debt securities of the Company or any Subsidiary thereof or (y) any debt securities of the Company or any Subsidiary thereof proposed to be issued to any Member or any of its Affiliates, whether or not currently authorized, other than (i) securities issued to the extent necessary in order to effect any split, distribution, merger, combination, reorganization, recapitalization or similar event approved in accordance with the applicable terms of this Agreement, so long as each holder of such issued securities has the same privileges, preferences, rights, duties, liabilities and obligations after such event as immediately prior to such event (subject to adjustment rounding for fractional interests), (ii) securities issued upon conversion, exchange or exercise of any other securities that were issued in accordance with the applicable terms of this Agreement and are converted, exchanged or exercised on the terms applicable to such securities at the time such other Equity Securities were issued or (iii) securities issued by a Subsidiary to the Company or any of its wholly owned Subsidiaries.</w:t>
      </w:r>
    </w:p>
    <w:p>
      <w:pPr>
        <w:pStyle w:val="TextBody"/>
        <w:bidi w:val="0"/>
        <w:spacing w:before="240" w:after="240"/>
        <w:ind w:left="240" w:right="24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U.S. Department of the Treasury Office of Foreign Assets Control.</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Unit FMV</w:t>
      </w:r>
      <w:r>
        <w:rPr>
          <w:rFonts w:ascii="Times New Roman;Times;Serif" w:hAnsi="Times New Roman;Times;Serif"/>
          <w:b w:val="false"/>
          <w:i w:val="false"/>
          <w:caps w:val="false"/>
          <w:smallCaps w:val="false"/>
          <w:sz w:val="20"/>
        </w:rPr>
        <w:t xml:space="preserve">” means the Fair Market Value of one Unit at the time of any CoC Option Transaction, determined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Percentage Interest</w:t>
      </w:r>
      <w:r>
        <w:rPr>
          <w:rFonts w:ascii="Times New Roman;Times;Serif" w:hAnsi="Times New Roman;Times;Serif"/>
          <w:b w:val="false"/>
          <w:i w:val="false"/>
          <w:caps w:val="false"/>
          <w:smallCaps w:val="false"/>
          <w:sz w:val="20"/>
        </w:rPr>
        <w:t>” means, with respect to any Member as of any date, a percentage representing the number of Units beneficially owned by such Member as of such date, divided by the aggregate number of Units then outstanding.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xml:space="preserve">” means, (a) with respect to the WHP Member, (i) the owners of the WHP Member’s equity interests receiving Equity Securities of the Company in connection with the liquidation of, or a distribution with respect to an equity interest in, the WHP Member, and (ii) any Affiliate of the WHP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(A) the Company or any of its Affiliates or (B) any WHP Specified Party or G-III Specified Party constitute a “Permitted Transferee” of the WHP Member; and (b) with respect to the G-III Member, (i) the owners of the G-III Member’s equity interests receiving Equity Securities of the Company in connection with a liquidation of, or a distribution with respect to an equity interest in, the G-III Member and (ii) any Affiliate of the G-III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 the Company or any of its Affiliates or (B) any WHP Specified Party constitute a “Permitted Transferee” of the G-III Member.</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partnership, limited liability company, limited liability partnership, joint venture, syndicate, person, trust, association, organization or other entity, including any Governmental Authority, and including any successor, by merger or otherwise, of any of the foregoing.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PTP Avoidance Member</w:t>
      </w:r>
      <w:r>
        <w:rPr>
          <w:rFonts w:ascii="Times New Roman;Times;Serif" w:hAnsi="Times New Roman;Times;Serif"/>
          <w:b w:val="false"/>
          <w:i w:val="false"/>
          <w:caps w:val="false"/>
          <w:smallCaps w:val="false"/>
          <w:sz w:val="20"/>
        </w:rPr>
        <w:t>” means a Person (or a Person’s regarded owner) for which (i) more than fifty percent (50%) of the value of that Person (or that Person’s regarded owner) is (or, in the case of a prospective transferee, would be) attributable to that Person’s Membership Interest, and (ii) a principle purpose of the existence of that Person (or that Person’s regarded owner) is to allow the Company to satisfy the 100 partner limitation of the private placement exception to Regulations Section 1.7704-1(h).</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Qualifying CoC</w:t>
      </w:r>
      <w:r>
        <w:rPr>
          <w:rFonts w:ascii="Times New Roman;Times;Serif" w:hAnsi="Times New Roman;Times;Serif"/>
          <w:b w:val="false"/>
          <w:i w:val="false"/>
          <w:caps w:val="false"/>
          <w:smallCaps w:val="false"/>
          <w:sz w:val="20"/>
        </w:rPr>
        <w:t>” means, (a) with respect to the WHP Member, any transaction or series of transactions pursuant to which any G-III Specified Party, WHP Specified Party or any of their respective Affiliates, acquires or becomes the beneficial owner of, directly or indirectly, (i) more than fifty percent (50%) of the outstanding Equity Securities of WHP Topco or the WHP Member, whether by merger, liquidation, consolidation, reorganization, combination, sale, tender or exchange offer or otherwise, (ii) all or substantially all of the assets of WHP Topco or the WHP Member, or (iii) the right to nominate a majority of the voting power of or otherwise control the board of directors, managers or the applicable governing body of WHP Topco or the WHP Member and (b) with respect to the G-III Member, any transaction or series of transactions pursuant to which any WHP Specified Party or any of their respective Affiliates, acquires or becomes the</w:t>
      </w:r>
    </w:p>
    <w:p>
      <w:pPr>
        <w:pStyle w:val="TextBody"/>
        <w:bidi w:val="0"/>
        <w:spacing w:before="240" w:after="240"/>
        <w:ind w:left="240" w:right="24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 of, directly or indirectly, (i) more than fifty percent (50%) of the outstanding Equity Securities of G-III Apparel Group Ltd. or the G-III Member, whether by merger, liquidation, consolidation, reorganization, combination, sale, tender or exchange offer or otherwise, (ii) all or substantially all of the assets of G-III Apparel Group Ltd. or the G-III Member or (iii) the right to nominate a majority of the voting power of the Board of Directors of G-III Apparel Group Ltd.</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Party Transaction</w:t>
      </w:r>
      <w:r>
        <w:rPr>
          <w:rFonts w:ascii="Times New Roman;Times;Serif" w:hAnsi="Times New Roman;Times;Serif"/>
          <w:b w:val="false"/>
          <w:i w:val="false"/>
          <w:caps w:val="false"/>
          <w:smallCaps w:val="false"/>
          <w:sz w:val="20"/>
        </w:rPr>
        <w:t xml:space="preserve">” means any contract (written or oral), agreement or other legally binding transaction, understanding or arrangement (including any payments or reimbursements) between the Company or any Subsidiary thereof, on the one hand, and a Member, its employees, managers or any Affiliate of WHP Topco or G-III Apparel Group Ltd., as the case may be (but excluding, for the avoidance of doubt, the Company and its Subsidiaries), on the other hand;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none of the following shall constitute Related Party Transaction or require the approval of any Member (whether pursuant to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or otherwise): (i) any transaction, understanding or arrangement on terms no less favorable in any material respect to the Company or any of its Subsidiaries than the Company or such Subsidiary would reasonably be expected to obtain in a comparable arm’s length transaction or agreement with an independent third party on then prevailing market terms, as determined by the Board (including the approval of at least one G-III Manager and at least one WHP Manager); (ii) any issuance of New Securities of the Company or any of its Subsidiaries issued in accordance with this Agreement; (iii) any transaction, understanding or arrangement entered into or consummated, as applicable, on or prior to the Effective Date (including any Transaction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exception to this clause (iii) shall not apply to any amendments or modifications to such transaction, understanding or arrangement proposed following the Effective Date); or (iv) the exercise by the Company or its Subsidiaries or a Member or its Affiliates, employees, direct or indirect equity holders or managers, in each case, of any rights or remedies, or the performance of any covenants or obligations under or in respect of this Agreement or any other Transaction Document. Notwithstanding the foregoing, exercising any right or complying with any obligation under any Transaction Document (including the exercise of any right or remedy by the Company or any of its Affiliates under the Purchase Agreement or any other Transaction Document following the Closing Date (as defined in the Purchase Agreement)) (including any indemnification and contribution (or similar) obligations, issuing any securities in accordance with this Agreement, or reimbursing expenses of the Board) shall not require the consent of any Member.</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xml:space="preserve">” means any Person that is the subject or target of sanctions or restrictions under Trade Controls, including: (a) any Person listed on any applicable U.S. or non-U.S. sanctions- or export-related restricted party list, including the OFAC’s Specially Designated Nationals and Blocked Persons List; or (b) any entity that is, in the aggregate, fifty percent (50%) or greater owned, directly or indirectly, or otherwise controlled by a Person or Persons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240" w:after="240"/>
        <w:ind w:left="240" w:right="24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other Person controlled by such first Person, directly or indirectly, through one or more intermediaries.</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Annex</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Items</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Representative</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any Person other than a Member, its Affiliates or a Permitted Transferee of a Member.</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Controls</w:t>
      </w:r>
      <w:r>
        <w:rPr>
          <w:rFonts w:ascii="Times New Roman;Times;Serif" w:hAnsi="Times New Roman;Times;Serif"/>
          <w:b w:val="false"/>
          <w:i w:val="false"/>
          <w:caps w:val="false"/>
          <w:smallCaps w:val="false"/>
          <w:sz w:val="20"/>
        </w:rPr>
        <w:t>” means all U.S. and non-U.S. Laws relating to (a) economic, trade, and financial sanctions, including those administered and enforced by OFAC, the U.S. Department of State, and the United Nations, (b) export, import, reexport, transfer, and retransfer controls, including those administered and enforced by the U.S. Department of Commerce Bureau of Industry and Security, U.S. Customs and Border Protection, and the United Nations, (c) antiboycott requirements and (d) the prevention of money laundering.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Purchase Agreement, the License Agreement and all other documents, certificates or agreements executed in connection with the transactions contemplated hereby or thereby.</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means, in respect of any Units, any property or other assets, any direct or indirect sale, assignment, hypothecation, lien, encumbrance, transfer, distribution or other disposition thereof or of a participation therein, or other conveyance of legal or beneficial interest therein, including rights to vote and to receive dividends, distributions or other income with respect thereto, or any short position in a security or any other action or position otherwise reducing risk related to ownership through hedging or other derivative instruments, whether voluntarily or by operation of Law, or any agreement or commitment to do any of the foregoing. Notwithstanding the foregoing, (x) in no event shall any direct or indirect sale, transfer, assignment, pledge, mortgage, exchange, hypothecation, grant of a security interest or other disposition or encumbrance of any equity interests or rights of G-III Apparel Group Ltd. or WHP Topco by its direct and indirect equityholders be deemed a Transfer by the G-III Member or the WHP Member, respectively, for any purpose under this Agreement, and (y) any pledging of Units by the WHP Member or the G-III Member to any lenders or other debt financing sources for their respective debt financing purposes shall not be (or be deemed to be) a Transfer for purposes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for the avoidance of doubt, that upon any foreclosure or enforcement of any such pledge, the foreclosing or acquiring party shall not succeed to or otherwise acquire any rights of the pledging Member pursuant to Article V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means any Person that is a transferee of all or a portion of a Member’s Units.</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w:t>
      </w:r>
      <w:r>
        <w:rPr>
          <w:rFonts w:ascii="Times New Roman;Times;Serif" w:hAnsi="Times New Roman;Times;Serif"/>
          <w:b w:val="false"/>
          <w:i w:val="false"/>
          <w:caps w:val="false"/>
          <w:smallCaps w:val="false"/>
          <w:sz w:val="20"/>
        </w:rPr>
        <w:t>” means a fractional share of the Membership Interests in the Company, and shall be deemed to include any equity security received in connection with any recapitalization, merger, consolidation, or other reorganization, or by way of any distribution in respect of Units, in any such case, after the date hereof.</w:t>
      </w:r>
    </w:p>
    <w:p>
      <w:pPr>
        <w:pStyle w:val="TextBody"/>
        <w:bidi w:val="0"/>
        <w:spacing w:before="240" w:after="240"/>
        <w:ind w:left="240" w:right="24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 Person that (1) is a “United States person” within the meaning of Code section 7701(a)(30) and (2) is not a “foreign person” within the meaning of Code section 1445 or a “foreign partner” of the Company within the meaning of Code section 1446.</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Valuation Firm</w:t>
      </w:r>
      <w:r>
        <w:rPr>
          <w:rFonts w:ascii="Times New Roman;Times;Serif" w:hAnsi="Times New Roman;Times;Serif"/>
          <w:b w:val="false"/>
          <w:i w:val="false"/>
          <w:caps w:val="false"/>
          <w:smallCaps w:val="false"/>
          <w:sz w:val="20"/>
        </w:rPr>
        <w:t>” means a top-tier independent investment bank or financial advisory firm of nationally recognized standing with experience in the valuation of businesses similar to those of the Company and its Subsidiaries.</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WHP Specified Party</w:t>
      </w:r>
      <w:r>
        <w:rPr>
          <w:rFonts w:ascii="Times New Roman;Times;Serif" w:hAnsi="Times New Roman;Times;Serif"/>
          <w:b w:val="false"/>
          <w:i w:val="false"/>
          <w:caps w:val="false"/>
          <w:smallCaps w:val="false"/>
          <w:sz w:val="20"/>
        </w:rPr>
        <w:t xml:space="preserve">” means any of the Persons identified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WHP Topco</w:t>
      </w:r>
      <w:r>
        <w:rPr>
          <w:rFonts w:ascii="Times New Roman;Times;Serif" w:hAnsi="Times New Roman;Times;Serif"/>
          <w:b w:val="false"/>
          <w:i w:val="false"/>
          <w:caps w:val="false"/>
          <w:smallCaps w:val="false"/>
          <w:sz w:val="20"/>
        </w:rPr>
        <w:t>” means WH Topco, L.P., a Delaware limited partnership.</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Table of Definitions</w:t>
      </w:r>
      <w:r>
        <w:rPr>
          <w:rFonts w:ascii="Times New Roman;Times;Serif" w:hAnsi="Times New Roman;Times;Serif"/>
          <w:b w:val="false"/>
          <w:i w:val="false"/>
          <w:caps w:val="false"/>
          <w:smallCaps w:val="false"/>
          <w:sz w:val="20"/>
        </w:rPr>
        <w:t xml:space="preserve">. The following defined terms not referenced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have the meanings set forth in the Sections indicated below:</w:t>
      </w:r>
    </w:p>
    <w:p>
      <w:pPr>
        <w:pStyle w:val="TextBody"/>
        <w:bidi w:val="0"/>
        <w:spacing w:before="0" w:after="0"/>
        <w:ind w:left="0" w:right="0" w:firstLine="720"/>
        <w:jc w:val="left"/>
        <w:rPr>
          <w:caps w:val="false"/>
          <w:smallCaps w:val="false"/>
        </w:rPr>
      </w:pPr>
      <w:r>
        <w:rPr>
          <w:caps w:val="false"/>
          <w:smallCaps w:val="false"/>
        </w:rPr>
        <w:t> </w:t>
      </w:r>
    </w:p>
    <w:tbl>
      <w:tblPr>
        <w:tblW w:w="3295" w:type="dxa"/>
        <w:jc w:val="center"/>
        <w:tblInd w:w="0" w:type="dxa"/>
        <w:tblLayout w:type="fixed"/>
        <w:tblCellMar>
          <w:top w:w="0" w:type="dxa"/>
          <w:left w:w="0" w:type="dxa"/>
          <w:bottom w:w="0" w:type="dxa"/>
          <w:right w:w="0" w:type="dxa"/>
        </w:tblCellMar>
      </w:tblPr>
      <w:tblGrid>
        <w:gridCol w:w="2375"/>
        <w:gridCol w:w="920"/>
      </w:tblGrid>
      <w:tr>
        <w:trPr/>
        <w:tc>
          <w:tcPr>
            <w:tcW w:w="23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Definition</w:t>
            </w:r>
          </w:p>
        </w:tc>
        <w:tc>
          <w:tcPr>
            <w:tcW w:w="920" w:type="dxa"/>
            <w:tcBorders/>
            <w:vAlign w:val="center"/>
          </w:tcPr>
          <w:p>
            <w:pPr>
              <w:pStyle w:val="TableContents"/>
              <w:bidi w:val="0"/>
              <w:spacing w:before="0" w:after="283"/>
              <w:jc w:val="right"/>
              <w:rPr>
                <w:u w:val="single"/>
              </w:rPr>
            </w:pPr>
            <w:r>
              <w:rPr>
                <w:u w:val="single"/>
              </w:rPr>
              <w:t>Location</w:t>
            </w:r>
          </w:p>
        </w:tc>
      </w:tr>
      <w:tr>
        <w:trPr/>
        <w:tc>
          <w:tcPr>
            <w:tcW w:w="23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 </w:t>
            </w:r>
          </w:p>
        </w:tc>
      </w:tr>
      <w:tr>
        <w:trPr/>
        <w:tc>
          <w:tcPr>
            <w:tcW w:w="2375" w:type="dxa"/>
            <w:tcBorders/>
            <w:shd w:fill="C6F4F9" w:val="clear"/>
            <w:vAlign w:val="center"/>
          </w:tcPr>
          <w:p>
            <w:pPr>
              <w:pStyle w:val="TableContents"/>
              <w:bidi w:val="0"/>
              <w:spacing w:before="0" w:after="283"/>
              <w:jc w:val="left"/>
              <w:rPr/>
            </w:pPr>
            <w:r>
              <w:rPr/>
              <w:t>Act</w:t>
            </w:r>
          </w:p>
        </w:tc>
        <w:tc>
          <w:tcPr>
            <w:tcW w:w="920" w:type="dxa"/>
            <w:tcBorders/>
            <w:shd w:fill="C6F4F9" w:val="clear"/>
            <w:vAlign w:val="center"/>
          </w:tcPr>
          <w:p>
            <w:pPr>
              <w:pStyle w:val="TableContents"/>
              <w:bidi w:val="0"/>
              <w:spacing w:before="0" w:after="283"/>
              <w:jc w:val="right"/>
              <w:rPr/>
            </w:pPr>
            <w:r>
              <w:rPr/>
              <w:t>Recitals</w:t>
            </w:r>
          </w:p>
        </w:tc>
      </w:tr>
      <w:tr>
        <w:trPr/>
        <w:tc>
          <w:tcPr>
            <w:tcW w:w="2375" w:type="dxa"/>
            <w:tcBorders/>
            <w:shd w:fill="FFFFFF" w:val="clear"/>
            <w:vAlign w:val="center"/>
          </w:tcPr>
          <w:p>
            <w:pPr>
              <w:pStyle w:val="TableContents"/>
              <w:bidi w:val="0"/>
              <w:spacing w:before="0" w:after="283"/>
              <w:jc w:val="left"/>
              <w:rPr/>
            </w:pPr>
            <w:r>
              <w:rPr/>
              <w:t>Agreement</w:t>
            </w:r>
          </w:p>
        </w:tc>
        <w:tc>
          <w:tcPr>
            <w:tcW w:w="920" w:type="dxa"/>
            <w:tcBorders/>
            <w:shd w:fill="FFFFFF" w:val="clear"/>
            <w:vAlign w:val="center"/>
          </w:tcPr>
          <w:p>
            <w:pPr>
              <w:pStyle w:val="TableContents"/>
              <w:bidi w:val="0"/>
              <w:spacing w:before="0" w:after="283"/>
              <w:jc w:val="right"/>
              <w:rPr/>
            </w:pPr>
            <w:r>
              <w:rPr/>
              <w:t>Preamble</w:t>
            </w:r>
          </w:p>
        </w:tc>
      </w:tr>
      <w:tr>
        <w:trPr/>
        <w:tc>
          <w:tcPr>
            <w:tcW w:w="2375" w:type="dxa"/>
            <w:tcBorders/>
            <w:shd w:fill="C6F4F9" w:val="clear"/>
            <w:vAlign w:val="center"/>
          </w:tcPr>
          <w:p>
            <w:pPr>
              <w:pStyle w:val="TableContents"/>
              <w:bidi w:val="0"/>
              <w:spacing w:before="0" w:after="283"/>
              <w:jc w:val="left"/>
              <w:rPr/>
            </w:pPr>
            <w:r>
              <w:rPr/>
              <w:t>Annual Budget</w:t>
            </w:r>
          </w:p>
        </w:tc>
        <w:tc>
          <w:tcPr>
            <w:tcW w:w="920" w:type="dxa"/>
            <w:tcBorders/>
            <w:shd w:fill="C6F4F9" w:val="clear"/>
            <w:vAlign w:val="center"/>
          </w:tcPr>
          <w:p>
            <w:pPr>
              <w:pStyle w:val="TableContents"/>
              <w:bidi w:val="0"/>
              <w:spacing w:before="0" w:after="283"/>
              <w:jc w:val="right"/>
              <w:rPr/>
            </w:pPr>
            <w:r>
              <w:rPr/>
              <w:t>4.4</w:t>
            </w:r>
          </w:p>
        </w:tc>
      </w:tr>
      <w:tr>
        <w:trPr/>
        <w:tc>
          <w:tcPr>
            <w:tcW w:w="2375" w:type="dxa"/>
            <w:tcBorders/>
            <w:shd w:fill="FFFFFF" w:val="clear"/>
            <w:vAlign w:val="center"/>
          </w:tcPr>
          <w:p>
            <w:pPr>
              <w:pStyle w:val="TableContents"/>
              <w:bidi w:val="0"/>
              <w:spacing w:before="0" w:after="283"/>
              <w:jc w:val="left"/>
              <w:rPr/>
            </w:pPr>
            <w:r>
              <w:rPr/>
              <w:t>Bankruptcy Case</w:t>
            </w:r>
          </w:p>
        </w:tc>
        <w:tc>
          <w:tcPr>
            <w:tcW w:w="920" w:type="dxa"/>
            <w:tcBorders/>
            <w:shd w:fill="FFFFFF" w:val="clear"/>
            <w:vAlign w:val="center"/>
          </w:tcPr>
          <w:p>
            <w:pPr>
              <w:pStyle w:val="TableContents"/>
              <w:bidi w:val="0"/>
              <w:spacing w:before="0" w:after="283"/>
              <w:jc w:val="right"/>
              <w:rPr/>
            </w:pPr>
            <w:r>
              <w:rPr/>
              <w:t>12.3(a)</w:t>
            </w:r>
          </w:p>
        </w:tc>
      </w:tr>
      <w:tr>
        <w:trPr/>
        <w:tc>
          <w:tcPr>
            <w:tcW w:w="2375" w:type="dxa"/>
            <w:tcBorders/>
            <w:shd w:fill="C6F4F9" w:val="clear"/>
            <w:vAlign w:val="center"/>
          </w:tcPr>
          <w:p>
            <w:pPr>
              <w:pStyle w:val="TableContents"/>
              <w:bidi w:val="0"/>
              <w:spacing w:before="0" w:after="283"/>
              <w:jc w:val="left"/>
              <w:rPr/>
            </w:pPr>
            <w:r>
              <w:rPr/>
              <w:t>Board</w:t>
            </w:r>
          </w:p>
        </w:tc>
        <w:tc>
          <w:tcPr>
            <w:tcW w:w="920" w:type="dxa"/>
            <w:tcBorders/>
            <w:shd w:fill="C6F4F9" w:val="clear"/>
            <w:vAlign w:val="center"/>
          </w:tcPr>
          <w:p>
            <w:pPr>
              <w:pStyle w:val="TableContents"/>
              <w:bidi w:val="0"/>
              <w:spacing w:before="0" w:after="283"/>
              <w:jc w:val="right"/>
              <w:rPr/>
            </w:pPr>
            <w:r>
              <w:rPr/>
              <w:t>5.1</w:t>
            </w:r>
          </w:p>
        </w:tc>
      </w:tr>
      <w:tr>
        <w:trPr/>
        <w:tc>
          <w:tcPr>
            <w:tcW w:w="2375" w:type="dxa"/>
            <w:tcBorders/>
            <w:shd w:fill="FFFFFF" w:val="clear"/>
            <w:vAlign w:val="center"/>
          </w:tcPr>
          <w:p>
            <w:pPr>
              <w:pStyle w:val="TableContents"/>
              <w:bidi w:val="0"/>
              <w:spacing w:before="0" w:after="283"/>
              <w:jc w:val="left"/>
              <w:rPr/>
            </w:pPr>
            <w:r>
              <w:rPr/>
              <w:t>Bound Party</w:t>
            </w:r>
          </w:p>
        </w:tc>
        <w:tc>
          <w:tcPr>
            <w:tcW w:w="920" w:type="dxa"/>
            <w:tcBorders/>
            <w:shd w:fill="FFFFFF" w:val="clear"/>
            <w:vAlign w:val="center"/>
          </w:tcPr>
          <w:p>
            <w:pPr>
              <w:pStyle w:val="TableContents"/>
              <w:bidi w:val="0"/>
              <w:spacing w:before="0" w:after="283"/>
              <w:jc w:val="right"/>
              <w:rPr/>
            </w:pPr>
            <w:r>
              <w:rPr/>
              <w:t>12.3(a)</w:t>
            </w:r>
          </w:p>
        </w:tc>
      </w:tr>
      <w:tr>
        <w:trPr/>
        <w:tc>
          <w:tcPr>
            <w:tcW w:w="2375" w:type="dxa"/>
            <w:tcBorders/>
            <w:shd w:fill="C6F4F9" w:val="clear"/>
            <w:vAlign w:val="center"/>
          </w:tcPr>
          <w:p>
            <w:pPr>
              <w:pStyle w:val="TableContents"/>
              <w:bidi w:val="0"/>
              <w:spacing w:before="0" w:after="283"/>
              <w:jc w:val="left"/>
              <w:rPr/>
            </w:pPr>
            <w:r>
              <w:rPr/>
              <w:t>Certificate</w:t>
            </w:r>
          </w:p>
        </w:tc>
        <w:tc>
          <w:tcPr>
            <w:tcW w:w="920" w:type="dxa"/>
            <w:tcBorders/>
            <w:shd w:fill="C6F4F9" w:val="clear"/>
            <w:vAlign w:val="center"/>
          </w:tcPr>
          <w:p>
            <w:pPr>
              <w:pStyle w:val="TableContents"/>
              <w:bidi w:val="0"/>
              <w:spacing w:before="0" w:after="283"/>
              <w:jc w:val="right"/>
              <w:rPr/>
            </w:pPr>
            <w:r>
              <w:rPr/>
              <w:t>2.1(a)</w:t>
            </w:r>
          </w:p>
        </w:tc>
      </w:tr>
      <w:tr>
        <w:trPr/>
        <w:tc>
          <w:tcPr>
            <w:tcW w:w="2375" w:type="dxa"/>
            <w:tcBorders/>
            <w:shd w:fill="FFFFFF" w:val="clear"/>
            <w:vAlign w:val="center"/>
          </w:tcPr>
          <w:p>
            <w:pPr>
              <w:pStyle w:val="TableContents"/>
              <w:bidi w:val="0"/>
              <w:spacing w:before="0" w:after="283"/>
              <w:jc w:val="left"/>
              <w:rPr/>
            </w:pPr>
            <w:r>
              <w:rPr/>
              <w:t>Chairman</w:t>
            </w:r>
          </w:p>
        </w:tc>
        <w:tc>
          <w:tcPr>
            <w:tcW w:w="920" w:type="dxa"/>
            <w:tcBorders/>
            <w:shd w:fill="FFFFFF" w:val="clear"/>
            <w:vAlign w:val="center"/>
          </w:tcPr>
          <w:p>
            <w:pPr>
              <w:pStyle w:val="TableContents"/>
              <w:bidi w:val="0"/>
              <w:spacing w:before="0" w:after="283"/>
              <w:jc w:val="right"/>
              <w:rPr/>
            </w:pPr>
            <w:r>
              <w:rPr/>
              <w:t>5.2</w:t>
            </w:r>
          </w:p>
        </w:tc>
      </w:tr>
      <w:tr>
        <w:trPr/>
        <w:tc>
          <w:tcPr>
            <w:tcW w:w="2375" w:type="dxa"/>
            <w:tcBorders/>
            <w:shd w:fill="C6F4F9" w:val="clear"/>
            <w:vAlign w:val="center"/>
          </w:tcPr>
          <w:p>
            <w:pPr>
              <w:pStyle w:val="TableContents"/>
              <w:bidi w:val="0"/>
              <w:spacing w:before="0" w:after="283"/>
              <w:jc w:val="left"/>
              <w:rPr/>
            </w:pPr>
            <w:r>
              <w:rPr/>
              <w:t>CoC Member</w:t>
            </w:r>
          </w:p>
        </w:tc>
        <w:tc>
          <w:tcPr>
            <w:tcW w:w="920" w:type="dxa"/>
            <w:tcBorders/>
            <w:shd w:fill="C6F4F9" w:val="clear"/>
            <w:vAlign w:val="center"/>
          </w:tcPr>
          <w:p>
            <w:pPr>
              <w:pStyle w:val="TableContents"/>
              <w:bidi w:val="0"/>
              <w:spacing w:before="0" w:after="283"/>
              <w:jc w:val="right"/>
              <w:rPr/>
            </w:pPr>
            <w:r>
              <w:rPr/>
              <w:t>9.3(a)</w:t>
            </w:r>
          </w:p>
        </w:tc>
      </w:tr>
      <w:tr>
        <w:trPr/>
        <w:tc>
          <w:tcPr>
            <w:tcW w:w="2375" w:type="dxa"/>
            <w:tcBorders/>
            <w:shd w:fill="FFFFFF" w:val="clear"/>
            <w:vAlign w:val="center"/>
          </w:tcPr>
          <w:p>
            <w:pPr>
              <w:pStyle w:val="TableContents"/>
              <w:bidi w:val="0"/>
              <w:spacing w:before="0" w:after="283"/>
              <w:jc w:val="left"/>
              <w:rPr/>
            </w:pPr>
            <w:r>
              <w:rPr/>
              <w:t>CoC Notice</w:t>
            </w:r>
          </w:p>
        </w:tc>
        <w:tc>
          <w:tcPr>
            <w:tcW w:w="920" w:type="dxa"/>
            <w:tcBorders/>
            <w:shd w:fill="FFFFFF" w:val="clear"/>
            <w:vAlign w:val="center"/>
          </w:tcPr>
          <w:p>
            <w:pPr>
              <w:pStyle w:val="TableContents"/>
              <w:bidi w:val="0"/>
              <w:spacing w:before="0" w:after="283"/>
              <w:jc w:val="right"/>
              <w:rPr/>
            </w:pPr>
            <w:r>
              <w:rPr/>
              <w:t>9.3(a)</w:t>
            </w:r>
          </w:p>
        </w:tc>
      </w:tr>
      <w:tr>
        <w:trPr/>
        <w:tc>
          <w:tcPr>
            <w:tcW w:w="2375" w:type="dxa"/>
            <w:tcBorders/>
            <w:shd w:fill="C6F4F9" w:val="clear"/>
            <w:vAlign w:val="center"/>
          </w:tcPr>
          <w:p>
            <w:pPr>
              <w:pStyle w:val="TableContents"/>
              <w:bidi w:val="0"/>
              <w:spacing w:before="0" w:after="283"/>
              <w:jc w:val="left"/>
              <w:rPr/>
            </w:pPr>
            <w:r>
              <w:rPr/>
              <w:t>CoC Option Notice</w:t>
            </w:r>
          </w:p>
        </w:tc>
        <w:tc>
          <w:tcPr>
            <w:tcW w:w="920" w:type="dxa"/>
            <w:tcBorders/>
            <w:shd w:fill="C6F4F9" w:val="clear"/>
            <w:vAlign w:val="center"/>
          </w:tcPr>
          <w:p>
            <w:pPr>
              <w:pStyle w:val="TableContents"/>
              <w:bidi w:val="0"/>
              <w:spacing w:before="0" w:after="283"/>
              <w:jc w:val="right"/>
              <w:rPr/>
            </w:pPr>
            <w:r>
              <w:rPr/>
              <w:t>9.3(b)</w:t>
            </w:r>
          </w:p>
        </w:tc>
      </w:tr>
      <w:tr>
        <w:trPr/>
        <w:tc>
          <w:tcPr>
            <w:tcW w:w="2375" w:type="dxa"/>
            <w:tcBorders/>
            <w:shd w:fill="FFFFFF" w:val="clear"/>
            <w:vAlign w:val="center"/>
          </w:tcPr>
          <w:p>
            <w:pPr>
              <w:pStyle w:val="TableContents"/>
              <w:bidi w:val="0"/>
              <w:spacing w:before="0" w:after="283"/>
              <w:jc w:val="left"/>
              <w:rPr/>
            </w:pPr>
            <w:r>
              <w:rPr/>
              <w:t>CoC Option Transaction</w:t>
            </w:r>
          </w:p>
        </w:tc>
        <w:tc>
          <w:tcPr>
            <w:tcW w:w="920" w:type="dxa"/>
            <w:tcBorders/>
            <w:shd w:fill="FFFFFF" w:val="clear"/>
            <w:vAlign w:val="center"/>
          </w:tcPr>
          <w:p>
            <w:pPr>
              <w:pStyle w:val="TableContents"/>
              <w:bidi w:val="0"/>
              <w:spacing w:before="0" w:after="283"/>
              <w:jc w:val="right"/>
              <w:rPr/>
            </w:pPr>
            <w:r>
              <w:rPr/>
              <w:t>9.3(a)</w:t>
            </w:r>
          </w:p>
        </w:tc>
      </w:tr>
      <w:tr>
        <w:trPr/>
        <w:tc>
          <w:tcPr>
            <w:tcW w:w="2375" w:type="dxa"/>
            <w:tcBorders/>
            <w:shd w:fill="C6F4F9" w:val="clear"/>
            <w:vAlign w:val="center"/>
          </w:tcPr>
          <w:p>
            <w:pPr>
              <w:pStyle w:val="TableContents"/>
              <w:bidi w:val="0"/>
              <w:spacing w:before="0" w:after="283"/>
              <w:jc w:val="left"/>
              <w:rPr/>
            </w:pPr>
            <w:r>
              <w:rPr/>
              <w:t>Company</w:t>
            </w:r>
          </w:p>
        </w:tc>
        <w:tc>
          <w:tcPr>
            <w:tcW w:w="920" w:type="dxa"/>
            <w:tcBorders/>
            <w:shd w:fill="C6F4F9" w:val="clear"/>
            <w:vAlign w:val="center"/>
          </w:tcPr>
          <w:p>
            <w:pPr>
              <w:pStyle w:val="TableContents"/>
              <w:bidi w:val="0"/>
              <w:spacing w:before="0" w:after="283"/>
              <w:jc w:val="right"/>
              <w:rPr/>
            </w:pPr>
            <w:r>
              <w:rPr/>
              <w:t>Preamble</w:t>
            </w:r>
          </w:p>
        </w:tc>
      </w:tr>
      <w:tr>
        <w:trPr/>
        <w:tc>
          <w:tcPr>
            <w:tcW w:w="2375" w:type="dxa"/>
            <w:tcBorders/>
            <w:shd w:fill="FFFFFF" w:val="clear"/>
            <w:vAlign w:val="center"/>
          </w:tcPr>
          <w:p>
            <w:pPr>
              <w:pStyle w:val="TableContents"/>
              <w:bidi w:val="0"/>
              <w:spacing w:before="0" w:after="283"/>
              <w:jc w:val="left"/>
              <w:rPr/>
            </w:pPr>
            <w:r>
              <w:rPr/>
              <w:t>Company Business</w:t>
            </w:r>
          </w:p>
        </w:tc>
        <w:tc>
          <w:tcPr>
            <w:tcW w:w="920" w:type="dxa"/>
            <w:tcBorders/>
            <w:shd w:fill="FFFFFF" w:val="clear"/>
            <w:vAlign w:val="center"/>
          </w:tcPr>
          <w:p>
            <w:pPr>
              <w:pStyle w:val="TableContents"/>
              <w:bidi w:val="0"/>
              <w:spacing w:before="0" w:after="283"/>
              <w:jc w:val="right"/>
              <w:rPr/>
            </w:pPr>
            <w:r>
              <w:rPr/>
              <w:t>Recitals</w:t>
            </w:r>
          </w:p>
        </w:tc>
      </w:tr>
      <w:tr>
        <w:trPr/>
        <w:tc>
          <w:tcPr>
            <w:tcW w:w="2375" w:type="dxa"/>
            <w:tcBorders/>
            <w:shd w:fill="C6F4F9" w:val="clear"/>
            <w:vAlign w:val="center"/>
          </w:tcPr>
          <w:p>
            <w:pPr>
              <w:pStyle w:val="TableContents"/>
              <w:bidi w:val="0"/>
              <w:spacing w:before="0" w:after="283"/>
              <w:jc w:val="left"/>
              <w:rPr/>
            </w:pPr>
            <w:r>
              <w:rPr/>
              <w:t>Confidential Information</w:t>
            </w:r>
          </w:p>
        </w:tc>
        <w:tc>
          <w:tcPr>
            <w:tcW w:w="920" w:type="dxa"/>
            <w:tcBorders/>
            <w:shd w:fill="C6F4F9" w:val="clear"/>
            <w:vAlign w:val="center"/>
          </w:tcPr>
          <w:p>
            <w:pPr>
              <w:pStyle w:val="TableContents"/>
              <w:bidi w:val="0"/>
              <w:spacing w:before="0" w:after="283"/>
              <w:jc w:val="right"/>
              <w:rPr/>
            </w:pPr>
            <w:r>
              <w:rPr/>
              <w:t>12.4(a)</w:t>
            </w:r>
          </w:p>
        </w:tc>
      </w:tr>
      <w:tr>
        <w:trPr/>
        <w:tc>
          <w:tcPr>
            <w:tcW w:w="2375" w:type="dxa"/>
            <w:tcBorders/>
            <w:shd w:fill="FFFFFF" w:val="clear"/>
            <w:vAlign w:val="center"/>
          </w:tcPr>
          <w:p>
            <w:pPr>
              <w:pStyle w:val="TableContents"/>
              <w:bidi w:val="0"/>
              <w:spacing w:before="0" w:after="283"/>
              <w:jc w:val="left"/>
              <w:rPr/>
            </w:pPr>
            <w:r>
              <w:rPr/>
              <w:t>Conflicted Matter</w:t>
            </w:r>
          </w:p>
        </w:tc>
        <w:tc>
          <w:tcPr>
            <w:tcW w:w="920" w:type="dxa"/>
            <w:tcBorders/>
            <w:shd w:fill="FFFFFF" w:val="clear"/>
            <w:vAlign w:val="center"/>
          </w:tcPr>
          <w:p>
            <w:pPr>
              <w:pStyle w:val="TableContents"/>
              <w:bidi w:val="0"/>
              <w:spacing w:before="0" w:after="283"/>
              <w:jc w:val="right"/>
              <w:rPr/>
            </w:pPr>
            <w:r>
              <w:rPr/>
              <w:t>5.14(b)</w:t>
            </w:r>
          </w:p>
        </w:tc>
      </w:tr>
      <w:tr>
        <w:trPr/>
        <w:tc>
          <w:tcPr>
            <w:tcW w:w="2375" w:type="dxa"/>
            <w:tcBorders/>
            <w:shd w:fill="C6F4F9" w:val="clear"/>
            <w:vAlign w:val="center"/>
          </w:tcPr>
          <w:p>
            <w:pPr>
              <w:pStyle w:val="TableContents"/>
              <w:bidi w:val="0"/>
              <w:spacing w:before="0" w:after="283"/>
              <w:jc w:val="left"/>
              <w:rPr/>
            </w:pPr>
            <w:r>
              <w:rPr/>
              <w:t>Consent Threshold</w:t>
            </w:r>
          </w:p>
        </w:tc>
        <w:tc>
          <w:tcPr>
            <w:tcW w:w="920" w:type="dxa"/>
            <w:tcBorders/>
            <w:shd w:fill="C6F4F9" w:val="clear"/>
            <w:vAlign w:val="center"/>
          </w:tcPr>
          <w:p>
            <w:pPr>
              <w:pStyle w:val="TableContents"/>
              <w:bidi w:val="0"/>
              <w:spacing w:before="0" w:after="283"/>
              <w:jc w:val="right"/>
              <w:rPr/>
            </w:pPr>
            <w:r>
              <w:rPr/>
              <w:t>5.6</w:t>
            </w:r>
          </w:p>
        </w:tc>
      </w:tr>
      <w:tr>
        <w:trPr/>
        <w:tc>
          <w:tcPr>
            <w:tcW w:w="2375" w:type="dxa"/>
            <w:tcBorders/>
            <w:shd w:fill="FFFFFF" w:val="clear"/>
            <w:vAlign w:val="center"/>
          </w:tcPr>
          <w:p>
            <w:pPr>
              <w:pStyle w:val="TableContents"/>
              <w:bidi w:val="0"/>
              <w:spacing w:before="0" w:after="283"/>
              <w:jc w:val="left"/>
              <w:rPr/>
            </w:pPr>
            <w:r>
              <w:rPr/>
              <w:t>Continuing Budget</w:t>
            </w:r>
          </w:p>
        </w:tc>
        <w:tc>
          <w:tcPr>
            <w:tcW w:w="920" w:type="dxa"/>
            <w:tcBorders/>
            <w:shd w:fill="FFFFFF" w:val="clear"/>
            <w:vAlign w:val="center"/>
          </w:tcPr>
          <w:p>
            <w:pPr>
              <w:pStyle w:val="TableContents"/>
              <w:bidi w:val="0"/>
              <w:spacing w:before="0" w:after="283"/>
              <w:jc w:val="right"/>
              <w:rPr/>
            </w:pPr>
            <w:r>
              <w:rPr/>
              <w:t>4.4</w:t>
            </w:r>
          </w:p>
        </w:tc>
      </w:tr>
      <w:tr>
        <w:trPr/>
        <w:tc>
          <w:tcPr>
            <w:tcW w:w="2375" w:type="dxa"/>
            <w:tcBorders/>
            <w:shd w:fill="C6F4F9" w:val="clear"/>
            <w:vAlign w:val="center"/>
          </w:tcPr>
          <w:p>
            <w:pPr>
              <w:pStyle w:val="TableContents"/>
              <w:bidi w:val="0"/>
              <w:spacing w:before="0" w:after="283"/>
              <w:jc w:val="left"/>
              <w:rPr/>
            </w:pPr>
            <w:r>
              <w:rPr/>
              <w:t>Designated Individual</w:t>
            </w:r>
          </w:p>
        </w:tc>
        <w:tc>
          <w:tcPr>
            <w:tcW w:w="920" w:type="dxa"/>
            <w:tcBorders/>
            <w:shd w:fill="C6F4F9" w:val="clear"/>
            <w:vAlign w:val="center"/>
          </w:tcPr>
          <w:p>
            <w:pPr>
              <w:pStyle w:val="TableContents"/>
              <w:bidi w:val="0"/>
              <w:spacing w:before="0" w:after="283"/>
              <w:jc w:val="right"/>
              <w:rPr/>
            </w:pPr>
            <w:r>
              <w:rPr/>
              <w:t>4.4(a)(ii)</w:t>
            </w:r>
          </w:p>
        </w:tc>
      </w:tr>
      <w:tr>
        <w:trPr/>
        <w:tc>
          <w:tcPr>
            <w:tcW w:w="2375" w:type="dxa"/>
            <w:tcBorders/>
            <w:shd w:fill="FFFFFF" w:val="clear"/>
            <w:vAlign w:val="center"/>
          </w:tcPr>
          <w:p>
            <w:pPr>
              <w:pStyle w:val="TableContents"/>
              <w:bidi w:val="0"/>
              <w:spacing w:before="0" w:after="283"/>
              <w:jc w:val="left"/>
              <w:rPr/>
            </w:pPr>
            <w:r>
              <w:rPr/>
              <w:t>Dissolution Event</w:t>
            </w:r>
          </w:p>
        </w:tc>
        <w:tc>
          <w:tcPr>
            <w:tcW w:w="920" w:type="dxa"/>
            <w:tcBorders/>
            <w:shd w:fill="FFFFFF" w:val="clear"/>
            <w:vAlign w:val="center"/>
          </w:tcPr>
          <w:p>
            <w:pPr>
              <w:pStyle w:val="TableContents"/>
              <w:bidi w:val="0"/>
              <w:spacing w:before="0" w:after="283"/>
              <w:jc w:val="right"/>
              <w:rPr/>
            </w:pPr>
            <w:r>
              <w:rPr/>
              <w:t>10.2(a)</w:t>
            </w:r>
          </w:p>
        </w:tc>
      </w:tr>
      <w:tr>
        <w:trPr/>
        <w:tc>
          <w:tcPr>
            <w:tcW w:w="2375" w:type="dxa"/>
            <w:tcBorders/>
            <w:shd w:fill="C6F4F9" w:val="clear"/>
            <w:vAlign w:val="center"/>
          </w:tcPr>
          <w:p>
            <w:pPr>
              <w:pStyle w:val="TableContents"/>
              <w:bidi w:val="0"/>
              <w:spacing w:before="0" w:after="283"/>
              <w:jc w:val="left"/>
              <w:rPr/>
            </w:pPr>
            <w:r>
              <w:rPr/>
              <w:t>Effective Date</w:t>
            </w:r>
          </w:p>
        </w:tc>
        <w:tc>
          <w:tcPr>
            <w:tcW w:w="920" w:type="dxa"/>
            <w:tcBorders/>
            <w:shd w:fill="C6F4F9" w:val="clear"/>
            <w:vAlign w:val="center"/>
          </w:tcPr>
          <w:p>
            <w:pPr>
              <w:pStyle w:val="TableContents"/>
              <w:bidi w:val="0"/>
              <w:spacing w:before="0" w:after="283"/>
              <w:jc w:val="right"/>
              <w:rPr/>
            </w:pPr>
            <w:r>
              <w:rPr/>
              <w:t>Recitals</w:t>
            </w:r>
          </w:p>
        </w:tc>
      </w:tr>
      <w:tr>
        <w:trPr/>
        <w:tc>
          <w:tcPr>
            <w:tcW w:w="2375" w:type="dxa"/>
            <w:tcBorders/>
            <w:shd w:fill="FFFFFF" w:val="clear"/>
            <w:vAlign w:val="center"/>
          </w:tcPr>
          <w:p>
            <w:pPr>
              <w:pStyle w:val="TableContents"/>
              <w:bidi w:val="0"/>
              <w:spacing w:before="0" w:after="283"/>
              <w:jc w:val="left"/>
              <w:rPr/>
            </w:pPr>
            <w:r>
              <w:rPr/>
              <w:t>Equity Purchase Right</w:t>
            </w:r>
          </w:p>
        </w:tc>
        <w:tc>
          <w:tcPr>
            <w:tcW w:w="920" w:type="dxa"/>
            <w:tcBorders/>
            <w:shd w:fill="FFFFFF" w:val="clear"/>
            <w:vAlign w:val="center"/>
          </w:tcPr>
          <w:p>
            <w:pPr>
              <w:pStyle w:val="TableContents"/>
              <w:bidi w:val="0"/>
              <w:spacing w:before="0" w:after="283"/>
              <w:jc w:val="right"/>
              <w:rPr/>
            </w:pPr>
            <w:r>
              <w:rPr/>
              <w:t>12.1(a)</w:t>
            </w:r>
          </w:p>
        </w:tc>
      </w:tr>
      <w:tr>
        <w:trPr/>
        <w:tc>
          <w:tcPr>
            <w:tcW w:w="2375" w:type="dxa"/>
            <w:tcBorders/>
            <w:shd w:fill="C6F4F9" w:val="clear"/>
            <w:vAlign w:val="center"/>
          </w:tcPr>
          <w:p>
            <w:pPr>
              <w:pStyle w:val="TableContents"/>
              <w:bidi w:val="0"/>
              <w:spacing w:before="0" w:after="283"/>
              <w:jc w:val="left"/>
              <w:rPr/>
            </w:pPr>
            <w:r>
              <w:rPr/>
              <w:t>Equity Purchase Units</w:t>
            </w:r>
          </w:p>
        </w:tc>
        <w:tc>
          <w:tcPr>
            <w:tcW w:w="920" w:type="dxa"/>
            <w:tcBorders/>
            <w:shd w:fill="C6F4F9" w:val="clear"/>
            <w:vAlign w:val="center"/>
          </w:tcPr>
          <w:p>
            <w:pPr>
              <w:pStyle w:val="TableContents"/>
              <w:bidi w:val="0"/>
              <w:spacing w:before="0" w:after="283"/>
              <w:jc w:val="right"/>
              <w:rPr/>
            </w:pPr>
            <w:r>
              <w:rPr/>
              <w:t>12.1(a)</w:t>
            </w:r>
          </w:p>
        </w:tc>
      </w:tr>
      <w:tr>
        <w:trPr/>
        <w:tc>
          <w:tcPr>
            <w:tcW w:w="2375" w:type="dxa"/>
            <w:tcBorders/>
            <w:shd w:fill="FFFFFF" w:val="clear"/>
            <w:vAlign w:val="center"/>
          </w:tcPr>
          <w:p>
            <w:pPr>
              <w:pStyle w:val="TableContents"/>
              <w:bidi w:val="0"/>
              <w:spacing w:before="0" w:after="283"/>
              <w:jc w:val="left"/>
              <w:rPr/>
            </w:pPr>
            <w:r>
              <w:rPr/>
              <w:t>Exercising Member</w:t>
            </w:r>
          </w:p>
        </w:tc>
        <w:tc>
          <w:tcPr>
            <w:tcW w:w="920" w:type="dxa"/>
            <w:tcBorders/>
            <w:shd w:fill="FFFFFF" w:val="clear"/>
            <w:vAlign w:val="center"/>
          </w:tcPr>
          <w:p>
            <w:pPr>
              <w:pStyle w:val="TableContents"/>
              <w:bidi w:val="0"/>
              <w:spacing w:before="0" w:after="283"/>
              <w:jc w:val="right"/>
              <w:rPr/>
            </w:pPr>
            <w:r>
              <w:rPr/>
              <w:t>12.1(d)</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sz w:val="20"/>
        </w:rPr>
      </w:pPr>
      <w:r>
        <w:rPr>
          <w:position w:val="7"/>
          <w:sz w:val="16"/>
          <w:sz w:val="20"/>
        </w:rPr>
        <w:t>2</w:t>
      </w:r>
      <w:r>
        <w:rPr>
          <w:sz w:val="20"/>
        </w:rPr>
        <w:t xml:space="preserve">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105" w:type="dxa"/>
        <w:jc w:val="center"/>
        <w:tblInd w:w="0" w:type="dxa"/>
        <w:tblLayout w:type="fixed"/>
        <w:tblCellMar>
          <w:top w:w="0" w:type="dxa"/>
          <w:left w:w="0" w:type="dxa"/>
          <w:bottom w:w="0" w:type="dxa"/>
          <w:right w:w="0" w:type="dxa"/>
        </w:tblCellMar>
      </w:tblPr>
      <w:tblGrid>
        <w:gridCol w:w="3185"/>
        <w:gridCol w:w="920"/>
      </w:tblGrid>
      <w:tr>
        <w:trPr/>
        <w:tc>
          <w:tcPr>
            <w:tcW w:w="318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Definition</w:t>
            </w:r>
          </w:p>
        </w:tc>
        <w:tc>
          <w:tcPr>
            <w:tcW w:w="920" w:type="dxa"/>
            <w:tcBorders/>
            <w:vAlign w:val="center"/>
          </w:tcPr>
          <w:p>
            <w:pPr>
              <w:pStyle w:val="TableContents"/>
              <w:bidi w:val="0"/>
              <w:spacing w:before="0" w:after="283"/>
              <w:jc w:val="right"/>
              <w:rPr>
                <w:u w:val="single"/>
              </w:rPr>
            </w:pPr>
            <w:r>
              <w:rPr>
                <w:u w:val="single"/>
              </w:rPr>
              <w:t>Location</w:t>
            </w:r>
          </w:p>
        </w:tc>
      </w:tr>
      <w:tr>
        <w:trPr/>
        <w:tc>
          <w:tcPr>
            <w:tcW w:w="318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 </w:t>
            </w:r>
          </w:p>
        </w:tc>
      </w:tr>
      <w:tr>
        <w:trPr/>
        <w:tc>
          <w:tcPr>
            <w:tcW w:w="3185" w:type="dxa"/>
            <w:tcBorders/>
            <w:shd w:fill="C6F4F9" w:val="clear"/>
            <w:vAlign w:val="center"/>
          </w:tcPr>
          <w:p>
            <w:pPr>
              <w:pStyle w:val="TableContents"/>
              <w:bidi w:val="0"/>
              <w:spacing w:before="0" w:after="283"/>
              <w:jc w:val="left"/>
              <w:rPr/>
            </w:pPr>
            <w:r>
              <w:rPr/>
              <w:t>Formation Date</w:t>
            </w:r>
          </w:p>
        </w:tc>
        <w:tc>
          <w:tcPr>
            <w:tcW w:w="920" w:type="dxa"/>
            <w:tcBorders/>
            <w:shd w:fill="C6F4F9" w:val="clear"/>
            <w:vAlign w:val="center"/>
          </w:tcPr>
          <w:p>
            <w:pPr>
              <w:pStyle w:val="TableContents"/>
              <w:bidi w:val="0"/>
              <w:spacing w:before="0" w:after="283"/>
              <w:jc w:val="right"/>
              <w:rPr/>
            </w:pPr>
            <w:r>
              <w:rPr/>
              <w:t>2.1(a)</w:t>
            </w:r>
          </w:p>
        </w:tc>
      </w:tr>
      <w:tr>
        <w:trPr/>
        <w:tc>
          <w:tcPr>
            <w:tcW w:w="3185" w:type="dxa"/>
            <w:tcBorders/>
            <w:shd w:fill="FFFFFF" w:val="clear"/>
            <w:vAlign w:val="center"/>
          </w:tcPr>
          <w:p>
            <w:pPr>
              <w:pStyle w:val="TableContents"/>
              <w:bidi w:val="0"/>
              <w:spacing w:before="0" w:after="283"/>
              <w:jc w:val="left"/>
              <w:rPr/>
            </w:pPr>
            <w:r>
              <w:rPr/>
              <w:t>G-III Managers</w:t>
            </w:r>
          </w:p>
        </w:tc>
        <w:tc>
          <w:tcPr>
            <w:tcW w:w="920" w:type="dxa"/>
            <w:tcBorders/>
            <w:shd w:fill="FFFFFF" w:val="clear"/>
            <w:vAlign w:val="center"/>
          </w:tcPr>
          <w:p>
            <w:pPr>
              <w:pStyle w:val="TableContents"/>
              <w:bidi w:val="0"/>
              <w:spacing w:before="0" w:after="283"/>
              <w:jc w:val="right"/>
              <w:rPr/>
            </w:pPr>
            <w:r>
              <w:rPr/>
              <w:t>5.2(B)(ii)</w:t>
            </w:r>
          </w:p>
        </w:tc>
      </w:tr>
      <w:tr>
        <w:trPr/>
        <w:tc>
          <w:tcPr>
            <w:tcW w:w="3185" w:type="dxa"/>
            <w:tcBorders/>
            <w:shd w:fill="C6F4F9" w:val="clear"/>
            <w:vAlign w:val="center"/>
          </w:tcPr>
          <w:p>
            <w:pPr>
              <w:pStyle w:val="TableContents"/>
              <w:bidi w:val="0"/>
              <w:spacing w:before="0" w:after="283"/>
              <w:jc w:val="left"/>
              <w:rPr/>
            </w:pPr>
            <w:r>
              <w:rPr/>
              <w:t>G-III Member</w:t>
            </w:r>
          </w:p>
        </w:tc>
        <w:tc>
          <w:tcPr>
            <w:tcW w:w="920" w:type="dxa"/>
            <w:tcBorders/>
            <w:shd w:fill="C6F4F9" w:val="clear"/>
            <w:vAlign w:val="center"/>
          </w:tcPr>
          <w:p>
            <w:pPr>
              <w:pStyle w:val="TableContents"/>
              <w:bidi w:val="0"/>
              <w:spacing w:before="0" w:after="283"/>
              <w:jc w:val="right"/>
              <w:rPr/>
            </w:pPr>
            <w:r>
              <w:rPr/>
              <w:t>Preamble</w:t>
            </w:r>
          </w:p>
        </w:tc>
      </w:tr>
      <w:tr>
        <w:trPr/>
        <w:tc>
          <w:tcPr>
            <w:tcW w:w="3185" w:type="dxa"/>
            <w:tcBorders/>
            <w:shd w:fill="FFFFFF" w:val="clear"/>
            <w:vAlign w:val="center"/>
          </w:tcPr>
          <w:p>
            <w:pPr>
              <w:pStyle w:val="TableContents"/>
              <w:bidi w:val="0"/>
              <w:spacing w:before="0" w:after="283"/>
              <w:jc w:val="left"/>
              <w:rPr/>
            </w:pPr>
            <w:r>
              <w:rPr/>
              <w:t>Holder Indemnitors</w:t>
            </w:r>
          </w:p>
        </w:tc>
        <w:tc>
          <w:tcPr>
            <w:tcW w:w="920" w:type="dxa"/>
            <w:tcBorders/>
            <w:shd w:fill="FFFFFF" w:val="clear"/>
            <w:vAlign w:val="center"/>
          </w:tcPr>
          <w:p>
            <w:pPr>
              <w:pStyle w:val="TableContents"/>
              <w:bidi w:val="0"/>
              <w:spacing w:before="0" w:after="283"/>
              <w:jc w:val="right"/>
              <w:rPr/>
            </w:pPr>
            <w:r>
              <w:rPr/>
              <w:t>11.6(b)</w:t>
            </w:r>
          </w:p>
        </w:tc>
      </w:tr>
      <w:tr>
        <w:trPr/>
        <w:tc>
          <w:tcPr>
            <w:tcW w:w="3185" w:type="dxa"/>
            <w:tcBorders/>
            <w:shd w:fill="C6F4F9" w:val="clear"/>
            <w:vAlign w:val="center"/>
          </w:tcPr>
          <w:p>
            <w:pPr>
              <w:pStyle w:val="TableContents"/>
              <w:bidi w:val="0"/>
              <w:spacing w:before="0" w:after="283"/>
              <w:jc w:val="left"/>
              <w:rPr/>
            </w:pPr>
            <w:r>
              <w:rPr/>
              <w:t>Imputed Underpayment</w:t>
            </w:r>
          </w:p>
        </w:tc>
        <w:tc>
          <w:tcPr>
            <w:tcW w:w="920" w:type="dxa"/>
            <w:tcBorders/>
            <w:shd w:fill="C6F4F9" w:val="clear"/>
            <w:vAlign w:val="center"/>
          </w:tcPr>
          <w:p>
            <w:pPr>
              <w:pStyle w:val="TableContents"/>
              <w:bidi w:val="0"/>
              <w:spacing w:before="0" w:after="283"/>
              <w:jc w:val="right"/>
              <w:rPr/>
            </w:pPr>
            <w:r>
              <w:rPr/>
              <w:t>4.5(b)</w:t>
            </w:r>
          </w:p>
        </w:tc>
      </w:tr>
      <w:tr>
        <w:trPr/>
        <w:tc>
          <w:tcPr>
            <w:tcW w:w="3185" w:type="dxa"/>
            <w:tcBorders/>
            <w:shd w:fill="FFFFFF" w:val="clear"/>
            <w:vAlign w:val="center"/>
          </w:tcPr>
          <w:p>
            <w:pPr>
              <w:pStyle w:val="TableContents"/>
              <w:bidi w:val="0"/>
              <w:spacing w:before="0" w:after="283"/>
              <w:jc w:val="left"/>
              <w:rPr/>
            </w:pPr>
            <w:r>
              <w:rPr/>
              <w:t>Imputed Underpayment Share</w:t>
            </w:r>
          </w:p>
        </w:tc>
        <w:tc>
          <w:tcPr>
            <w:tcW w:w="920" w:type="dxa"/>
            <w:tcBorders/>
            <w:shd w:fill="FFFFFF" w:val="clear"/>
            <w:vAlign w:val="center"/>
          </w:tcPr>
          <w:p>
            <w:pPr>
              <w:pStyle w:val="TableContents"/>
              <w:bidi w:val="0"/>
              <w:spacing w:before="0" w:after="283"/>
              <w:jc w:val="right"/>
              <w:rPr/>
            </w:pPr>
            <w:r>
              <w:rPr/>
              <w:t>4.5(c)</w:t>
            </w:r>
          </w:p>
        </w:tc>
      </w:tr>
      <w:tr>
        <w:trPr/>
        <w:tc>
          <w:tcPr>
            <w:tcW w:w="3185" w:type="dxa"/>
            <w:tcBorders/>
            <w:shd w:fill="C6F4F9" w:val="clear"/>
            <w:vAlign w:val="center"/>
          </w:tcPr>
          <w:p>
            <w:pPr>
              <w:pStyle w:val="TableContents"/>
              <w:bidi w:val="0"/>
              <w:spacing w:before="0" w:after="283"/>
              <w:jc w:val="left"/>
              <w:rPr/>
            </w:pPr>
            <w:r>
              <w:rPr/>
              <w:t>Initial Budget</w:t>
            </w:r>
          </w:p>
        </w:tc>
        <w:tc>
          <w:tcPr>
            <w:tcW w:w="920" w:type="dxa"/>
            <w:tcBorders/>
            <w:shd w:fill="C6F4F9" w:val="clear"/>
            <w:vAlign w:val="center"/>
          </w:tcPr>
          <w:p>
            <w:pPr>
              <w:pStyle w:val="TableContents"/>
              <w:bidi w:val="0"/>
              <w:spacing w:before="0" w:after="283"/>
              <w:jc w:val="right"/>
              <w:rPr/>
            </w:pPr>
            <w:r>
              <w:rPr/>
              <w:t>4.4</w:t>
            </w:r>
          </w:p>
        </w:tc>
      </w:tr>
      <w:tr>
        <w:trPr/>
        <w:tc>
          <w:tcPr>
            <w:tcW w:w="3185" w:type="dxa"/>
            <w:tcBorders/>
            <w:shd w:fill="FFFFFF" w:val="clear"/>
            <w:vAlign w:val="center"/>
          </w:tcPr>
          <w:p>
            <w:pPr>
              <w:pStyle w:val="TableContents"/>
              <w:bidi w:val="0"/>
              <w:spacing w:before="0" w:after="283"/>
              <w:jc w:val="left"/>
              <w:rPr/>
            </w:pPr>
            <w:r>
              <w:rPr/>
              <w:t>Issuance Notice</w:t>
            </w:r>
          </w:p>
        </w:tc>
        <w:tc>
          <w:tcPr>
            <w:tcW w:w="920" w:type="dxa"/>
            <w:tcBorders/>
            <w:shd w:fill="FFFFFF" w:val="clear"/>
            <w:vAlign w:val="center"/>
          </w:tcPr>
          <w:p>
            <w:pPr>
              <w:pStyle w:val="TableContents"/>
              <w:bidi w:val="0"/>
              <w:spacing w:before="0" w:after="283"/>
              <w:jc w:val="right"/>
              <w:rPr/>
            </w:pPr>
            <w:r>
              <w:rPr/>
              <w:t>12.1(b)</w:t>
            </w:r>
          </w:p>
        </w:tc>
      </w:tr>
      <w:tr>
        <w:trPr/>
        <w:tc>
          <w:tcPr>
            <w:tcW w:w="3185" w:type="dxa"/>
            <w:tcBorders/>
            <w:shd w:fill="C6F4F9" w:val="clear"/>
            <w:vAlign w:val="center"/>
          </w:tcPr>
          <w:p>
            <w:pPr>
              <w:pStyle w:val="TableContents"/>
              <w:bidi w:val="0"/>
              <w:spacing w:before="0" w:after="283"/>
              <w:jc w:val="left"/>
              <w:rPr/>
            </w:pPr>
            <w:r>
              <w:rPr/>
              <w:t>Joinder Agreement</w:t>
            </w:r>
          </w:p>
        </w:tc>
        <w:tc>
          <w:tcPr>
            <w:tcW w:w="920" w:type="dxa"/>
            <w:tcBorders/>
            <w:shd w:fill="C6F4F9" w:val="clear"/>
            <w:vAlign w:val="center"/>
          </w:tcPr>
          <w:p>
            <w:pPr>
              <w:pStyle w:val="TableContents"/>
              <w:bidi w:val="0"/>
              <w:spacing w:before="0" w:after="283"/>
              <w:jc w:val="right"/>
              <w:rPr/>
            </w:pPr>
            <w:r>
              <w:rPr/>
              <w:t>2.11(a)</w:t>
            </w:r>
          </w:p>
        </w:tc>
      </w:tr>
      <w:tr>
        <w:trPr/>
        <w:tc>
          <w:tcPr>
            <w:tcW w:w="3185" w:type="dxa"/>
            <w:tcBorders/>
            <w:shd w:fill="FFFFFF" w:val="clear"/>
            <w:vAlign w:val="center"/>
          </w:tcPr>
          <w:p>
            <w:pPr>
              <w:pStyle w:val="TableContents"/>
              <w:bidi w:val="0"/>
              <w:spacing w:before="0" w:after="283"/>
              <w:jc w:val="left"/>
              <w:rPr/>
            </w:pPr>
            <w:r>
              <w:rPr/>
              <w:t>License Agreement Matters</w:t>
            </w:r>
          </w:p>
        </w:tc>
        <w:tc>
          <w:tcPr>
            <w:tcW w:w="920" w:type="dxa"/>
            <w:tcBorders/>
            <w:shd w:fill="FFFFFF" w:val="clear"/>
            <w:vAlign w:val="center"/>
          </w:tcPr>
          <w:p>
            <w:pPr>
              <w:pStyle w:val="TableContents"/>
              <w:bidi w:val="0"/>
              <w:spacing w:before="0" w:after="283"/>
              <w:jc w:val="right"/>
              <w:rPr/>
            </w:pPr>
            <w:r>
              <w:rPr/>
              <w:t>5.14(b)</w:t>
            </w:r>
          </w:p>
        </w:tc>
      </w:tr>
      <w:tr>
        <w:trPr/>
        <w:tc>
          <w:tcPr>
            <w:tcW w:w="3185" w:type="dxa"/>
            <w:tcBorders/>
            <w:shd w:fill="C6F4F9" w:val="clear"/>
            <w:vAlign w:val="center"/>
          </w:tcPr>
          <w:p>
            <w:pPr>
              <w:pStyle w:val="TableContents"/>
              <w:bidi w:val="0"/>
              <w:spacing w:before="0" w:after="283"/>
              <w:jc w:val="left"/>
              <w:rPr/>
            </w:pPr>
            <w:r>
              <w:rPr/>
              <w:t>Liquidating Trustee</w:t>
            </w:r>
          </w:p>
        </w:tc>
        <w:tc>
          <w:tcPr>
            <w:tcW w:w="920" w:type="dxa"/>
            <w:tcBorders/>
            <w:shd w:fill="C6F4F9" w:val="clear"/>
            <w:vAlign w:val="center"/>
          </w:tcPr>
          <w:p>
            <w:pPr>
              <w:pStyle w:val="TableContents"/>
              <w:bidi w:val="0"/>
              <w:spacing w:before="0" w:after="283"/>
              <w:jc w:val="right"/>
              <w:rPr/>
            </w:pPr>
            <w:r>
              <w:rPr/>
              <w:t>10.3</w:t>
            </w:r>
          </w:p>
        </w:tc>
      </w:tr>
      <w:tr>
        <w:trPr/>
        <w:tc>
          <w:tcPr>
            <w:tcW w:w="3185" w:type="dxa"/>
            <w:tcBorders/>
            <w:shd w:fill="FFFFFF" w:val="clear"/>
            <w:vAlign w:val="center"/>
          </w:tcPr>
          <w:p>
            <w:pPr>
              <w:pStyle w:val="TableContents"/>
              <w:bidi w:val="0"/>
              <w:spacing w:before="0" w:after="283"/>
              <w:jc w:val="left"/>
              <w:rPr/>
            </w:pPr>
            <w:r>
              <w:rPr/>
              <w:t>Lock-Up Period</w:t>
            </w:r>
          </w:p>
        </w:tc>
        <w:tc>
          <w:tcPr>
            <w:tcW w:w="920" w:type="dxa"/>
            <w:tcBorders/>
            <w:shd w:fill="FFFFFF" w:val="clear"/>
            <w:vAlign w:val="center"/>
          </w:tcPr>
          <w:p>
            <w:pPr>
              <w:pStyle w:val="TableContents"/>
              <w:bidi w:val="0"/>
              <w:spacing w:before="0" w:after="283"/>
              <w:jc w:val="right"/>
              <w:rPr/>
            </w:pPr>
            <w:r>
              <w:rPr/>
              <w:t>9.1(a)</w:t>
            </w:r>
          </w:p>
        </w:tc>
      </w:tr>
      <w:tr>
        <w:trPr/>
        <w:tc>
          <w:tcPr>
            <w:tcW w:w="3185" w:type="dxa"/>
            <w:tcBorders/>
            <w:shd w:fill="C6F4F9" w:val="clear"/>
            <w:vAlign w:val="center"/>
          </w:tcPr>
          <w:p>
            <w:pPr>
              <w:pStyle w:val="TableContents"/>
              <w:bidi w:val="0"/>
              <w:spacing w:before="0" w:after="283"/>
              <w:jc w:val="left"/>
              <w:rPr/>
            </w:pPr>
            <w:r>
              <w:rPr/>
              <w:t>Losses</w:t>
            </w:r>
          </w:p>
        </w:tc>
        <w:tc>
          <w:tcPr>
            <w:tcW w:w="920" w:type="dxa"/>
            <w:tcBorders/>
            <w:shd w:fill="C6F4F9" w:val="clear"/>
            <w:vAlign w:val="center"/>
          </w:tcPr>
          <w:p>
            <w:pPr>
              <w:pStyle w:val="TableContents"/>
              <w:bidi w:val="0"/>
              <w:spacing w:before="0" w:after="283"/>
              <w:jc w:val="right"/>
              <w:rPr/>
            </w:pPr>
            <w:r>
              <w:rPr/>
              <w:t>11.3(a)</w:t>
            </w:r>
          </w:p>
        </w:tc>
      </w:tr>
      <w:tr>
        <w:trPr/>
        <w:tc>
          <w:tcPr>
            <w:tcW w:w="3185" w:type="dxa"/>
            <w:tcBorders/>
            <w:shd w:fill="FFFFFF" w:val="clear"/>
            <w:vAlign w:val="center"/>
          </w:tcPr>
          <w:p>
            <w:pPr>
              <w:pStyle w:val="TableContents"/>
              <w:bidi w:val="0"/>
              <w:spacing w:before="0" w:after="283"/>
              <w:jc w:val="left"/>
              <w:rPr/>
            </w:pPr>
            <w:r>
              <w:rPr/>
              <w:t>Manager</w:t>
            </w:r>
          </w:p>
        </w:tc>
        <w:tc>
          <w:tcPr>
            <w:tcW w:w="920" w:type="dxa"/>
            <w:tcBorders/>
            <w:shd w:fill="FFFFFF" w:val="clear"/>
            <w:vAlign w:val="center"/>
          </w:tcPr>
          <w:p>
            <w:pPr>
              <w:pStyle w:val="TableContents"/>
              <w:bidi w:val="0"/>
              <w:spacing w:before="0" w:after="283"/>
              <w:jc w:val="right"/>
              <w:rPr/>
            </w:pPr>
            <w:r>
              <w:rPr/>
              <w:t>5.2</w:t>
            </w:r>
          </w:p>
        </w:tc>
      </w:tr>
      <w:tr>
        <w:trPr/>
        <w:tc>
          <w:tcPr>
            <w:tcW w:w="3185" w:type="dxa"/>
            <w:tcBorders/>
            <w:shd w:fill="C6F4F9" w:val="clear"/>
            <w:vAlign w:val="center"/>
          </w:tcPr>
          <w:p>
            <w:pPr>
              <w:pStyle w:val="TableContents"/>
              <w:bidi w:val="0"/>
              <w:spacing w:before="0" w:after="283"/>
              <w:jc w:val="left"/>
              <w:rPr/>
            </w:pPr>
            <w:r>
              <w:rPr/>
              <w:t>Non-CoC Member</w:t>
            </w:r>
          </w:p>
        </w:tc>
        <w:tc>
          <w:tcPr>
            <w:tcW w:w="920" w:type="dxa"/>
            <w:tcBorders/>
            <w:shd w:fill="C6F4F9" w:val="clear"/>
            <w:vAlign w:val="center"/>
          </w:tcPr>
          <w:p>
            <w:pPr>
              <w:pStyle w:val="TableContents"/>
              <w:bidi w:val="0"/>
              <w:spacing w:before="0" w:after="283"/>
              <w:jc w:val="right"/>
              <w:rPr/>
            </w:pPr>
            <w:r>
              <w:rPr/>
              <w:t>9.3(a)</w:t>
            </w:r>
          </w:p>
        </w:tc>
      </w:tr>
      <w:tr>
        <w:trPr/>
        <w:tc>
          <w:tcPr>
            <w:tcW w:w="3185" w:type="dxa"/>
            <w:tcBorders/>
            <w:shd w:fill="FFFFFF" w:val="clear"/>
            <w:vAlign w:val="center"/>
          </w:tcPr>
          <w:p>
            <w:pPr>
              <w:pStyle w:val="TableContents"/>
              <w:bidi w:val="0"/>
              <w:spacing w:before="0" w:after="283"/>
              <w:jc w:val="left"/>
              <w:rPr/>
            </w:pPr>
            <w:r>
              <w:rPr/>
              <w:t>Non-Purchasing Member</w:t>
            </w:r>
          </w:p>
        </w:tc>
        <w:tc>
          <w:tcPr>
            <w:tcW w:w="920" w:type="dxa"/>
            <w:tcBorders/>
            <w:shd w:fill="FFFFFF" w:val="clear"/>
            <w:vAlign w:val="center"/>
          </w:tcPr>
          <w:p>
            <w:pPr>
              <w:pStyle w:val="TableContents"/>
              <w:bidi w:val="0"/>
              <w:spacing w:before="0" w:after="283"/>
              <w:jc w:val="right"/>
              <w:rPr/>
            </w:pPr>
            <w:r>
              <w:rPr/>
              <w:t>12.1(d)</w:t>
            </w:r>
          </w:p>
        </w:tc>
      </w:tr>
      <w:tr>
        <w:trPr/>
        <w:tc>
          <w:tcPr>
            <w:tcW w:w="3185" w:type="dxa"/>
            <w:tcBorders/>
            <w:shd w:fill="C6F4F9" w:val="clear"/>
            <w:vAlign w:val="center"/>
          </w:tcPr>
          <w:p>
            <w:pPr>
              <w:pStyle w:val="TableContents"/>
              <w:bidi w:val="0"/>
              <w:spacing w:before="0" w:after="283"/>
              <w:jc w:val="left"/>
              <w:rPr/>
            </w:pPr>
            <w:r>
              <w:rPr/>
              <w:t>Officers</w:t>
            </w:r>
          </w:p>
        </w:tc>
        <w:tc>
          <w:tcPr>
            <w:tcW w:w="920" w:type="dxa"/>
            <w:tcBorders/>
            <w:shd w:fill="C6F4F9" w:val="clear"/>
            <w:vAlign w:val="center"/>
          </w:tcPr>
          <w:p>
            <w:pPr>
              <w:pStyle w:val="TableContents"/>
              <w:bidi w:val="0"/>
              <w:spacing w:before="0" w:after="283"/>
              <w:jc w:val="right"/>
              <w:rPr/>
            </w:pPr>
            <w:r>
              <w:rPr/>
              <w:t>5.13(a)</w:t>
            </w:r>
          </w:p>
        </w:tc>
      </w:tr>
      <w:tr>
        <w:trPr/>
        <w:tc>
          <w:tcPr>
            <w:tcW w:w="3185" w:type="dxa"/>
            <w:tcBorders/>
            <w:shd w:fill="FFFFFF" w:val="clear"/>
            <w:vAlign w:val="center"/>
          </w:tcPr>
          <w:p>
            <w:pPr>
              <w:pStyle w:val="TableContents"/>
              <w:bidi w:val="0"/>
              <w:spacing w:before="0" w:after="283"/>
              <w:jc w:val="left"/>
              <w:rPr/>
            </w:pPr>
            <w:r>
              <w:rPr/>
              <w:t>Other Business</w:t>
            </w:r>
          </w:p>
        </w:tc>
        <w:tc>
          <w:tcPr>
            <w:tcW w:w="920" w:type="dxa"/>
            <w:tcBorders/>
            <w:shd w:fill="FFFFFF" w:val="clear"/>
            <w:vAlign w:val="center"/>
          </w:tcPr>
          <w:p>
            <w:pPr>
              <w:pStyle w:val="TableContents"/>
              <w:bidi w:val="0"/>
              <w:spacing w:before="0" w:after="283"/>
              <w:jc w:val="right"/>
              <w:rPr/>
            </w:pPr>
            <w:r>
              <w:rPr/>
              <w:t>12.3(b)</w:t>
            </w:r>
          </w:p>
        </w:tc>
      </w:tr>
      <w:tr>
        <w:trPr/>
        <w:tc>
          <w:tcPr>
            <w:tcW w:w="3185" w:type="dxa"/>
            <w:tcBorders/>
            <w:shd w:fill="C6F4F9" w:val="clear"/>
            <w:vAlign w:val="center"/>
          </w:tcPr>
          <w:p>
            <w:pPr>
              <w:pStyle w:val="TableContents"/>
              <w:bidi w:val="0"/>
              <w:spacing w:before="0" w:after="283"/>
              <w:jc w:val="left"/>
              <w:rPr/>
            </w:pPr>
            <w:r>
              <w:rPr/>
              <w:t>Other Member</w:t>
            </w:r>
          </w:p>
        </w:tc>
        <w:tc>
          <w:tcPr>
            <w:tcW w:w="920" w:type="dxa"/>
            <w:tcBorders/>
            <w:shd w:fill="C6F4F9" w:val="clear"/>
            <w:vAlign w:val="center"/>
          </w:tcPr>
          <w:p>
            <w:pPr>
              <w:pStyle w:val="TableContents"/>
              <w:bidi w:val="0"/>
              <w:spacing w:before="0" w:after="283"/>
              <w:jc w:val="right"/>
              <w:rPr/>
            </w:pPr>
            <w:r>
              <w:rPr/>
              <w:t>9.5(a)</w:t>
            </w:r>
          </w:p>
        </w:tc>
      </w:tr>
      <w:tr>
        <w:trPr/>
        <w:tc>
          <w:tcPr>
            <w:tcW w:w="3185" w:type="dxa"/>
            <w:tcBorders/>
            <w:shd w:fill="FFFFFF" w:val="clear"/>
            <w:vAlign w:val="center"/>
          </w:tcPr>
          <w:p>
            <w:pPr>
              <w:pStyle w:val="TableContents"/>
              <w:bidi w:val="0"/>
              <w:spacing w:before="0" w:after="283"/>
              <w:jc w:val="left"/>
              <w:rPr/>
            </w:pPr>
            <w:r>
              <w:rPr/>
              <w:t>Preemptive Participants</w:t>
            </w:r>
          </w:p>
        </w:tc>
        <w:tc>
          <w:tcPr>
            <w:tcW w:w="920" w:type="dxa"/>
            <w:tcBorders/>
            <w:shd w:fill="FFFFFF" w:val="clear"/>
            <w:vAlign w:val="center"/>
          </w:tcPr>
          <w:p>
            <w:pPr>
              <w:pStyle w:val="TableContents"/>
              <w:bidi w:val="0"/>
              <w:spacing w:before="0" w:after="283"/>
              <w:jc w:val="right"/>
              <w:rPr/>
            </w:pPr>
            <w:r>
              <w:rPr/>
              <w:t>12.1(a)</w:t>
            </w:r>
          </w:p>
        </w:tc>
      </w:tr>
      <w:tr>
        <w:trPr/>
        <w:tc>
          <w:tcPr>
            <w:tcW w:w="3185" w:type="dxa"/>
            <w:tcBorders/>
            <w:shd w:fill="C6F4F9" w:val="clear"/>
            <w:vAlign w:val="center"/>
          </w:tcPr>
          <w:p>
            <w:pPr>
              <w:pStyle w:val="TableContents"/>
              <w:bidi w:val="0"/>
              <w:spacing w:before="0" w:after="283"/>
              <w:jc w:val="left"/>
              <w:rPr/>
            </w:pPr>
            <w:r>
              <w:rPr/>
              <w:t>Preemptive Portion</w:t>
            </w:r>
          </w:p>
        </w:tc>
        <w:tc>
          <w:tcPr>
            <w:tcW w:w="920" w:type="dxa"/>
            <w:tcBorders/>
            <w:shd w:fill="C6F4F9" w:val="clear"/>
            <w:vAlign w:val="center"/>
          </w:tcPr>
          <w:p>
            <w:pPr>
              <w:pStyle w:val="TableContents"/>
              <w:bidi w:val="0"/>
              <w:spacing w:before="0" w:after="283"/>
              <w:jc w:val="right"/>
              <w:rPr/>
            </w:pPr>
            <w:r>
              <w:rPr/>
              <w:t>12.1(c)</w:t>
            </w:r>
          </w:p>
        </w:tc>
      </w:tr>
      <w:tr>
        <w:trPr/>
        <w:tc>
          <w:tcPr>
            <w:tcW w:w="3185" w:type="dxa"/>
            <w:tcBorders/>
            <w:shd w:fill="FFFFFF" w:val="clear"/>
            <w:vAlign w:val="center"/>
          </w:tcPr>
          <w:p>
            <w:pPr>
              <w:pStyle w:val="TableContents"/>
              <w:bidi w:val="0"/>
              <w:spacing w:before="0" w:after="283"/>
              <w:jc w:val="left"/>
              <w:rPr/>
            </w:pPr>
            <w:r>
              <w:rPr/>
              <w:t>Prior Operating Agreement</w:t>
            </w:r>
          </w:p>
        </w:tc>
        <w:tc>
          <w:tcPr>
            <w:tcW w:w="920" w:type="dxa"/>
            <w:tcBorders/>
            <w:shd w:fill="FFFFFF" w:val="clear"/>
            <w:vAlign w:val="center"/>
          </w:tcPr>
          <w:p>
            <w:pPr>
              <w:pStyle w:val="TableContents"/>
              <w:bidi w:val="0"/>
              <w:spacing w:before="0" w:after="283"/>
              <w:jc w:val="right"/>
              <w:rPr/>
            </w:pPr>
            <w:r>
              <w:rPr/>
              <w:t>Recitals</w:t>
            </w:r>
          </w:p>
        </w:tc>
      </w:tr>
      <w:tr>
        <w:trPr/>
        <w:tc>
          <w:tcPr>
            <w:tcW w:w="3185" w:type="dxa"/>
            <w:tcBorders/>
            <w:shd w:fill="C6F4F9" w:val="clear"/>
            <w:vAlign w:val="center"/>
          </w:tcPr>
          <w:p>
            <w:pPr>
              <w:pStyle w:val="TableContents"/>
              <w:bidi w:val="0"/>
              <w:spacing w:before="0" w:after="283"/>
              <w:jc w:val="left"/>
              <w:rPr/>
            </w:pPr>
            <w:r>
              <w:rPr/>
              <w:t>Proposed FMV</w:t>
            </w:r>
          </w:p>
        </w:tc>
        <w:tc>
          <w:tcPr>
            <w:tcW w:w="920" w:type="dxa"/>
            <w:tcBorders/>
            <w:shd w:fill="C6F4F9" w:val="clear"/>
            <w:vAlign w:val="center"/>
          </w:tcPr>
          <w:p>
            <w:pPr>
              <w:pStyle w:val="TableContents"/>
              <w:bidi w:val="0"/>
              <w:spacing w:before="0" w:after="283"/>
              <w:jc w:val="right"/>
              <w:rPr/>
            </w:pPr>
            <w:r>
              <w:rPr/>
              <w:t>9.4</w:t>
            </w:r>
          </w:p>
        </w:tc>
      </w:tr>
      <w:tr>
        <w:trPr/>
        <w:tc>
          <w:tcPr>
            <w:tcW w:w="3185" w:type="dxa"/>
            <w:tcBorders/>
            <w:shd w:fill="FFFFFF" w:val="clear"/>
            <w:vAlign w:val="center"/>
          </w:tcPr>
          <w:p>
            <w:pPr>
              <w:pStyle w:val="TableContents"/>
              <w:bidi w:val="0"/>
              <w:spacing w:before="0" w:after="283"/>
              <w:jc w:val="left"/>
              <w:rPr/>
            </w:pPr>
            <w:r>
              <w:rPr/>
              <w:t>Proposed Tag-Along Transfer</w:t>
            </w:r>
          </w:p>
        </w:tc>
        <w:tc>
          <w:tcPr>
            <w:tcW w:w="920" w:type="dxa"/>
            <w:tcBorders/>
            <w:shd w:fill="FFFFFF" w:val="clear"/>
            <w:vAlign w:val="center"/>
          </w:tcPr>
          <w:p>
            <w:pPr>
              <w:pStyle w:val="TableContents"/>
              <w:bidi w:val="0"/>
              <w:spacing w:before="0" w:after="283"/>
              <w:jc w:val="right"/>
              <w:rPr/>
            </w:pPr>
            <w:r>
              <w:rPr/>
              <w:t>9.6(b)</w:t>
            </w:r>
          </w:p>
        </w:tc>
      </w:tr>
      <w:tr>
        <w:trPr/>
        <w:tc>
          <w:tcPr>
            <w:tcW w:w="3185" w:type="dxa"/>
            <w:tcBorders/>
            <w:shd w:fill="C6F4F9" w:val="clear"/>
            <w:vAlign w:val="center"/>
          </w:tcPr>
          <w:p>
            <w:pPr>
              <w:pStyle w:val="TableContents"/>
              <w:bidi w:val="0"/>
              <w:spacing w:before="0" w:after="283"/>
              <w:jc w:val="left"/>
              <w:rPr/>
            </w:pPr>
            <w:r>
              <w:rPr/>
              <w:t>Purchase Agreement</w:t>
            </w:r>
          </w:p>
        </w:tc>
        <w:tc>
          <w:tcPr>
            <w:tcW w:w="920" w:type="dxa"/>
            <w:tcBorders/>
            <w:shd w:fill="C6F4F9" w:val="clear"/>
            <w:vAlign w:val="center"/>
          </w:tcPr>
          <w:p>
            <w:pPr>
              <w:pStyle w:val="TableContents"/>
              <w:bidi w:val="0"/>
              <w:spacing w:before="0" w:after="283"/>
              <w:jc w:val="right"/>
              <w:rPr/>
            </w:pPr>
            <w:r>
              <w:rPr/>
              <w:t>Recitals</w:t>
            </w:r>
          </w:p>
        </w:tc>
      </w:tr>
      <w:tr>
        <w:trPr/>
        <w:tc>
          <w:tcPr>
            <w:tcW w:w="3185" w:type="dxa"/>
            <w:tcBorders/>
            <w:shd w:fill="FFFFFF" w:val="clear"/>
            <w:vAlign w:val="center"/>
          </w:tcPr>
          <w:p>
            <w:pPr>
              <w:pStyle w:val="TableContents"/>
              <w:bidi w:val="0"/>
              <w:spacing w:before="0" w:after="283"/>
              <w:jc w:val="left"/>
              <w:rPr/>
            </w:pPr>
            <w:r>
              <w:rPr/>
              <w:t>Purchase and Sale Agreement</w:t>
            </w:r>
          </w:p>
        </w:tc>
        <w:tc>
          <w:tcPr>
            <w:tcW w:w="920" w:type="dxa"/>
            <w:tcBorders/>
            <w:shd w:fill="FFFFFF" w:val="clear"/>
            <w:vAlign w:val="center"/>
          </w:tcPr>
          <w:p>
            <w:pPr>
              <w:pStyle w:val="TableContents"/>
              <w:bidi w:val="0"/>
              <w:spacing w:before="0" w:after="283"/>
              <w:jc w:val="right"/>
              <w:rPr/>
            </w:pPr>
            <w:r>
              <w:rPr/>
              <w:t>9.6(e)</w:t>
            </w:r>
          </w:p>
        </w:tc>
      </w:tr>
      <w:tr>
        <w:trPr/>
        <w:tc>
          <w:tcPr>
            <w:tcW w:w="3185" w:type="dxa"/>
            <w:tcBorders/>
            <w:shd w:fill="C6F4F9" w:val="clear"/>
            <w:vAlign w:val="center"/>
          </w:tcPr>
          <w:p>
            <w:pPr>
              <w:pStyle w:val="TableContents"/>
              <w:bidi w:val="0"/>
              <w:spacing w:before="0" w:after="283"/>
              <w:jc w:val="left"/>
              <w:rPr/>
            </w:pPr>
            <w:r>
              <w:rPr/>
              <w:t>Purchase Offer</w:t>
            </w:r>
          </w:p>
        </w:tc>
        <w:tc>
          <w:tcPr>
            <w:tcW w:w="920" w:type="dxa"/>
            <w:tcBorders/>
            <w:shd w:fill="C6F4F9" w:val="clear"/>
            <w:vAlign w:val="center"/>
          </w:tcPr>
          <w:p>
            <w:pPr>
              <w:pStyle w:val="TableContents"/>
              <w:bidi w:val="0"/>
              <w:spacing w:before="0" w:after="283"/>
              <w:jc w:val="right"/>
              <w:rPr/>
            </w:pPr>
            <w:r>
              <w:rPr/>
              <w:t>9.5(a)</w:t>
            </w:r>
          </w:p>
        </w:tc>
      </w:tr>
      <w:tr>
        <w:trPr/>
        <w:tc>
          <w:tcPr>
            <w:tcW w:w="3185" w:type="dxa"/>
            <w:tcBorders/>
            <w:shd w:fill="FFFFFF" w:val="clear"/>
            <w:vAlign w:val="center"/>
          </w:tcPr>
          <w:p>
            <w:pPr>
              <w:pStyle w:val="TableContents"/>
              <w:bidi w:val="0"/>
              <w:spacing w:before="0" w:after="283"/>
              <w:jc w:val="left"/>
              <w:rPr/>
            </w:pPr>
            <w:r>
              <w:rPr/>
              <w:t>Purchase Offer Notice</w:t>
            </w:r>
          </w:p>
        </w:tc>
        <w:tc>
          <w:tcPr>
            <w:tcW w:w="920" w:type="dxa"/>
            <w:tcBorders/>
            <w:shd w:fill="FFFFFF" w:val="clear"/>
            <w:vAlign w:val="center"/>
          </w:tcPr>
          <w:p>
            <w:pPr>
              <w:pStyle w:val="TableContents"/>
              <w:bidi w:val="0"/>
              <w:spacing w:before="0" w:after="283"/>
              <w:jc w:val="right"/>
              <w:rPr/>
            </w:pPr>
            <w:r>
              <w:rPr/>
              <w:t>9.5(a)</w:t>
            </w:r>
          </w:p>
        </w:tc>
      </w:tr>
      <w:tr>
        <w:trPr/>
        <w:tc>
          <w:tcPr>
            <w:tcW w:w="3185" w:type="dxa"/>
            <w:tcBorders/>
            <w:shd w:fill="C6F4F9" w:val="clear"/>
            <w:vAlign w:val="center"/>
          </w:tcPr>
          <w:p>
            <w:pPr>
              <w:pStyle w:val="TableContents"/>
              <w:bidi w:val="0"/>
              <w:spacing w:before="0" w:after="283"/>
              <w:jc w:val="left"/>
              <w:rPr/>
            </w:pPr>
            <w:r>
              <w:rPr/>
              <w:t>Purchase Offer Period</w:t>
            </w:r>
          </w:p>
        </w:tc>
        <w:tc>
          <w:tcPr>
            <w:tcW w:w="920" w:type="dxa"/>
            <w:tcBorders/>
            <w:shd w:fill="C6F4F9" w:val="clear"/>
            <w:vAlign w:val="center"/>
          </w:tcPr>
          <w:p>
            <w:pPr>
              <w:pStyle w:val="TableContents"/>
              <w:bidi w:val="0"/>
              <w:spacing w:before="0" w:after="283"/>
              <w:jc w:val="right"/>
              <w:rPr/>
            </w:pPr>
            <w:r>
              <w:rPr/>
              <w:t>9.5(a)</w:t>
            </w:r>
          </w:p>
        </w:tc>
      </w:tr>
      <w:tr>
        <w:trPr/>
        <w:tc>
          <w:tcPr>
            <w:tcW w:w="3185" w:type="dxa"/>
            <w:tcBorders/>
            <w:shd w:fill="FFFFFF" w:val="clear"/>
            <w:vAlign w:val="center"/>
          </w:tcPr>
          <w:p>
            <w:pPr>
              <w:pStyle w:val="TableContents"/>
              <w:bidi w:val="0"/>
              <w:spacing w:before="0" w:after="283"/>
              <w:jc w:val="left"/>
              <w:rPr/>
            </w:pPr>
            <w:r>
              <w:rPr/>
              <w:t>Reorganization Plan</w:t>
            </w:r>
          </w:p>
        </w:tc>
        <w:tc>
          <w:tcPr>
            <w:tcW w:w="920" w:type="dxa"/>
            <w:tcBorders/>
            <w:shd w:fill="FFFFFF" w:val="clear"/>
            <w:vAlign w:val="center"/>
          </w:tcPr>
          <w:p>
            <w:pPr>
              <w:pStyle w:val="TableContents"/>
              <w:bidi w:val="0"/>
              <w:spacing w:before="0" w:after="283"/>
              <w:jc w:val="right"/>
              <w:rPr/>
            </w:pPr>
            <w:r>
              <w:rPr/>
              <w:t>12.5(b)</w:t>
            </w:r>
          </w:p>
        </w:tc>
      </w:tr>
      <w:tr>
        <w:trPr/>
        <w:tc>
          <w:tcPr>
            <w:tcW w:w="3185" w:type="dxa"/>
            <w:tcBorders/>
            <w:shd w:fill="C6F4F9" w:val="clear"/>
            <w:vAlign w:val="center"/>
          </w:tcPr>
          <w:p>
            <w:pPr>
              <w:pStyle w:val="TableContents"/>
              <w:bidi w:val="0"/>
              <w:spacing w:before="0" w:after="283"/>
              <w:jc w:val="left"/>
              <w:rPr/>
            </w:pPr>
            <w:r>
              <w:rPr/>
              <w:t>Representatives</w:t>
            </w:r>
          </w:p>
        </w:tc>
        <w:tc>
          <w:tcPr>
            <w:tcW w:w="920" w:type="dxa"/>
            <w:tcBorders/>
            <w:shd w:fill="C6F4F9" w:val="clear"/>
            <w:vAlign w:val="center"/>
          </w:tcPr>
          <w:p>
            <w:pPr>
              <w:pStyle w:val="TableContents"/>
              <w:bidi w:val="0"/>
              <w:spacing w:before="0" w:after="283"/>
              <w:jc w:val="right"/>
              <w:rPr/>
            </w:pPr>
            <w:r>
              <w:rPr/>
              <w:t>12.4(a)</w:t>
            </w:r>
          </w:p>
        </w:tc>
      </w:tr>
      <w:tr>
        <w:trPr/>
        <w:tc>
          <w:tcPr>
            <w:tcW w:w="3185" w:type="dxa"/>
            <w:tcBorders/>
            <w:shd w:fill="FFFFFF" w:val="clear"/>
            <w:vAlign w:val="center"/>
          </w:tcPr>
          <w:p>
            <w:pPr>
              <w:pStyle w:val="TableContents"/>
              <w:bidi w:val="0"/>
              <w:spacing w:before="0" w:after="283"/>
              <w:jc w:val="left"/>
              <w:rPr/>
            </w:pPr>
            <w:r>
              <w:rPr/>
              <w:t>Sale Notice</w:t>
            </w:r>
          </w:p>
        </w:tc>
        <w:tc>
          <w:tcPr>
            <w:tcW w:w="920" w:type="dxa"/>
            <w:tcBorders/>
            <w:shd w:fill="FFFFFF" w:val="clear"/>
            <w:vAlign w:val="center"/>
          </w:tcPr>
          <w:p>
            <w:pPr>
              <w:pStyle w:val="TableContents"/>
              <w:bidi w:val="0"/>
              <w:spacing w:before="0" w:after="283"/>
              <w:jc w:val="right"/>
              <w:rPr/>
            </w:pPr>
            <w:r>
              <w:rPr/>
              <w:t>9.5(a)</w:t>
            </w:r>
          </w:p>
        </w:tc>
      </w:tr>
      <w:tr>
        <w:trPr/>
        <w:tc>
          <w:tcPr>
            <w:tcW w:w="3185" w:type="dxa"/>
            <w:tcBorders/>
            <w:shd w:fill="C6F4F9" w:val="clear"/>
            <w:vAlign w:val="center"/>
          </w:tcPr>
          <w:p>
            <w:pPr>
              <w:pStyle w:val="TableContents"/>
              <w:bidi w:val="0"/>
              <w:spacing w:before="0" w:after="283"/>
              <w:jc w:val="left"/>
              <w:rPr/>
            </w:pPr>
            <w:r>
              <w:rPr/>
              <w:t>Selling Member</w:t>
            </w:r>
          </w:p>
        </w:tc>
        <w:tc>
          <w:tcPr>
            <w:tcW w:w="920" w:type="dxa"/>
            <w:tcBorders/>
            <w:shd w:fill="C6F4F9" w:val="clear"/>
            <w:vAlign w:val="center"/>
          </w:tcPr>
          <w:p>
            <w:pPr>
              <w:pStyle w:val="TableContents"/>
              <w:bidi w:val="0"/>
              <w:spacing w:before="0" w:after="283"/>
              <w:jc w:val="right"/>
              <w:rPr/>
            </w:pPr>
            <w:r>
              <w:rPr/>
              <w:t>9.6(a)</w:t>
            </w:r>
          </w:p>
        </w:tc>
      </w:tr>
      <w:tr>
        <w:trPr/>
        <w:tc>
          <w:tcPr>
            <w:tcW w:w="3185" w:type="dxa"/>
            <w:tcBorders/>
            <w:shd w:fill="FFFFFF" w:val="clear"/>
            <w:vAlign w:val="center"/>
          </w:tcPr>
          <w:p>
            <w:pPr>
              <w:pStyle w:val="TableContents"/>
              <w:bidi w:val="0"/>
              <w:spacing w:before="0" w:after="283"/>
              <w:jc w:val="left"/>
              <w:rPr/>
            </w:pPr>
            <w:r>
              <w:rPr/>
              <w:t>Tag Buyer</w:t>
            </w:r>
          </w:p>
        </w:tc>
        <w:tc>
          <w:tcPr>
            <w:tcW w:w="920" w:type="dxa"/>
            <w:tcBorders/>
            <w:shd w:fill="FFFFFF" w:val="clear"/>
            <w:vAlign w:val="center"/>
          </w:tcPr>
          <w:p>
            <w:pPr>
              <w:pStyle w:val="TableContents"/>
              <w:bidi w:val="0"/>
              <w:spacing w:before="0" w:after="283"/>
              <w:jc w:val="right"/>
              <w:rPr/>
            </w:pPr>
            <w:r>
              <w:rPr/>
              <w:t>9.6(b)</w:t>
            </w:r>
          </w:p>
        </w:tc>
      </w:tr>
      <w:tr>
        <w:trPr/>
        <w:tc>
          <w:tcPr>
            <w:tcW w:w="3185" w:type="dxa"/>
            <w:tcBorders/>
            <w:shd w:fill="C6F4F9" w:val="clear"/>
            <w:vAlign w:val="center"/>
          </w:tcPr>
          <w:p>
            <w:pPr>
              <w:pStyle w:val="TableContents"/>
              <w:bidi w:val="0"/>
              <w:spacing w:before="0" w:after="283"/>
              <w:jc w:val="left"/>
              <w:rPr/>
            </w:pPr>
            <w:r>
              <w:rPr/>
              <w:t>Tag Participation Notice</w:t>
            </w:r>
          </w:p>
        </w:tc>
        <w:tc>
          <w:tcPr>
            <w:tcW w:w="920" w:type="dxa"/>
            <w:tcBorders/>
            <w:shd w:fill="C6F4F9" w:val="clear"/>
            <w:vAlign w:val="center"/>
          </w:tcPr>
          <w:p>
            <w:pPr>
              <w:pStyle w:val="TableContents"/>
              <w:bidi w:val="0"/>
              <w:spacing w:before="0" w:after="283"/>
              <w:jc w:val="right"/>
              <w:rPr/>
            </w:pPr>
            <w:r>
              <w:rPr/>
              <w:t>9.6(c)</w:t>
            </w:r>
          </w:p>
        </w:tc>
      </w:tr>
      <w:tr>
        <w:trPr/>
        <w:tc>
          <w:tcPr>
            <w:tcW w:w="3185" w:type="dxa"/>
            <w:tcBorders/>
            <w:shd w:fill="FFFFFF" w:val="clear"/>
            <w:vAlign w:val="center"/>
          </w:tcPr>
          <w:p>
            <w:pPr>
              <w:pStyle w:val="TableContents"/>
              <w:bidi w:val="0"/>
              <w:spacing w:before="0" w:after="283"/>
              <w:jc w:val="left"/>
              <w:rPr/>
            </w:pPr>
            <w:r>
              <w:rPr/>
              <w:t>Tag-Along Member</w:t>
            </w:r>
          </w:p>
        </w:tc>
        <w:tc>
          <w:tcPr>
            <w:tcW w:w="920" w:type="dxa"/>
            <w:tcBorders/>
            <w:shd w:fill="FFFFFF" w:val="clear"/>
            <w:vAlign w:val="center"/>
          </w:tcPr>
          <w:p>
            <w:pPr>
              <w:pStyle w:val="TableContents"/>
              <w:bidi w:val="0"/>
              <w:spacing w:before="0" w:after="283"/>
              <w:jc w:val="right"/>
              <w:rPr/>
            </w:pPr>
            <w:r>
              <w:rPr/>
              <w:t>9.6(a)</w:t>
            </w:r>
          </w:p>
        </w:tc>
      </w:tr>
      <w:tr>
        <w:trPr/>
        <w:tc>
          <w:tcPr>
            <w:tcW w:w="3185" w:type="dxa"/>
            <w:tcBorders/>
            <w:shd w:fill="C6F4F9" w:val="clear"/>
            <w:vAlign w:val="center"/>
          </w:tcPr>
          <w:p>
            <w:pPr>
              <w:pStyle w:val="TableContents"/>
              <w:bidi w:val="0"/>
              <w:spacing w:before="0" w:after="283"/>
              <w:jc w:val="left"/>
              <w:rPr/>
            </w:pPr>
            <w:r>
              <w:rPr/>
              <w:t>Tag-Along Notice</w:t>
            </w:r>
          </w:p>
        </w:tc>
        <w:tc>
          <w:tcPr>
            <w:tcW w:w="920" w:type="dxa"/>
            <w:tcBorders/>
            <w:shd w:fill="C6F4F9" w:val="clear"/>
            <w:vAlign w:val="center"/>
          </w:tcPr>
          <w:p>
            <w:pPr>
              <w:pStyle w:val="TableContents"/>
              <w:bidi w:val="0"/>
              <w:spacing w:before="0" w:after="283"/>
              <w:jc w:val="right"/>
              <w:rPr/>
            </w:pPr>
            <w:r>
              <w:rPr/>
              <w:t>9.6(b)</w:t>
            </w:r>
          </w:p>
        </w:tc>
      </w:tr>
      <w:tr>
        <w:trPr/>
        <w:tc>
          <w:tcPr>
            <w:tcW w:w="3185" w:type="dxa"/>
            <w:tcBorders/>
            <w:shd w:fill="FFFFFF" w:val="clear"/>
            <w:vAlign w:val="center"/>
          </w:tcPr>
          <w:p>
            <w:pPr>
              <w:pStyle w:val="TableContents"/>
              <w:bidi w:val="0"/>
              <w:spacing w:before="0" w:after="283"/>
              <w:jc w:val="left"/>
              <w:rPr/>
            </w:pPr>
            <w:r>
              <w:rPr/>
              <w:t>Tag-Along Notice Period</w:t>
            </w:r>
          </w:p>
        </w:tc>
        <w:tc>
          <w:tcPr>
            <w:tcW w:w="920" w:type="dxa"/>
            <w:tcBorders/>
            <w:shd w:fill="FFFFFF" w:val="clear"/>
            <w:vAlign w:val="center"/>
          </w:tcPr>
          <w:p>
            <w:pPr>
              <w:pStyle w:val="TableContents"/>
              <w:bidi w:val="0"/>
              <w:spacing w:before="0" w:after="283"/>
              <w:jc w:val="right"/>
              <w:rPr/>
            </w:pPr>
            <w:r>
              <w:rPr/>
              <w:t>9.6(c)</w:t>
            </w:r>
          </w:p>
        </w:tc>
      </w:tr>
      <w:tr>
        <w:trPr/>
        <w:tc>
          <w:tcPr>
            <w:tcW w:w="3185" w:type="dxa"/>
            <w:tcBorders/>
            <w:shd w:fill="C6F4F9" w:val="clear"/>
            <w:vAlign w:val="center"/>
          </w:tcPr>
          <w:p>
            <w:pPr>
              <w:pStyle w:val="TableContents"/>
              <w:bidi w:val="0"/>
              <w:spacing w:before="0" w:after="283"/>
              <w:jc w:val="left"/>
              <w:rPr/>
            </w:pPr>
            <w:r>
              <w:rPr/>
              <w:t>Tag-Along Offer</w:t>
            </w:r>
          </w:p>
        </w:tc>
        <w:tc>
          <w:tcPr>
            <w:tcW w:w="920" w:type="dxa"/>
            <w:tcBorders/>
            <w:shd w:fill="C6F4F9" w:val="clear"/>
            <w:vAlign w:val="center"/>
          </w:tcPr>
          <w:p>
            <w:pPr>
              <w:pStyle w:val="TableContents"/>
              <w:bidi w:val="0"/>
              <w:spacing w:before="0" w:after="283"/>
              <w:jc w:val="right"/>
              <w:rPr/>
            </w:pPr>
            <w:r>
              <w:rPr/>
              <w:t>9.6(b)</w:t>
            </w:r>
          </w:p>
        </w:tc>
      </w:tr>
      <w:tr>
        <w:trPr/>
        <w:tc>
          <w:tcPr>
            <w:tcW w:w="3185" w:type="dxa"/>
            <w:tcBorders/>
            <w:shd w:fill="FFFFFF" w:val="clear"/>
            <w:vAlign w:val="center"/>
          </w:tcPr>
          <w:p>
            <w:pPr>
              <w:pStyle w:val="TableContents"/>
              <w:bidi w:val="0"/>
              <w:spacing w:before="0" w:after="283"/>
              <w:jc w:val="left"/>
              <w:rPr/>
            </w:pPr>
            <w:r>
              <w:rPr/>
              <w:t>Tag-Along Participating Member</w:t>
            </w:r>
          </w:p>
        </w:tc>
        <w:tc>
          <w:tcPr>
            <w:tcW w:w="920" w:type="dxa"/>
            <w:tcBorders/>
            <w:shd w:fill="FFFFFF" w:val="clear"/>
            <w:vAlign w:val="center"/>
          </w:tcPr>
          <w:p>
            <w:pPr>
              <w:pStyle w:val="TableContents"/>
              <w:bidi w:val="0"/>
              <w:spacing w:before="0" w:after="283"/>
              <w:jc w:val="right"/>
              <w:rPr/>
            </w:pPr>
            <w:r>
              <w:rPr/>
              <w:t>9.6(c)</w:t>
            </w:r>
          </w:p>
        </w:tc>
      </w:tr>
      <w:tr>
        <w:trPr/>
        <w:tc>
          <w:tcPr>
            <w:tcW w:w="3185" w:type="dxa"/>
            <w:tcBorders/>
            <w:shd w:fill="C6F4F9" w:val="clear"/>
            <w:vAlign w:val="center"/>
          </w:tcPr>
          <w:p>
            <w:pPr>
              <w:pStyle w:val="TableContents"/>
              <w:bidi w:val="0"/>
              <w:spacing w:before="0" w:after="283"/>
              <w:jc w:val="left"/>
              <w:rPr/>
            </w:pPr>
            <w:r>
              <w:rPr/>
              <w:t>Tag-Along Right</w:t>
            </w:r>
          </w:p>
        </w:tc>
        <w:tc>
          <w:tcPr>
            <w:tcW w:w="920" w:type="dxa"/>
            <w:tcBorders/>
            <w:shd w:fill="C6F4F9" w:val="clear"/>
            <w:vAlign w:val="center"/>
          </w:tcPr>
          <w:p>
            <w:pPr>
              <w:pStyle w:val="TableContents"/>
              <w:bidi w:val="0"/>
              <w:spacing w:before="0" w:after="283"/>
              <w:jc w:val="right"/>
              <w:rPr/>
            </w:pPr>
            <w:r>
              <w:rPr/>
              <w:t>9.6(a)</w:t>
            </w:r>
          </w:p>
        </w:tc>
      </w:tr>
      <w:tr>
        <w:trPr/>
        <w:tc>
          <w:tcPr>
            <w:tcW w:w="3185" w:type="dxa"/>
            <w:tcBorders/>
            <w:shd w:fill="FFFFFF" w:val="clear"/>
            <w:vAlign w:val="center"/>
          </w:tcPr>
          <w:p>
            <w:pPr>
              <w:pStyle w:val="TableContents"/>
              <w:bidi w:val="0"/>
              <w:spacing w:before="0" w:after="283"/>
              <w:jc w:val="left"/>
              <w:rPr/>
            </w:pPr>
            <w:r>
              <w:rPr/>
              <w:t>Tax Annex</w:t>
            </w:r>
          </w:p>
        </w:tc>
        <w:tc>
          <w:tcPr>
            <w:tcW w:w="920" w:type="dxa"/>
            <w:tcBorders/>
            <w:shd w:fill="FFFFFF" w:val="clear"/>
            <w:vAlign w:val="center"/>
          </w:tcPr>
          <w:p>
            <w:pPr>
              <w:pStyle w:val="TableContents"/>
              <w:bidi w:val="0"/>
              <w:spacing w:before="0" w:after="283"/>
              <w:jc w:val="right"/>
              <w:rPr/>
            </w:pPr>
            <w:r>
              <w:rPr/>
              <w:t>1.1</w:t>
            </w:r>
          </w:p>
        </w:tc>
      </w:tr>
      <w:tr>
        <w:trPr/>
        <w:tc>
          <w:tcPr>
            <w:tcW w:w="3185" w:type="dxa"/>
            <w:tcBorders/>
            <w:shd w:fill="C6F4F9" w:val="clear"/>
            <w:vAlign w:val="center"/>
          </w:tcPr>
          <w:p>
            <w:pPr>
              <w:pStyle w:val="TableContents"/>
              <w:bidi w:val="0"/>
              <w:spacing w:before="0" w:after="283"/>
              <w:jc w:val="left"/>
              <w:rPr/>
            </w:pPr>
            <w:r>
              <w:rPr/>
              <w:t>Tax Items</w:t>
            </w:r>
          </w:p>
        </w:tc>
        <w:tc>
          <w:tcPr>
            <w:tcW w:w="920" w:type="dxa"/>
            <w:tcBorders/>
            <w:shd w:fill="C6F4F9" w:val="clear"/>
            <w:vAlign w:val="center"/>
          </w:tcPr>
          <w:p>
            <w:pPr>
              <w:pStyle w:val="TableContents"/>
              <w:bidi w:val="0"/>
              <w:spacing w:before="0" w:after="283"/>
              <w:jc w:val="right"/>
              <w:rPr/>
            </w:pPr>
            <w:r>
              <w:rPr/>
              <w:t>3</w:t>
            </w:r>
          </w:p>
        </w:tc>
      </w:tr>
      <w:tr>
        <w:trPr/>
        <w:tc>
          <w:tcPr>
            <w:tcW w:w="3185" w:type="dxa"/>
            <w:tcBorders/>
            <w:shd w:fill="FFFFFF" w:val="clear"/>
            <w:vAlign w:val="center"/>
          </w:tcPr>
          <w:p>
            <w:pPr>
              <w:pStyle w:val="TableContents"/>
              <w:bidi w:val="0"/>
              <w:spacing w:before="0" w:after="283"/>
              <w:jc w:val="left"/>
              <w:rPr/>
            </w:pPr>
            <w:r>
              <w:rPr/>
              <w:t>Transfer Securities</w:t>
            </w:r>
          </w:p>
        </w:tc>
        <w:tc>
          <w:tcPr>
            <w:tcW w:w="920" w:type="dxa"/>
            <w:tcBorders/>
            <w:shd w:fill="FFFFFF" w:val="clear"/>
            <w:vAlign w:val="center"/>
          </w:tcPr>
          <w:p>
            <w:pPr>
              <w:pStyle w:val="TableContents"/>
              <w:bidi w:val="0"/>
              <w:spacing w:before="0" w:after="283"/>
              <w:jc w:val="right"/>
              <w:rPr/>
            </w:pPr>
            <w:r>
              <w:rPr/>
              <w:t>9.5(a)</w:t>
            </w:r>
          </w:p>
        </w:tc>
      </w:tr>
      <w:tr>
        <w:trPr/>
        <w:tc>
          <w:tcPr>
            <w:tcW w:w="3185" w:type="dxa"/>
            <w:tcBorders/>
            <w:shd w:fill="C6F4F9" w:val="clear"/>
            <w:vAlign w:val="center"/>
          </w:tcPr>
          <w:p>
            <w:pPr>
              <w:pStyle w:val="TableContents"/>
              <w:bidi w:val="0"/>
              <w:spacing w:before="0" w:after="283"/>
              <w:jc w:val="left"/>
              <w:rPr/>
            </w:pPr>
            <w:r>
              <w:rPr/>
              <w:t>Transferring Member</w:t>
            </w:r>
          </w:p>
        </w:tc>
        <w:tc>
          <w:tcPr>
            <w:tcW w:w="920" w:type="dxa"/>
            <w:tcBorders/>
            <w:shd w:fill="C6F4F9" w:val="clear"/>
            <w:vAlign w:val="center"/>
          </w:tcPr>
          <w:p>
            <w:pPr>
              <w:pStyle w:val="TableContents"/>
              <w:bidi w:val="0"/>
              <w:spacing w:before="0" w:after="283"/>
              <w:jc w:val="right"/>
              <w:rPr/>
            </w:pPr>
            <w:r>
              <w:rPr/>
              <w:t>9.5(a)</w:t>
            </w:r>
          </w:p>
        </w:tc>
      </w:tr>
      <w:tr>
        <w:trPr/>
        <w:tc>
          <w:tcPr>
            <w:tcW w:w="3185" w:type="dxa"/>
            <w:tcBorders/>
            <w:shd w:fill="FFFFFF" w:val="clear"/>
            <w:vAlign w:val="center"/>
          </w:tcPr>
          <w:p>
            <w:pPr>
              <w:pStyle w:val="TableContents"/>
              <w:bidi w:val="0"/>
              <w:spacing w:before="0" w:after="283"/>
              <w:jc w:val="left"/>
              <w:rPr/>
            </w:pPr>
            <w:r>
              <w:rPr/>
              <w:t>WHP Managers</w:t>
            </w:r>
          </w:p>
        </w:tc>
        <w:tc>
          <w:tcPr>
            <w:tcW w:w="920" w:type="dxa"/>
            <w:tcBorders/>
            <w:shd w:fill="FFFFFF" w:val="clear"/>
            <w:vAlign w:val="center"/>
          </w:tcPr>
          <w:p>
            <w:pPr>
              <w:pStyle w:val="TableContents"/>
              <w:bidi w:val="0"/>
              <w:spacing w:before="0" w:after="283"/>
              <w:jc w:val="right"/>
              <w:rPr/>
            </w:pPr>
            <w:r>
              <w:rPr/>
              <w:t>5.2(B)(i)</w:t>
            </w:r>
          </w:p>
        </w:tc>
      </w:tr>
      <w:tr>
        <w:trPr/>
        <w:tc>
          <w:tcPr>
            <w:tcW w:w="3185" w:type="dxa"/>
            <w:tcBorders/>
            <w:shd w:fill="C6F4F9" w:val="clear"/>
            <w:vAlign w:val="center"/>
          </w:tcPr>
          <w:p>
            <w:pPr>
              <w:pStyle w:val="TableContents"/>
              <w:bidi w:val="0"/>
              <w:spacing w:before="0" w:after="283"/>
              <w:jc w:val="left"/>
              <w:rPr/>
            </w:pPr>
            <w:r>
              <w:rPr/>
              <w:t>WHP Member</w:t>
            </w:r>
          </w:p>
        </w:tc>
        <w:tc>
          <w:tcPr>
            <w:tcW w:w="920" w:type="dxa"/>
            <w:tcBorders/>
            <w:shd w:fill="C6F4F9" w:val="clear"/>
            <w:vAlign w:val="center"/>
          </w:tcPr>
          <w:p>
            <w:pPr>
              <w:pStyle w:val="TableContents"/>
              <w:bidi w:val="0"/>
              <w:spacing w:before="0" w:after="283"/>
              <w:jc w:val="right"/>
              <w:rPr/>
            </w:pPr>
            <w:r>
              <w:rPr/>
              <w:t>Preamble</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w:t>
      </w:r>
      <w:r>
        <w:rPr>
          <w:rFonts w:ascii="Times New Roman;Times;Serif" w:hAnsi="Times New Roman;Times;Serif"/>
          <w:b/>
          <w:i w:val="false"/>
          <w:caps/>
          <w:sz w:val="20"/>
        </w:rPr>
        <w:br/>
        <w:br/>
        <w:t>FORMATION, TERM, PURPOSE AND POWERS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Formation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Company has been formed as a Delaware limited liability company by the filing on [●], 2026 (the “</w:t>
      </w:r>
      <w:r>
        <w:rPr>
          <w:rFonts w:ascii="Times New Roman;Times;Serif" w:hAnsi="Times New Roman;Times;Serif"/>
          <w:b w:val="false"/>
          <w:i w:val="false"/>
          <w:caps w:val="false"/>
          <w:smallCaps w:val="false"/>
          <w:sz w:val="20"/>
          <w:u w:val="single"/>
        </w:rPr>
        <w:t>Formation Date</w:t>
      </w:r>
      <w:r>
        <w:rPr>
          <w:rFonts w:ascii="Times New Roman;Times;Serif" w:hAnsi="Times New Roman;Times;Serif"/>
          <w:b w:val="false"/>
          <w:i w:val="false"/>
          <w:caps w:val="false"/>
          <w:smallCaps w:val="false"/>
          <w:sz w:val="20"/>
        </w:rPr>
        <w:t>”) of a certificate of formation (as amended from time to time, the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in the office of the Secretary of State of the State of Delaware under and pursuant to Section 18-201 of the Act.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Members hereby confirm the formation of the Company as a limited liability company under and pursuant to the provisions of the Act and all other pertinent Laws of the State of Delaware for the purposes and upon the terms and conditions hereinafter set forth. The parties hereto agree that their rights, duties and liabilities, and the rights duties and liabilities of any additional Member admitted to the Company in accordance with the terms hereof, shall be as provided in the Act, except as otherwise provided herein. In the event of any inconsistency between any terms and conditions contained in this Agreement and any provisions of the Act the compliance with which is not mandatory, the terms and conditions of this Agreement will control.</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The name of each Member, together with the mailing address thereof and number of Units held thereby, shall be listed on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hereto. Each of the Members is hereby admitted as a Member of the Company. Additional Members shall be admitted as Members of the Company only in accordance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The Board shall update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from time to time, as necessary to reflect accurately the information therein as known by the Board, but no such update shall modify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in any manner inconsistent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or any other Section of this Agreement or the Act. Any amendment or revision to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made in accordance with this Agreement shall not be deemed an amendment to this Agreement for purposes of this Agreement, including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Any reference in this Agreement to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shall be deemed to be a reference to such Schedule as amended and in effect from time to time.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Each Officer is hereby designated as an “authorized person,” within the meaning of the Act, to execute, deliver and file, or to cause the execution, delivery and filing of, any amendments or restatements of the Certificate and any other certificates, notices, statements or other instruments (and any amendments and/or restatements thereof) necessary or advisable for the formation or the operation of the Company in all jurisdictions where the Company may elect to do business, but no such amendment, restatement or other instrument may be executed, delivered or filed unless adopted in a manner authorized by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company formed hereby is MJ Topco, LLC. The Company Business may not be conducted under any other name unless approved by the Board.</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term of the Company commenced on the date of the filing of the Certificate in the office of the Secretary of State of the State of Delaware and shall continue until the Company is dissolved and its affairs wound up in accordance with the Act and the terms of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Principal U.S. Office; Registered Office and Registered Agent; Other Offices</w:t>
      </w:r>
      <w:r>
        <w:rPr>
          <w:rFonts w:ascii="Times New Roman;Times;Serif" w:hAnsi="Times New Roman;Times;Serif"/>
          <w:b w:val="false"/>
          <w:i w:val="false"/>
          <w:caps w:val="false"/>
          <w:smallCaps w:val="false"/>
          <w:sz w:val="20"/>
        </w:rPr>
        <w:t>. The registered office of the Company required by the Act to be maintained in the State of Delaware shall be the registered office named in the Certificate or such other office (which need not be a place of business of the Company) as the Board may designate from time to time in the manner provided by Law. The registered agent of the Company in the State of Delaware shall be the registered agent named in the Certificate or such other Person as the Board may designate from time to time in the manner provided by Law. The principal office of the Company shall be at such place as the Board may designate from time to time (which may be within or outside of the State of Delaware), and the Board may designate additional offices, places of business and agents from time to time as deemed advisable.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Title to Company Property</w:t>
      </w:r>
      <w:r>
        <w:rPr>
          <w:rFonts w:ascii="Times New Roman;Times;Serif" w:hAnsi="Times New Roman;Times;Serif"/>
          <w:b w:val="false"/>
          <w:i w:val="false"/>
          <w:caps w:val="false"/>
          <w:smallCaps w:val="false"/>
          <w:sz w:val="20"/>
        </w:rPr>
        <w:t>. All property of the Company, whether real, personal or mixed, tangible or intangible, shall be deemed to be owned by the Company as an entity, and no Member, individually, shall have any direct ownership interest in such property.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Agent for Service of Process</w:t>
      </w:r>
      <w:r>
        <w:rPr>
          <w:rFonts w:ascii="Times New Roman;Times;Serif" w:hAnsi="Times New Roman;Times;Serif"/>
          <w:b w:val="false"/>
          <w:i w:val="false"/>
          <w:caps w:val="false"/>
          <w:smallCaps w:val="false"/>
          <w:sz w:val="20"/>
        </w:rPr>
        <w:t>. The Company’s registered agent for service of process in the State of Delaware shall be as set forth in the Certificate.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Purpose</w:t>
      </w:r>
      <w:r>
        <w:rPr>
          <w:rFonts w:ascii="Times New Roman;Times;Serif" w:hAnsi="Times New Roman;Times;Serif"/>
          <w:b w:val="false"/>
          <w:i w:val="false"/>
          <w:caps w:val="false"/>
          <w:smallCaps w:val="false"/>
          <w:sz w:val="20"/>
        </w:rPr>
        <w:t>. The purpose of the Company is to engage in (a) the Company Business and (b) any and all lawful activities in accordance with the Act that the Board deems necessary or advisable in furtherance of the Company Business.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Powers of the Company</w:t>
      </w:r>
      <w:r>
        <w:rPr>
          <w:rFonts w:ascii="Times New Roman;Times;Serif" w:hAnsi="Times New Roman;Times;Serif"/>
          <w:b w:val="false"/>
          <w:i w:val="false"/>
          <w:caps w:val="false"/>
          <w:smallCaps w:val="false"/>
          <w:sz w:val="20"/>
        </w:rPr>
        <w:t xml:space="preserve">. Subject to the limitations set forth in this Agreement, the Company shall possess and may exercise all of the powers and privileges granted to it by the Act, any other Law or this Agreement, together with all powers incidental thereto, so far as such powers are necessary or convenient to the conduct, promotion or attainment of the purpose of the Company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Maintenance of Separate Existence</w:t>
      </w:r>
      <w:r>
        <w:rPr>
          <w:rFonts w:ascii="Times New Roman;Times;Serif" w:hAnsi="Times New Roman;Times;Serif"/>
          <w:b w:val="false"/>
          <w:i w:val="false"/>
          <w:caps w:val="false"/>
          <w:smallCaps w:val="false"/>
          <w:sz w:val="20"/>
        </w:rPr>
        <w:t>. The Company shall do all things necessary to maintain its limited liability company existence separate and apart from each Member and any Affiliate of any Member, including holding regular meetings of the Board and maintaining its books and records on a current basis separate from that of any Affiliate of the Company or any other Person, and shall not commingle the Company’s assets with those of any Affiliate of the Company or any other Person. In furtherance, and not in limitation, of the foregoing, the Company shall not: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fail to (i) maintain or cause to be maintained by an agent under the Company’s control physical possession of the records required to be kept under the Act, (ii) account for and manage all of its liabilities separately from those of any other Person, including payment by it of administrative expenses and taxes, other than income taxes, from its own assets or (iii) identify or cause to be identified separately all of its assets from those of any other Person;</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commingle, or permit the commingling of, its funds with the funds of any Member or any Affiliate of any Member or use its funds for other than the Company’s uses; or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maintain, or permit the maintenance of, joint bank accounts or other depository accounts to which any Member would have independent access.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No Personal Liability</w:t>
      </w:r>
      <w:r>
        <w:rPr>
          <w:rFonts w:ascii="Times New Roman;Times;Serif" w:hAnsi="Times New Roman;Times;Serif"/>
          <w:b w:val="false"/>
          <w:i w:val="false"/>
          <w:caps w:val="false"/>
          <w:smallCaps w:val="false"/>
          <w:color w:val="000000"/>
          <w:sz w:val="20"/>
        </w:rPr>
        <w:t>. Except as provided by this Agreement (including Article IV) or as required by the Act, no Member nor any Manager shall be personally liable for any obligations of the Company, and no Member shall have any obligation or be required to make any Capital Contribution or loan or otherwise advance any funds to the Company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Admission of Additional Members and Transferees</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Subject to the terms and conditions of this Agreement,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‎Article IX and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in connection with a Transfer or issuance of Units in accordance with the terms of this Agreement, the Board shall admit Additional Members. Such Person shall be admitted to the Company as an Additional Member upon furnishing to the Board (i) a joinder agreement,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pursuant to which such Person agrees to be bound by all the terms and conditions of this Agreement, and (ii) such other documents or instruments as may be necessary or appropriate to effect such Person’s admission as a Member (including entering into an investor representation agreement or such other documents as the Board may reasonably deem appropriate). Such admission shall become effective on the date on which such conditions have been satisfied and when any such admission is shown on the books and records of the Company. Upon the admission of an Additional Member in accordance with the terms hereof,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shall be amended by the Board to reflect the name, address and Units and other interests in the Company of such Additional Member.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A Transferee will be admitted as a substitute or an additional Member only if the Transfer of Units to such Transferee is made in compliance with all the terms and conditions of this Agreement. Unless otherwise specified by the Board in connection with such Transfer, any Transferee of Units in accordance with this Agreement shall succeed to the capital commitment and Capital Contributions of the Transferring Member with respect to the Transferred Units.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Withdrawals</w:t>
      </w:r>
      <w:r>
        <w:rPr>
          <w:rFonts w:ascii="Times New Roman;Times;Serif" w:hAnsi="Times New Roman;Times;Serif"/>
          <w:b w:val="false"/>
          <w:i w:val="false"/>
          <w:caps w:val="false"/>
          <w:smallCaps w:val="false"/>
          <w:sz w:val="20"/>
        </w:rPr>
        <w:t>. No Member may withdraw or resign from the Company, except as otherwise provided in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No State-Law Partnership; Tax Classification</w:t>
      </w:r>
      <w:r>
        <w:rPr>
          <w:rFonts w:ascii="Times New Roman;Times;Serif" w:hAnsi="Times New Roman;Times;Serif"/>
          <w:b w:val="false"/>
          <w:i w:val="false"/>
          <w:caps w:val="false"/>
          <w:smallCaps w:val="false"/>
          <w:sz w:val="20"/>
        </w:rPr>
        <w:t>. The Members intend that the Company shall not be a partnership (including, without limitation, a limited partnership) or joint venture, and that no Member shall be an agent, partner or joint venturer of any other Member, for any purposes other than for U.S. federal, state and local tax purposes, and this Agreement shall not be construed to suggest otherwise. The Members intend that the Company shall be classified as a partnership for federal (and applicable state and local) tax purposes. No Person shall take any action inconsistent with such classification, and each Member and the Company shall file all tax returns and shall otherwise take all tax and financial reporting positions in a manner consistent with such classification.</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Non-Certification of Units; Legend; Units Are Securities</w:t>
      </w:r>
      <w:r>
        <w:rPr>
          <w:rFonts w:ascii="Times New Roman;Times;Serif" w:hAnsi="Times New Roman;Times;Serif"/>
          <w:b w:val="false"/>
          <w:i w:val="false"/>
          <w:caps w:val="false"/>
          <w:smallCaps w:val="false"/>
          <w:sz w:val="20"/>
        </w:rPr>
        <w:t xml:space="preserve">. Units shall be issued in non-certificated form;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Board may cause the Company to issue certificates to the Members representing the Units held by each such Member. If any Unit certificate is issued, then such certificate shall bear a legend substantially in the following 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4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EVIDENCES A UNIT REPRESENTING A MEMBERSHIP INTEREST IN MJ TOPCO, LLC.</w:t>
      </w:r>
    </w:p>
    <w:p>
      <w:pPr>
        <w:pStyle w:val="TextBody"/>
        <w:bidi w:val="0"/>
        <w:spacing w:before="0" w:after="24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IN MJ TOPCO, LLC REPRESENTED BY THIS CERTIFICATE IS SUBJECT TO RESTRICTIONS ON TRANSFER SET FORTH IN THAT CERTAIN AMENDED AND RESTATED LIMITED LIABILITY COMPANY AGREEMENT OF MJ TOPCO, LLC, DATED [____], 2026, BY AND AMONG MJ TOPCO, LLC, AND EACH OF THE MEMBERS FROM TIME TO TIME PARTY THERETO, AS THE SAME MAY BE AMENDED FROM TIME TO TIME. THE UNITS REPRESENTED BY THIS CERTIFICATE HAVE NOT BEEN REGISTERED UNDER THE U.S. SECURITIES ACT OF 1933, AS AMENDED, OR UNDER ANY OTHER APPLICABLE SECURITIES LAWS AND MAY NOT BE TRANSFERRED, SOLD, ASSIGNED OR OTHERWISE DISPOSED EXCEPT (A) PURSUANT TO A REGISTRATION STATEMENT EFFECTIVE UNDER SUCH ACT AND LAWS AND APPLICABLE STATE OR FOREIGN SECURITIES LAWS, OR (B) PURSUANT TO AN EXEMPTION FROM REGISTRATION THEREUNDER.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sz w:val="20"/>
        </w:rPr>
        <w:br/>
        <w:br/>
        <w:t>REPRESENTATIONS AND WARRANTIES OF THE MEMBERS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severally but not jointly, represents and warrants to the Company as follows as of the date hereof, and continuously thereafter: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Such Member (a) is duly incorporated or organized, validly existing and in good standing under the Laws of the jurisdiction of its incorporation or organization and has all necessary power and authority to own, lease and operate its properties and to carry on its business as it is now being conducted and (b) is duly qualified or licensed as a foreign corporation to do business, and in good standing, in each jurisdiction where the character of the properties owned, leased or operated by it or the nature of its business makes such qualification or licensing necessary, except for any such failures to be so qualified or licensed and in good standing that would not prevent or materially impair the performance of the actions contemplated by this Agreement or the Transaction Documents.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xml:space="preserve">. Such Member has all necessary power and authority to execute and deliver this Agreement and the Transaction Documents, to perform its obligations hereunder and thereunder and to consummate the transactions contemplated hereby and thereby. The </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delivery and performance by such Member of this Agreement and the Transaction Documents and the consummation by such Member of the transactions contemplated hereby and thereby have been duly and validly authorized by all requisite action on its part. This Agreement and the Transaction Documents have been duly executed and delivered by such Member and constitute the legal, valid and binding obligations of such Member, enforceable against such Member in accordance with their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by such Member of this Agreement and the Transaction Documents do not and will not (a) conflict with or violate its certificate of incorporation or bylaws or equivalent organizational documents, if applicable, (b) conflict with or violate any Law applicable to such Member or by which any property or asset of such Member is bound or affected or (c) result in any breach of, constitute a default (or an event that, with notice or lapse of time or both, would become a default) under, require any consent of any Person or give to any Person any rights pursuant to, any contract, agreement or arrangement by which such Member is bound, except, in the case of the foregoing clauses (b) or (c), for any such conflicts, violations, breaches, defaults or other occurrences that would not prevent or materially impair the performance of the actions contemplated by this Agreement or the Transaction Documents.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Governmental Consents and Approvals</w:t>
      </w:r>
      <w:r>
        <w:rPr>
          <w:rFonts w:ascii="Times New Roman;Times;Serif" w:hAnsi="Times New Roman;Times;Serif"/>
          <w:b w:val="false"/>
          <w:i w:val="false"/>
          <w:caps w:val="false"/>
          <w:smallCaps w:val="false"/>
          <w:sz w:val="20"/>
        </w:rPr>
        <w:t>. Such Member is not required to file, seek or obtain any notice, authorization, approval, order, permit or consent of or with any Governmental Authority in connection with the execution, delivery and performance by such Member of this Agreement or the Transaction Documents or the consummation of the transactions contemplated hereby or thereby.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Securities Representations</w:t>
      </w:r>
      <w:r>
        <w:rPr>
          <w:rFonts w:ascii="Times New Roman;Times;Serif" w:hAnsi="Times New Roman;Times;Serif"/>
          <w:b w:val="false"/>
          <w:i w:val="false"/>
          <w:caps w:val="false"/>
          <w:smallCaps w:val="false"/>
          <w:sz w:val="20"/>
        </w:rPr>
        <w:t>. Such Member represents and agrees that the Units acquired pursuant hereto will be acquired for such Member’s own account, for investment, and not with a view to the distribution or resale thereof. Such Member further represents that it has such knowledge and experience in financial and business matters as to be capable of evaluating the merits and risks of acquiring the Units. Such Member understands that such Units have not been registered under the Securities Act or any state or foreign securities laws, and cannot be sold, assigned, transferred, pledged or otherwise disposed of unless so registered under the Securities Act and applicable state or foreign securities laws or unless an exemption from the registration requirements thereof is available.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Such Member represents that (i) it (or its regarded owner) is, and at all times will remain, a U.S. Person and (ii) it (or its regarded owner) is not a PTP Avoidance Member.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Each Member acknowledges that the Company seeks to comply with all applicable Trade Controls. In furtherance of these efforts, each Member represents, warrants and agrees that: (i) it is not a Sanctioned Person and is not the target of economic or financial sanctions imposed, administered or enforced by the United States government, including OFAC, (ii) no commitment, Capital Contribution or payment to the Company by such Member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no Distribution to such Member shall cause the Company or the Board to be in violation of any applicable U.S. federal or state or non-U.S. laws or regulations, including anti-money laundering, economic sanctions, anti-bribery or anti-boycott laws or regulations, including the Uniting and Strengthening America by Providing Appropriate Tools Required to Intercept and Obstruct Terrorism (USA PATRIOT ACT) Act of 2001, and the Foreign Corrupt Practices Act, (iii) all Capital Contributions or payments to the Company by such Member will be made through an account located in a jurisdiction that does not appear on the list of boycotting countries published by the U.S. Department of Treasury pursuant to Code §999(a)(3), as in effect at the time of such Capital Contribution or payment, (iv) neither such Member nor any person acting for or on behalf of such Member are or have engaged, or will engage, or are owned or controlled by any party that is or has engaged, or will engage, in activities that could result in being designated a Sanctioned Person or on any list of restricted parties maintained by the U.S. federal government and (v) it otherwise will not engage in any business or other activities that would cause the Company to be in violation of applicable Trade Controls.</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IV</w:t>
      </w:r>
      <w:r>
        <w:rPr>
          <w:rFonts w:ascii="Times New Roman;Times;Serif" w:hAnsi="Times New Roman;Times;Serif"/>
          <w:b/>
          <w:i w:val="false"/>
          <w:caps/>
          <w:sz w:val="20"/>
        </w:rPr>
        <w:br/>
        <w:br/>
        <w:t>CAPITAL CONTRIBUTIONS, BUDGETS AND FUNDING</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Initial Capital Contributions; Additional Capital Contributions</w:t>
      </w:r>
      <w:r>
        <w:rPr>
          <w:rFonts w:ascii="Times New Roman;Times;Serif" w:hAnsi="Times New Roman;Times;Serif"/>
          <w:b w:val="false"/>
          <w:i w:val="false"/>
          <w:caps w:val="false"/>
          <w:smallCaps w:val="false"/>
          <w:sz w:val="20"/>
        </w:rPr>
        <w:t xml:space="preserve">. The Members made, shall be deemed as having made, or have agreed to make, the respective Capital Contributions to the Company and were issued in exchange therefor the respective Units indicated on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hereto, as amended from time to time in accordance with the terms hereof. No Member shall be required to make any additional Capital Contributions to the Company, except as otherwise agreed to in writing by such Member.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All Units shall have identical rights in all respects as all other Units, except as otherwise specified in this Agreement. The Company may issue fractional Units, and all Units shall be rounded to the third decimal place. Each Member hereby agrees that its interest in the Company and in its Units shall for all purposes be personal property.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Additional Units</w:t>
      </w:r>
      <w:r>
        <w:rPr>
          <w:rFonts w:ascii="Times New Roman;Times;Serif" w:hAnsi="Times New Roman;Times;Serif"/>
          <w:b w:val="false"/>
          <w:i w:val="false"/>
          <w:caps w:val="false"/>
          <w:smallCaps w:val="false"/>
          <w:sz w:val="20"/>
        </w:rPr>
        <w:t xml:space="preserve">. Subject to the provisions of this Agreement,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the Board shall have the right to cause the Company to issue at any time after the Effective Date, for such amount and form of consideration as the Board may determine, (a) additional Units (of the existing class or new classes or series) or other Equity Securities of the Company (including creating other classes or series thereof having such powers, designations, preferences and rights as the Board may determine), (b) obligations, evidences of indebtedness or other securities or interests convertible or exchangeable into Units or other Equity Securities of the Company and (c) warrants, options or other rights to purchase or otherwise acquire Units or other Equity Securities of the Company, and in connection therewith, and, subject to the provisions of this Agreement,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the Board shall have the power to make amendments to this Agreement as the Board in its discretion deems necessary or appropriate to give effect to such issuance. In the event additional Units shall be issued to a Member (including in connection with additional Capital Contributions pursuant to this Article IV) or to any other Person, or Units are sold or transferred to another Member or any other Person and such Person shall be admitted as a Member in accordance with the provisions of this Agreement, the Board shall amend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hereto in accordance with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Any Capital Contribution to be made by such Person in exchange for Units shall be in the form and amount determined by the Board, and the amount of such Capital Contribution, if any, shall be credited to such Person’s Capital Account.</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Budgets</w:t>
      </w:r>
      <w:r>
        <w:rPr>
          <w:rFonts w:ascii="Times New Roman;Times;Serif" w:hAnsi="Times New Roman;Times;Serif"/>
          <w:b w:val="false"/>
          <w:i w:val="false"/>
          <w:caps w:val="false"/>
          <w:smallCaps w:val="false"/>
          <w:sz w:val="20"/>
        </w:rPr>
        <w:t xml:space="preserve">. The initial annual budget of the Company is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Initial Budget</w:t>
      </w:r>
      <w:r>
        <w:rPr>
          <w:rFonts w:ascii="Times New Roman;Times;Serif" w:hAnsi="Times New Roman;Times;Serif"/>
          <w:b w:val="false"/>
          <w:i w:val="false"/>
          <w:caps w:val="false"/>
          <w:smallCaps w:val="false"/>
          <w:sz w:val="20"/>
        </w:rPr>
        <w:t>”). The WHP Member shall present to the Board and the G-III Member, no later than forty-five (45) days before the end of the then-current Fiscal Year, a reasonably detailed consolidated annual budget for the upcoming Fiscal Year, which budget shall be subject to approval of the Board (following consultation with the G-III Member or the WHP Member, as applicable, in accordance with ‎Section 5.14). If a proposed budget for a Fiscal Year is not so approved, within fifteen (15) Business Days following presentation by the WHP Member, then the Company shall operate on the prior Fiscal Year’s Annual Budget as adjusted to provide for a ten percent (10%) increase to the total expenses of the prior Fiscal Year’s Annual Budget (taking into account any costs and expenses in the then-current Annual Budget that are not applicable to such Fiscal Year in dispute) and, unless the Board subsequently agrees otherwise (following consultation with the G-III Member or the WHP Member, as applicable, in accordance with ‎Section 5.14), such adjusted Annual Budget shall be deemed to be the Annual Budget for the Fiscal Year in dispute (as adjusted, a “</w:t>
      </w:r>
      <w:r>
        <w:rPr>
          <w:rFonts w:ascii="Times New Roman;Times;Serif" w:hAnsi="Times New Roman;Times;Serif"/>
          <w:b w:val="false"/>
          <w:i w:val="false"/>
          <w:caps w:val="false"/>
          <w:smallCaps w:val="false"/>
          <w:sz w:val="20"/>
          <w:u w:val="single"/>
        </w:rPr>
        <w:t>Continuing Budget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Board shall continue to meet in good faith on a weekly basis and to consult with the G-III Member or the WHP Member, as applicable, in accordance with ‎Section 5.14 to resolve any such disagreements until such time as an Annual Budget for such Fiscal Year is approved, at which time the Continuing Budget shall be replaced with the newly approved Annual Budget. The budget for any Fiscal Year, including the Initial Budget, and the budget for any future Fiscal Year (including any Continuing Budget, if applicable), as so approved, is referred to as the “</w:t>
      </w:r>
      <w:r>
        <w:rPr>
          <w:rFonts w:ascii="Times New Roman;Times;Serif" w:hAnsi="Times New Roman;Times;Serif"/>
          <w:b w:val="false"/>
          <w:i w:val="false"/>
          <w:caps w:val="false"/>
          <w:smallCaps w:val="false"/>
          <w:sz w:val="20"/>
          <w:u w:val="single"/>
        </w:rPr>
        <w:t>Annual Budget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Status of Capital Contributions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No Member shall receive any interest, salary or drawing with respect to its Capital Contributions or its Capital Account or for services rendered on behalf of the Company or otherwise in its capacity as a Member, except as otherwise provided in this Agreement. Except as otherwise provided herein, no Member shall be permitted to borrow, make an early withdrawal of, or demand or receive a return of any Capital Contributions. Under circumstances requiring a return of any Capital Contributions, except as otherwise expressly provided in this Agreement, no Member shall have the right to receive property other than cash.</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Except as otherwise provided herein, the Members shall be liable only to make their Capital Contributions pursuant to this Article IV, and no Member shall be required to lend any funds to the Company or, after a Member’s Capital Contributions have been fully paid pursuant to this Article IV, to make any additional Capital Contributions to the Company. No Member shall have any personal liability for the repayment of any Capital Contribution of any other Member or Transferee. Notwithstanding anything in this Agreement to the contrary, the obligations of the Members hereunder shall not be, and shall not be deemed to be, a guaranty, maintenance agreement or other similar agreement, or under any circumstances utilized to satisfy the general obligations and liabilities of the Company.</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Capital Accounts; Allocations</w:t>
      </w:r>
      <w:r>
        <w:rPr>
          <w:rFonts w:ascii="Times New Roman;Times;Serif" w:hAnsi="Times New Roman;Times;Serif"/>
          <w:b w:val="false"/>
          <w:i w:val="false"/>
          <w:caps w:val="false"/>
          <w:smallCaps w:val="false"/>
          <w:sz w:val="20"/>
        </w:rPr>
        <w:t>. Capital Accounts shall be maintained in accordance with the Tax Annex. Allocations of income, gain, loss, deduction, and credit for all tax purposes shall be made in accordance with the Tax Annex.</w:t>
      </w:r>
    </w:p>
    <w:p>
      <w:pPr>
        <w:pStyle w:val="TextBody"/>
        <w:bidi w:val="0"/>
        <w:spacing w:before="240" w:after="240"/>
        <w:ind w:left="240" w:right="24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V</w:t>
        <w:br/>
        <w:br/>
        <w:t>GOVERNANCE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Management of the Company</w:t>
      </w:r>
      <w:r>
        <w:rPr>
          <w:rFonts w:ascii="Times New Roman;Times;Serif" w:hAnsi="Times New Roman;Times;Serif"/>
          <w:b w:val="false"/>
          <w:i w:val="false"/>
          <w:caps w:val="false"/>
          <w:smallCaps w:val="false"/>
          <w:sz w:val="20"/>
        </w:rPr>
        <w:t>. Subject to the terms hereof, the business and affairs of the Company shall be managed by or under the direction of a board of managers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which may from time to time delegate authority to the Officers or to others to act on behalf of the Company, in each case, subject to the oversight of the Board. Subject to the terms and conditions of this Agreement,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the Board shall direct and exercise full supervisory control over all activities of the Company and have the power to do any and all acts necessary, convenient or incidental to or for the furtherance of the purposes of the Company described herein, including the power to bind or take any action on behalf of the Company within its scope and in accordance with this Agreement, and all powers, statutory or otherwise, possessed by managers of a limited liability company under the Laws of the State of Delaware. Each Manager is hereby designated a “manager” of the Company within the meaning of the Act. Except as otherwise required by Law, approval of any action by the Board in accordance with this Agreement shall constitute approval of such action by the Company. No Member or Manager shall have the authority individually to bind the Company in any way whatsoever.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Board; Committees of the Board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Each Member shall be entitled to appoint one or more individuals in accordance with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to act on its behalf at meetings of the Board (each, a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no event shall the G-III Member designate any Person employed or engaged as a service provider or otherwise by any WHP Specified Party to serve as a Manager in accordance with the terms hereof, and in no event shall the WHP Member designate any Person employed or engaged as a service provider or otherwise by any G-III Specified Party or WHP Specified Party to serve as a Manager in accordance with the terms hereof. The total number of Managers on the Board shall initially be five, of whom (i) three shall be designated by the WHP Member (the “</w:t>
      </w:r>
      <w:r>
        <w:rPr>
          <w:rFonts w:ascii="Times New Roman;Times;Serif" w:hAnsi="Times New Roman;Times;Serif"/>
          <w:b w:val="false"/>
          <w:i w:val="false"/>
          <w:caps w:val="false"/>
          <w:smallCaps w:val="false"/>
          <w:sz w:val="20"/>
          <w:u w:val="single"/>
        </w:rPr>
        <w:t>WHP Managers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unless otherwise agreed by the WHP Member and the G-III Member, that (x) if the WHP Member ceases to hold at least fifty percent (50%) of the Units it holds as of the Effective Date, then the WHP Member shall be entitled to appoint two (2) individuals to serve as Managers, (y) if the WHP Member ceases to hold at least twenty five (25%) of the Units it holds as of the Effective Date, then the WHP Member shall be entitled to appoint one (1) individual to serve as a Manager, and (z) if the WHP Member ceases to hold at least ten percent (10%) of the Units it holds as of the Effective Date, then the WHP Member shall not be entitled to designate any Manager) and (ii) two shall be designated by the G-III Member (the “</w:t>
      </w:r>
      <w:r>
        <w:rPr>
          <w:rFonts w:ascii="Times New Roman;Times;Serif" w:hAnsi="Times New Roman;Times;Serif"/>
          <w:b w:val="false"/>
          <w:i w:val="false"/>
          <w:caps w:val="false"/>
          <w:smallCaps w:val="false"/>
          <w:sz w:val="20"/>
          <w:u w:val="single"/>
        </w:rPr>
        <w:t>G-III Managers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unless otherwise agreed by the WHP Member and the G-III Member, that (x) if the G-III Member ceases to hold at least twenty five (25%) of the Units it holds as of the Effective Date, then the G-III Member shall be entitled to appoint one (1) individual to serve as a Manager, and (y) if the G-III Member ceases to hold at least ten percent (10%) of the Units it holds</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Date, then the G-III Member shall not be entitled to designate any Manager). The WHP Managers shall select one of the Managers to serve as a chairman (the “</w:t>
      </w:r>
      <w:r>
        <w:rPr>
          <w:rFonts w:ascii="Times New Roman;Times;Serif" w:hAnsi="Times New Roman;Times;Serif"/>
          <w:b w:val="false"/>
          <w:i w:val="false"/>
          <w:caps w:val="false"/>
          <w:smallCaps w:val="false"/>
          <w:sz w:val="20"/>
          <w:u w:val="single"/>
        </w:rPr>
        <w:t>Chairman</w:t>
      </w:r>
      <w:r>
        <w:rPr>
          <w:rFonts w:ascii="Times New Roman;Times;Serif" w:hAnsi="Times New Roman;Times;Serif"/>
          <w:b w:val="false"/>
          <w:i w:val="false"/>
          <w:caps w:val="false"/>
          <w:smallCaps w:val="false"/>
          <w:sz w:val="20"/>
        </w:rPr>
        <w:t xml:space="preserve">”) who shall preside over meetings of the Board. The initial WHP Managers shall be [●], and the initial G-III Managers shall be [●]. The initial Chairman shall be Yehuda Shmidman. Notwithstanding anything to the contrary herein, upon consummation of a Qualifying CoC or the foreclosure or enforcement of a pledge contemplated by clause (y) in the definition of “Transfer”, the CoC Member or the foreclosing or acquiring party, as applicable, shall cease to have any rights to appoint any Managers to the Board or otherwise have any special consent or voting rights (including under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under this Article V, except for the consent rights referred to in clause (z) of the first paragraph of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The Board may, in its discretion, establish one or more committees of the Board by resolution from time to time, with such responsibilities and authority as determined by the Board in the resolutions establishing such committee and such committee’s charter;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each such committee shall include at least one (1) G-III Manager (for as long as the G-III Member is entitled to designate a Manager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and at least one (1) WHP Manager (for as long as the WHP Member is entitled to designate a Manager pursuant to ‎Section 5.2(a)), (b) a majority of the members of each such committee shall be WHP Managers (for so long as the WHP Member is entitled to designate a majority of the Managers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(c) a majority of the members of each such committee shall be G-III Managers (for so long as the G-III Member is entitled to designate a majority of the Managers pursuant to ‎Section 5.2(a)), and (d) the actions of any such committee shall be expressly subject to the rights of the G-III Member or the WHP Member, as applicable, as set forth in this Agreement. No committee of the Board shall be authorized to take any action that the Board could not take itself.</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Meetings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The Board shall meet no less frequently than quarterly at such place and time as shall be determined by the Chairman with at least two weeks’ prior written notice to each Manager. Special meetings of the Board shall be called at the direction of the Chairman upon not less than forty-eight (48) hours’ prior written notice, with an agenda specifying in reasonable detail the matters to be discussed at the applicable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Person(s) calling any such meeting shall use commercially reasonable efforts to provide at least prior written notice of such meeting to each Manager at least one (1) week prior to such meeting;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Company shall make such meeting available electronically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w:t>
      </w:r>
    </w:p>
    <w:p>
      <w:pPr>
        <w:pStyle w:val="TextBody"/>
        <w:bidi w:val="0"/>
        <w:spacing w:before="24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With respect to quarterly and other regular meetings of the Board, not less than three (3) Business Days before each such meeting, the Chairman shall deliver, or cause to be delivered, to each Manager, an agenda specifying in reasonable detail the matters to be discussed at the applicable meeting. Any Manager who wishes to have any additional matter discussed at any such meeting shall give to the Chairman and each other Manager, not less than two (2) Business Days prior to any such meeting, notice of each matter it so wishes to discuss.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A member of the Board may participate in and act at any meeting of such Board through the use of a conference telephone or other communications equipment by means of which all persons participating in the meeting can hear each other, and participation in the meeting pursuant to this </w:t>
      </w:r>
      <w:r>
        <w:rPr>
          <w:rFonts w:ascii="Times New Roman;Times;Serif" w:hAnsi="Times New Roman;Times;Serif"/>
          <w:b w:val="false"/>
          <w:i w:val="false"/>
          <w:caps w:val="false"/>
          <w:smallCaps w:val="false"/>
          <w:color w:val="000000"/>
          <w:sz w:val="20"/>
          <w:u w:val="single"/>
        </w:rPr>
        <w:t>Section ‎5.3(c)</w:t>
      </w:r>
      <w:r>
        <w:rPr>
          <w:rFonts w:ascii="Times New Roman;Times;Serif" w:hAnsi="Times New Roman;Times;Serif"/>
          <w:b w:val="false"/>
          <w:i w:val="false"/>
          <w:caps w:val="false"/>
          <w:smallCaps w:val="false"/>
          <w:color w:val="000000"/>
          <w:sz w:val="20"/>
        </w:rPr>
        <w:t xml:space="preserve"> shall constitute presence in person at the meeting.</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 xml:space="preserve">Participation by any Manager in person or by any other means permitted hereunder shall be deemed to be a waiver of any notice requirement set forth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xml:space="preserve">. The presence of at least a majority of the Managers, including at least one WHP Manager and at least one G-III Manager shall constitute a quorum;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in the event that a quorum for two scheduled meetings of the Board is not present due to the consecutive absences of the G-III Manager(s) (when the WHP Member has the right to designate a majority of the Managers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the WHP Manager(s) (when the G-III Member has the right to designate a majority of the Managers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as applicable, and sufficient notice for each such meeting was provided, a quorum for the subsequently-scheduled meeting shall not require the presence of any G-III Manager or any WHP Manager,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such Manager’s failure to attend any such meeting of the Board shall not confer a waiver of such Manager’s or the G-III Member’s or the WHP Member’s, as applicable, approval rights set forth in this Agreement, including those under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which such approval shall be required for any action for which the corresponding Member’s consent is required pursuant to the terms hereof. Subject to the foregoing, if a quorum is not present at any meeting of the Board, the Managers present at such meeting may adjourn the meeting, without notice other than announcement at the meeting, until a quorum shall be present. Except as otherwise specified in this Agreement (including the first sentence of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all decisions of the Board shall be taken by the affirmative vote of a majority of the Managers present (including at least one WHP Manager, for so long as the WHP Member is entitled to designate a majority of the Managers pursuant to ‎Section 5.2(a), and at least one G-III Manager, for so long as the G-III Member is entitled to designate a majority of the Managers pursuant to ‎Section 5.2(a)) at a meeting at which a quorum exists, for such decision or action to be valid. At each meeting of the Board, and in each other circumstance in which the Board is authorized or directed to take any action under this Agreement, each Manager shall be entitled to cast one (1) vote. Each Manager designated by a Member may cast a vote for any other Manager designated by such Member if such Manager’s respective counterpart is absent from a meeting or unavailable for the execution and delivery of written consent in lieu thereof. In addition, each Manager designated by a Member may cast a vote on behalf of any vacant Board seat that the Member who appointed such Manager is entitled to fill.</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Removal of Managers; Vacancies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A Member may at any time remove any Manager appointed by such Member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with or without cause.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Except as otherwise provided in this Agreement, in the event a vacancy occurs on the Board as a result of the retirement, removal, resignation or death of a Manager designated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such vacancy shall be filled by the Member who appointed the Manager creating such vacancy.</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Approval Required</w:t>
      </w:r>
      <w:r>
        <w:rPr>
          <w:rFonts w:ascii="Times New Roman;Times;Serif" w:hAnsi="Times New Roman;Times;Serif"/>
          <w:b w:val="false"/>
          <w:i w:val="false"/>
          <w:caps w:val="false"/>
          <w:smallCaps w:val="false"/>
          <w:sz w:val="20"/>
        </w:rPr>
        <w:t xml:space="preserve">. Notwithstanding anything in this Agreement to the contrary, if and for so long as the G-III Member or the WHP Member, as applicable, continues to own (x) at least twenty-five percent (25%) of the issued and outstanding Units of the Company, in the case of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‎(q)</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to the extent relating to any of the foregoing clauses)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(y) at least ten percent (10%) of the issued and outstanding Units of the Company, in the case of clauses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to the extent relating to any of the foregoing clauses)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(the applicable threshold, as equitably adjusted for any split, or other recapitalization or reclassification effected after the Effective Date, a “</w:t>
      </w:r>
      <w:r>
        <w:rPr>
          <w:rFonts w:ascii="Times New Roman;Times;Serif" w:hAnsi="Times New Roman;Times;Serif"/>
          <w:b w:val="false"/>
          <w:i w:val="false"/>
          <w:caps w:val="false"/>
          <w:smallCaps w:val="false"/>
          <w:sz w:val="20"/>
          <w:u w:val="single"/>
        </w:rPr>
        <w:t>Consent Threshold</w:t>
      </w:r>
      <w:r>
        <w:rPr>
          <w:rFonts w:ascii="Times New Roman;Times;Serif" w:hAnsi="Times New Roman;Times;Serif"/>
          <w:b w:val="false"/>
          <w:i w:val="false"/>
          <w:caps w:val="false"/>
          <w:smallCaps w:val="false"/>
          <w:sz w:val="20"/>
        </w:rPr>
        <w:t xml:space="preserve">”), the Company shall not, and shall cause its Subsidiaries not to, directly or indirectly, take any of the following actions (whether by merger, consolidation, recapitalization or otherwise) without the prior written consent of the G-III Member or the WHP Member, as applicable (subject to the terms and conditions of the following);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prior written consent of the G-III Member or the WHP Member, as applicable shall not be required, and such Member shall cease to have any rights under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(except with respect to clauses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to the extent relating to any of the foregoing clauses)), if any (A) any WHP Specified Party or (B) solely in the case of the WHP Member, any G-III Specified Party, acquires control, directly or indirectly, of such Member: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amending, modifying, waiving, or restating any provision of this Agreement, or the organizational or governing documents of the Company or any of its Subsidiaries;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changing in the number of, or method of designating, Managers on the Board;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assigning, selling, contributing, leasing (which for purposes of this paragraph, specifically excludes intellectual property licensing), encumbering (including by way of any lien or security interest) or otherwise transferring or disposing of, or abandoning or letting lapse, whether by way of asset sale, stock sale, merger or otherwise, any (x) material assets of the Company or its Subsidiaries (including any material intellectual property), (y) Equity Securities or (z) business divisions in any Person, corporation, partnership, other business organization or any product line or division thereof, in one or more transactions or series of related transactions, in each case, other than (i) granting licenses in the ordinary course of business or (ii) any assignment, sale, contribution, lease, encumbrance, distribution transfer or disposition of all or any portion of the China and Japan Operating Business;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entering into a long-term (with an initial term of 20 years or more) exclusive license in a category;</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sending any notice requiring additional Capital Contributions to Members;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the incurring, issuing, assuming or guaranteeing any indebtedness for borrowed money in an amount in excess of $1,000,000;</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(g)         </w:t>
      </w:r>
      <w:r>
        <w:rPr>
          <w:rFonts w:ascii="Times New Roman;Times;Serif" w:hAnsi="Times New Roman;Times;Serif"/>
          <w:b w:val="false"/>
          <w:i w:val="false"/>
          <w:caps w:val="false"/>
          <w:smallCaps w:val="false"/>
          <w:sz w:val="20"/>
        </w:rPr>
        <w:t>making any election that would cause the Company (or any successor entity) to be classified as a corporation for U.S. federal (or applicable state or local) income tax purposes or taking any action that would reasonably be expected to cause the Company to be treated as an association taxable as a corporation for U.S. federal income tax purposes;</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(h)         </w:t>
      </w:r>
      <w:r>
        <w:rPr>
          <w:rFonts w:ascii="Times New Roman;Times;Serif" w:hAnsi="Times New Roman;Times;Serif"/>
          <w:b w:val="false"/>
          <w:i w:val="false"/>
          <w:caps w:val="false"/>
          <w:smallCaps w:val="false"/>
          <w:sz w:val="20"/>
        </w:rPr>
        <w:t xml:space="preserve">making any dividend or distribution with respect to, or redeeming or repurchasing, any Units, or effecting any Unit split, reorganization or other recapitalization transaction, other than (i) the distribution of Available Cash and distributions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(ii) any Unit redemption, repurchase, equity split or other recapitalization transaction undertaken on a pro rata basis among all Members or (iii) as described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the initiation or consummation of any public offering (including an Initial Public Offering) of the Equity Securities of the Company or its successor, or any Subsidiary thereof, or any parent company thereof formed for the purposes thereof, pursuant to a registration statement filed under the Securities Act;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(j)          </w:t>
      </w:r>
      <w:r>
        <w:rPr>
          <w:rFonts w:ascii="Times New Roman;Times;Serif" w:hAnsi="Times New Roman;Times;Serif"/>
          <w:b w:val="false"/>
          <w:i w:val="false"/>
          <w:caps w:val="false"/>
          <w:smallCaps w:val="false"/>
          <w:sz w:val="20"/>
        </w:rPr>
        <w:t xml:space="preserve">determining not to, or failing to distribute all Available Cash as of the end of each fiscal quarter to the Members in accordance with the first sentence of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(k)         </w:t>
      </w:r>
      <w:r>
        <w:rPr>
          <w:rFonts w:ascii="Times New Roman;Times;Serif" w:hAnsi="Times New Roman;Times;Serif"/>
          <w:b w:val="false"/>
          <w:i w:val="false"/>
          <w:caps w:val="false"/>
          <w:smallCaps w:val="false"/>
          <w:sz w:val="20"/>
        </w:rPr>
        <w:t>entering into, materially amending or modifying any Related Party Transaction;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(l)          </w:t>
      </w:r>
      <w:r>
        <w:rPr>
          <w:rFonts w:ascii="Times New Roman;Times;Serif" w:hAnsi="Times New Roman;Times;Serif"/>
          <w:b w:val="false"/>
          <w:i w:val="false"/>
          <w:caps w:val="false"/>
          <w:smallCaps w:val="false"/>
          <w:sz w:val="20"/>
        </w:rPr>
        <w:t xml:space="preserve">making or committing to make any capital expenditures in excess of $1,000,000 in the aggregate in any fiscal year, to the extent not approved as part of the Initial Budget or Annual Budget in accordance with the terms hereof (including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(m)         </w:t>
      </w:r>
      <w:r>
        <w:rPr>
          <w:rFonts w:ascii="Times New Roman;Times;Serif" w:hAnsi="Times New Roman;Times;Serif"/>
          <w:b w:val="false"/>
          <w:i w:val="false"/>
          <w:caps w:val="false"/>
          <w:smallCaps w:val="false"/>
          <w:sz w:val="20"/>
        </w:rPr>
        <w:t>conducting any business or activity other than the Company Business or any related business or activity, or making any material change to the Company Business that is not customary for a designer brand of its nature and scope;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(n)         </w:t>
      </w:r>
      <w:r>
        <w:rPr>
          <w:rFonts w:ascii="Times New Roman;Times;Serif" w:hAnsi="Times New Roman;Times;Serif"/>
          <w:b w:val="false"/>
          <w:i w:val="false"/>
          <w:caps w:val="false"/>
          <w:smallCaps w:val="false"/>
          <w:sz w:val="20"/>
        </w:rPr>
        <w:t xml:space="preserve">creating, authorizing or issuing any new class or series of Units or Equity Securities (including any phantom equity, profit sharing, or similar equity-based or linked incentive compensation), or issuing, selling, delivering, granting, transferring or encumbering, or authorizing, agreeing or committing to issue, sell, deliver, grant, transfer or encumber, any Units or Equity Securities (including any phantom equity, profit sharing, or similar equity-based or linked incentive compensation). Notwithstanding the foregoing, the consent of the G-III Member or the WHP Member shall not be required under this clause ‎(n) if the Board determines, in good faith, that the Company and its Subsidiaries, taken as a whole, are or would reasonably be expected to become insolvent without such authorization, issuance or right, in light of the financial circumstances of the Company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any Units or Equity Securities created, authorized or issued in reliance on this sentence shall be subject to the preemptive rights set forth in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(o)         </w:t>
      </w:r>
      <w:r>
        <w:rPr>
          <w:rFonts w:ascii="Times New Roman;Times;Serif" w:hAnsi="Times New Roman;Times;Serif"/>
          <w:b w:val="false"/>
          <w:i w:val="false"/>
          <w:caps w:val="false"/>
          <w:smallCaps w:val="false"/>
          <w:sz w:val="20"/>
        </w:rPr>
        <w:t>authorizing, approving, entering into or consummating any merger, consolidation, reorganization, recapitalization or other business combination of the Company or any of its Subsidiaries, or any acquisition of any Equity Securities of any Person;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(p)         </w:t>
      </w:r>
      <w:r>
        <w:rPr>
          <w:rFonts w:ascii="Times New Roman;Times;Serif" w:hAnsi="Times New Roman;Times;Serif"/>
          <w:b w:val="false"/>
          <w:i w:val="false"/>
          <w:caps w:val="false"/>
          <w:smallCaps w:val="false"/>
          <w:sz w:val="20"/>
        </w:rPr>
        <w:t>any voluntary bankruptcy, dissolution, winding-up or liquidation of the Company or any of its Subsidiaries;</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(x) selection of or changes to the auditor of the Company or any Subsidiary, other than the appointment of any of the following accounting firms in the United States: Deloitte, PwC, E&amp;Y, KPMG, BDO, Grant Thornton, RSM, Baker Tilly or CBIZ; provided, that any such firm shall be, and shall at all times during its engagement remain, registered with the Public Company Accounting Oversight Board (“</w:t>
      </w:r>
      <w:r>
        <w:rPr>
          <w:rFonts w:ascii="Times New Roman;Times;Serif" w:hAnsi="Times New Roman;Times;Serif"/>
          <w:b w:val="false"/>
          <w:i w:val="false"/>
          <w:caps w:val="false"/>
          <w:smallCaps w:val="false"/>
          <w:sz w:val="20"/>
          <w:u w:val="single"/>
        </w:rPr>
        <w:t>PCAOB</w:t>
      </w:r>
      <w:r>
        <w:rPr>
          <w:rFonts w:ascii="Times New Roman;Times;Serif" w:hAnsi="Times New Roman;Times;Serif"/>
          <w:b w:val="false"/>
          <w:i w:val="false"/>
          <w:caps w:val="false"/>
          <w:smallCaps w:val="false"/>
          <w:sz w:val="20"/>
        </w:rPr>
        <w:t>”); or (y) making any change in any method of financial accounting principles or practices, in each case, that would cause the Company to not be in compliance with GAAP or applicable Law (it being understood that any financial accounting principles, practices or positions that comply with GAAP shall not be restricted, by this Agreement or otherwise);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(r)         </w:t>
      </w:r>
      <w:r>
        <w:rPr>
          <w:rFonts w:ascii="Times New Roman;Times;Serif" w:hAnsi="Times New Roman;Times;Serif"/>
          <w:b w:val="false"/>
          <w:i w:val="false"/>
          <w:caps w:val="false"/>
          <w:smallCaps w:val="false"/>
          <w:sz w:val="20"/>
        </w:rPr>
        <w:t xml:space="preserve">any Transfer of Units or Equity Securities of the Company or any of its Subsidiaries by the any Member entitled to designate a majority of the Managers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that is not a Permitted Transfer, prior to the expiration of the Lock-Up Period (it being understood and agreed that such consent right over such Transfer pursuant to this clause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shall only apply in favor of any Member that is not entitled to designate a majority of the Managers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or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         </w:t>
      </w:r>
      <w:r>
        <w:rPr>
          <w:rFonts w:ascii="Times New Roman;Times;Serif" w:hAnsi="Times New Roman;Times;Serif"/>
          <w:b w:val="false"/>
          <w:i w:val="false"/>
          <w:caps w:val="false"/>
          <w:smallCaps w:val="false"/>
          <w:sz w:val="20"/>
        </w:rPr>
        <w:t>entering into any agreement to take any of the foregoing actions.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Action without a Meeting</w:t>
      </w:r>
      <w:r>
        <w:rPr>
          <w:rFonts w:ascii="Times New Roman;Times;Serif" w:hAnsi="Times New Roman;Times;Serif"/>
          <w:b w:val="false"/>
          <w:i w:val="false"/>
          <w:caps w:val="false"/>
          <w:smallCaps w:val="false"/>
          <w:sz w:val="20"/>
        </w:rPr>
        <w:t xml:space="preserve">. Any action permitted or required by the Act, the Certificate or this Agreement to be taken at a meeting of the Board or any committee designated by the Board in accordance with the terms hereof may be taken without a meeting, without prior notice and without a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all Managers receive at least forty-eight (48) hours’ prior written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the Person(s) sending the written notice shall use commercially reasonable efforts to provide at least seventy-two (72) hours’ prior written notice) of the action to be taken, including a copy of any proposed written consent or similar instrument, and (ii) a consent in writing (including by electronic mail), setting forth the action to be taken, is signed by the Managers holding not less than the minimum number of votes that would be necessary to authorize or take such action at a meeting at which all Managers entitled to vote thereon were present and voted. With respect to clause (i) above, execution of the written consent by a WHP Manager and a G-III Manager shall constitute a waiver of such forty-eight (48) hour prior notice requirement with respect to such Manager. Notwithstanding anything to the contrary, no action by written consent shall be effective with respect to any matter requiring the prior written consent of the G-III Member or the WHP Member, as applicable, under this Agreement unless such consent has been obtained.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Telephonic Meetings</w:t>
      </w:r>
      <w:r>
        <w:rPr>
          <w:rFonts w:ascii="Times New Roman;Times;Serif" w:hAnsi="Times New Roman;Times;Serif"/>
          <w:b w:val="false"/>
          <w:i w:val="false"/>
          <w:caps w:val="false"/>
          <w:smallCaps w:val="false"/>
          <w:sz w:val="20"/>
        </w:rPr>
        <w:t>. Managers may participate in a meeting of the Board by means of a conference telephone or similar communications equipment through which all persons participating in the meeting can hear each other, and such participation in a meeting shall constitute presence in person at such meeting.</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Company Minutes</w:t>
      </w:r>
      <w:r>
        <w:rPr>
          <w:rFonts w:ascii="Times New Roman;Times;Serif" w:hAnsi="Times New Roman;Times;Serif"/>
          <w:b w:val="false"/>
          <w:i w:val="false"/>
          <w:caps w:val="false"/>
          <w:smallCaps w:val="false"/>
          <w:sz w:val="20"/>
        </w:rPr>
        <w:t>. The decisions and resolutions of the Board shall be reported in minutes, which shall state the date, time and place of the meeting (or the date of the written consent in lieu of meeting), the Managers present at the meeting, the resolutions put to a vote (or the subject of a written consent) and the results of such voting (or written consent). The minutes shall be entered in a minute book kept at the principal office of the Company and a copy of the minutes shall be provided upon request to each Manager.</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Performance of Duties; Liability of Managers and Officers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In performing his or her duties, each Manager shall be entitled to rely in good faith on the provisions of this Agreement and on information, opinions, reports or statements (including financial statements and information, opinions, reports or statements as to the value or amount of the assets, liabilities, profits or losses of the Company and its Subsidiaries or any facts pertinent to the existence and amount of assets from which distributions to Members might properly be made), of the following other Persons or groups: (i) one or more officers or employees of any of the Company’s Subsidiaries, (ii) any attorney, independent accountant, financial advisor, consultant or other Person employed or engaged by the Company or any of its Subsidiaries, or (iii) any other Person who has been selected by or on behalf of the Company or any of its Subsidiaries, in each case, as to matters which such relying Person reasonably believes to be within such other Person’s professional or expert competence.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No individual who is a director, officer, employee, member, partner or direct or indirect owner of the Company or any of its Subsidiaries, or any combination of the foregoing, shall be personally liable under any judgment of a court, or in any other manner, for any debt, obligation or liability of the Company, whether that liability or obligation arises in contract, tort or otherwise solely by reason of being a director, officer, employee, member, partner or direct or indirect owner of the Company or any combination of the foregoing.</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No director, officer, employee, member, partner or direct or indirect owner of the Company or any of its Subsidiaries, or any combination of the foregoing, shall be liable to the Company or any Member for any act or omission, including any mistake of fact or error in judgment taken, suffered or made by such Person in good faith and with the belief that such act or omission is in or is not contrary to the best interests of the Company and is within the scope of authority granted to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act or omission was taken or not taken in good faith and does not constitute fraud, willful misconduct, gross negligence (as defined under Delaware law) or knowing violation of Law in the conduct of such Person’s office.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To the maximum extent permitted by applicable Law, including Section 18-1101 of the Delaware Act, or in equity, to the extent that, at law or in equity, subject to, and as limited by the provisions of this Agreement, an Officer or Manager, in the performance of his or her duties as such, owes to the Company and its Members duties (including fiduciary duties) to the Company, a Member or any other Person, such Officer’s or Manager’s duties are irrevocably waived, released and eliminated, including as may result from a conflict of interest between the Company or such Subsidiary and such Person, except with respect to acts or omissions not in good faith or which involve intentional misconduct or a knowing violation of law. Each Member acknowledges and agrees that in connection with such waiver, including as may result from a conflict of interest, each such Person may act in his, her or its own best interests (including his, her or its interests as a member or employee of a Member or any Affiliate of a Member). With respect to any waived conflict of interest, no Manager or Officer shall be obligated to recommend or take any action that prefers the interests of the Company or any Subsidiary over the interests of such Manager or Officer or the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Reimbursements</w:t>
      </w:r>
      <w:r>
        <w:rPr>
          <w:rFonts w:ascii="Times New Roman;Times;Serif" w:hAnsi="Times New Roman;Times;Serif"/>
          <w:b w:val="false"/>
          <w:i w:val="false"/>
          <w:caps w:val="false"/>
          <w:smallCaps w:val="false"/>
          <w:sz w:val="20"/>
        </w:rPr>
        <w:t xml:space="preserve">. The Company shall reimburse, upon presentation of appropriate substantiating documentation and in accordance with any policies from time to time established by the Company, all reasonable out-of-pocket expenses incurred by any Manager who is not an employee of the Company or its Subsidiaries in connection with the performance of his or her duties as a Manager (including his or her attendance at any meeting of the Board or any committee thereof). No Manager shall be entitled to receive any cash compensation for his or her services on the Board (other than expense reimbursement pursuant to the immediately foregoing sentence). Notwithstanding anything to the contrary in this Agreement, neither WHP Topco nor the WHP Member may charge, expense, allocate or otherwise pass-through to the Company or any of its Subsidiaries any payment obligation with respect to (x) the salaries or benefits or any other compensation of any Persons who are employees or full-time or exclusive service providers of WHP Topco or the WHP Member or any of their respective Affiliates (other than the Company or any of its Subsidiaries) or (y) any costs for the types of services that would customarily be contemplated under a management services agreement. Notwithstanding the foregoing, nothing shall prohibit the Company from reimbursing or paying for any reasonable and documented out-of-pocket expenses paid to third parties on behalf of the Company or incurred in connection with any services provided to the Company or any of its Subsidiaries by either Member or any of their respective Affiliates or any Persons who are employees or full-time or exclusive service providers of either Member or any of their respective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aggregate amount of such reimbursements or payments in respect of any Persons who are employees or full-time service providers of such Member or any of its Affiliates shall not exceed $150,000 per Fiscal Year.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Company shall have employees or agents who are designated as officers, as the Board may determine from time to time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xml:space="preserve">”). The initial Officers of the Company shall be the individuals whose names are set forth on </w:t>
      </w:r>
      <w:r>
        <w:rPr>
          <w:rFonts w:ascii="Times New Roman;Times;Serif" w:hAnsi="Times New Roman;Times;Serif"/>
          <w:b w:val="false"/>
          <w:i w:val="false"/>
          <w:caps w:val="false"/>
          <w:smallCaps w:val="false"/>
          <w:sz w:val="20"/>
          <w:u w:val="single"/>
        </w:rPr>
        <w:t>Schedule 5.13(a)</w:t>
      </w:r>
      <w:r>
        <w:rPr>
          <w:rFonts w:ascii="Times New Roman;Times;Serif" w:hAnsi="Times New Roman;Times;Serif"/>
          <w:b w:val="false"/>
          <w:i w:val="false"/>
          <w:caps w:val="false"/>
          <w:smallCaps w:val="false"/>
          <w:sz w:val="20"/>
        </w:rPr>
        <w:t xml:space="preserve"> hereto.</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Officers shall be subject to the authority of the Chief Executive Officer, and the Chief Executive Officer and other Officers shall be responsible for implementing the decisions of the Board and for conducting the ordinary and usual business and affairs of the Company.</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Officers shall be entitled to receive for their services to the Company such compensation as may be determined by the Board from time to time, such compensation to be paid by the Company. The Officers shall at all times be subject to the supervision and control of the Board and shall conform to policies and programs established by the Board, and the scope of the Officers’ authority shall be limited to such policies and programs. The acts of the Officers shall bind the Company when within the scope of the authority of such Officers. Except as otherwise authorized by the Board, no other Person shall have authority to bind or act for, or assume any obligations or responsibilities on behalf of, the Company. The Officers shall keep the Board informed as to all material matters of concern to the Company.</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License Agreement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Notwithstanding anything contained herein to the contrary, following the Effective Date, the Company and its Subsidiaries shall perform all of their respective obligations under and comply with the terms and conditions of the License Agreement. In no event shall any enforcement of rights by a Person pursuant to this </w:t>
      </w:r>
      <w:r>
        <w:rPr>
          <w:rFonts w:ascii="Times New Roman;Times;Serif" w:hAnsi="Times New Roman;Times;Serif"/>
          <w:b w:val="false"/>
          <w:i w:val="false"/>
          <w:caps w:val="false"/>
          <w:smallCaps w:val="false"/>
          <w:sz w:val="20"/>
          <w:u w:val="single"/>
        </w:rPr>
        <w:t>Section ‎5.13(a)</w:t>
      </w:r>
      <w:r>
        <w:rPr>
          <w:rFonts w:ascii="Times New Roman;Times;Serif" w:hAnsi="Times New Roman;Times;Serif"/>
          <w:b w:val="false"/>
          <w:i w:val="false"/>
          <w:caps w:val="false"/>
          <w:smallCaps w:val="false"/>
          <w:sz w:val="20"/>
        </w:rPr>
        <w:t xml:space="preserve"> be duplicative of any monetary remedies available to such Person under the License Agreement.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WHP Member will have the right to exercise sole control over any of the Company’s or its Subsidiaries’ decisions, actions or inactions with respect to the performance by the Company, enforcement and defense of the License Agreement (the “</w:t>
      </w:r>
      <w:r>
        <w:rPr>
          <w:rFonts w:ascii="Times New Roman;Times;Serif" w:hAnsi="Times New Roman;Times;Serif"/>
          <w:b w:val="false"/>
          <w:i w:val="false"/>
          <w:caps w:val="false"/>
          <w:smallCaps w:val="false"/>
          <w:sz w:val="20"/>
          <w:u w:val="single"/>
        </w:rPr>
        <w:t>License Agreement Matters</w:t>
      </w:r>
      <w:r>
        <w:rPr>
          <w:rFonts w:ascii="Times New Roman;Times;Serif" w:hAnsi="Times New Roman;Times;Serif"/>
          <w:b w:val="false"/>
          <w:i w:val="false"/>
          <w:caps w:val="false"/>
          <w:smallCaps w:val="false"/>
          <w:sz w:val="20"/>
        </w:rPr>
        <w:t>”). In furtherance of the foregoing, if the Board determines in good faith that there is a License Agreement Matter in which the interests of the Company or any of its Subsidiaries are adverse, directly or indirectly, to the interests of the G-III Member or any of its Affiliates, (each, a “</w:t>
      </w:r>
      <w:r>
        <w:rPr>
          <w:rFonts w:ascii="Times New Roman;Times;Serif" w:hAnsi="Times New Roman;Times;Serif"/>
          <w:b w:val="false"/>
          <w:i w:val="false"/>
          <w:caps w:val="false"/>
          <w:smallCaps w:val="false"/>
          <w:sz w:val="20"/>
          <w:u w:val="single"/>
        </w:rPr>
        <w:t>Conflicted Matter</w:t>
      </w:r>
      <w:r>
        <w:rPr>
          <w:rFonts w:ascii="Times New Roman;Times;Serif" w:hAnsi="Times New Roman;Times;Serif"/>
          <w:b w:val="false"/>
          <w:i w:val="false"/>
          <w:caps w:val="false"/>
          <w:smallCaps w:val="false"/>
          <w:sz w:val="20"/>
        </w:rPr>
        <w:t xml:space="preserve">”), (x) the Board shall provide to the G-III Member a written notice of the existence of such Conflicted Matter, (y) the G-III Managers shall recuse themselves from any consideration, vote or other action of the Board relating to such Conflicted Matter, and (z) the Board may take any action or inaction regarding such Conflicted Matter without the presence or affirmative vote of any G-III Managers. For the avoidance of doubt, nothing in this </w:t>
      </w:r>
      <w:r>
        <w:rPr>
          <w:rFonts w:ascii="Times New Roman;Times;Serif" w:hAnsi="Times New Roman;Times;Serif"/>
          <w:b w:val="false"/>
          <w:i w:val="false"/>
          <w:caps w:val="false"/>
          <w:smallCaps w:val="false"/>
          <w:sz w:val="20"/>
          <w:u w:val="single"/>
        </w:rPr>
        <w:t>Section 5.13(b)</w:t>
      </w:r>
      <w:r>
        <w:rPr>
          <w:rFonts w:ascii="Times New Roman;Times;Serif" w:hAnsi="Times New Roman;Times;Serif"/>
          <w:b w:val="false"/>
          <w:i w:val="false"/>
          <w:caps w:val="false"/>
          <w:smallCaps w:val="false"/>
          <w:sz w:val="20"/>
        </w:rPr>
        <w:t xml:space="preserve"> shall limit any rights of the G-III Member under the License Agreement or any applicable consent rights of the G-III Member as expressly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herein.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Consultation Rights</w:t>
      </w:r>
      <w:r>
        <w:rPr>
          <w:rFonts w:ascii="Times New Roman;Times;Serif" w:hAnsi="Times New Roman;Times;Serif"/>
          <w:b w:val="false"/>
          <w:i w:val="false"/>
          <w:caps w:val="false"/>
          <w:smallCaps w:val="false"/>
          <w:sz w:val="20"/>
        </w:rPr>
        <w:t>. Prior to an Initial Public Offering, for so long as the G-III Member or the WHP Member, as applicable continues to own at least twenty-five percent (25%) of the issued and outstanding Units of the Company, the Company will reasonably consult with (and shall consider in good faith the comments and concerns of) such Member in advance of taking (or permitting any Subsidiary to take) any of the following actions: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hiring, firing or replacing the Chief Executive Officer or the Chief Financial Officer of the Company, provided, that, prior to replacing or hiring the Chief Executive Officer or the Chief Financial Officer of the Company, the Board shall provide reasonable opportunity for such Member to meet with such potential replacement Chief Executive Officer or the Chief Financial Officer candidate before he or she is hired;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adopting or amending the Annual Budget (including the Initial Budget) or business plan, or approving any material deviation to the foregoing;</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making material changes or taking material actions related to the direction or management of the Marc Jacobs Brand, including (i) selection of or material transactions with licensees and brand partners, (ii) selection of or material changes to the categories of products and services sold, marketed or distributed under the Marc Jacobs Brand, (iii) change to the positioning of the Marc Jacobs Brand or the distribution or retail strategy thereof or (iv) creating, developing or marketing any sub-brand or co-brand with the Marc Jacobs Brand;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hiring or firing or entering into, terminating, amending, modifying, waiving or changing the terms of employment of Marc Jacobs; and</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center"/>
        <w:rPr/>
      </w:pPr>
      <w:r>
        <w:rPr/>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 xml:space="preserve">any of the matters set forth on </w:t>
      </w:r>
      <w:r>
        <w:rPr>
          <w:rFonts w:ascii="Times New Roman;Times;Serif" w:hAnsi="Times New Roman;Times;Serif"/>
          <w:b w:val="false"/>
          <w:i w:val="false"/>
          <w:caps w:val="false"/>
          <w:smallCaps w:val="false"/>
          <w:sz w:val="20"/>
          <w:u w:val="single"/>
        </w:rPr>
        <w:t>‎Schedule 5.14(e)</w:t>
      </w:r>
      <w:r>
        <w:rPr>
          <w:rFonts w:ascii="Times New Roman;Times;Serif" w:hAnsi="Times New Roman;Times;Serif"/>
          <w:b w:val="false"/>
          <w:i w:val="false"/>
          <w:caps w:val="false"/>
          <w:smallCaps w:val="false"/>
          <w:sz w:val="20"/>
        </w:rPr>
        <w:t>.</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Agreement, the WHP Member and the G-III Member acknowledge and agree that the consultation rights set forth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do not represent consent rights or veto rights of such Member.</w:t>
      </w:r>
    </w:p>
    <w:p>
      <w:pPr>
        <w:pStyle w:val="TextBody"/>
        <w:bidi w:val="0"/>
        <w:spacing w:before="240" w:after="240"/>
        <w:ind w:left="240" w:right="24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VI</w:t>
      </w:r>
    </w:p>
    <w:p>
      <w:pPr>
        <w:pStyle w:val="TextBody"/>
        <w:bidi w:val="0"/>
        <w:spacing w:before="240" w:after="240"/>
        <w:ind w:left="240" w:right="24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br/>
        <w:t>Withholding</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The Company may, to the extent required by Law, deduct and withhold in respect of taxes (or other tax-related obligation of any Member) on any amount paid, distributed, disbursed, or allocated by the Company to that Member, including upon liquidation of the Company or a Member’s interest in the Company. Each Member agrees to any such withholding by the Company, including withholding to discharge obligations of the Company with respect to prior distributions, allocations, or an Imputed Underpayment Share.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is binding on any Person that becomes treated as an owner of Units for U.S. federal income tax purposes on or after the date of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Treatment of Withheld Amounts</w:t>
      </w:r>
      <w:r>
        <w:rPr>
          <w:rFonts w:ascii="Times New Roman;Times;Serif" w:hAnsi="Times New Roman;Times;Serif"/>
          <w:b w:val="false"/>
          <w:i w:val="false"/>
          <w:caps w:val="false"/>
          <w:smallCaps w:val="false"/>
          <w:sz w:val="20"/>
        </w:rPr>
        <w:t xml:space="preserve">. All amounts withheld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except as otherwise determined by the Company, be treated as amounts distributed to such Person pursuant to the provision of this Agreement that would have applied if such amount had actually been distributed.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Obligation to Fund Withholding</w:t>
      </w:r>
      <w:r>
        <w:rPr>
          <w:rFonts w:ascii="Times New Roman;Times;Serif" w:hAnsi="Times New Roman;Times;Serif"/>
          <w:b w:val="false"/>
          <w:i w:val="false"/>
          <w:caps w:val="false"/>
          <w:smallCaps w:val="false"/>
          <w:sz w:val="20"/>
        </w:rPr>
        <w:t xml:space="preserve">. The Company shall satisfy any withholding obligation attributable to a Member out of that portion of Available Cash that would otherwise be distributable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to such Member. If the Company determines that it has insufficient Available Cash to satisfy such withholding obligation, the Member to which the withholding is attributable shall be treated as having an Imputed Underpayment Share in the amount of the shortfall and the provisions of Section 4.5 of the Tax Annex shall apply.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Special Rule for Code Section 1446(f)</w:t>
      </w:r>
      <w:r>
        <w:rPr>
          <w:rFonts w:ascii="Times New Roman;Times;Serif" w:hAnsi="Times New Roman;Times;Serif"/>
          <w:b w:val="false"/>
          <w:i w:val="false"/>
          <w:caps w:val="false"/>
          <w:smallCaps w:val="false"/>
          <w:sz w:val="20"/>
        </w:rPr>
        <w:t xml:space="preserve">. If any Member proposes to Transfer any Units then, unless otherwise reasonably determined by the Company, that Member shall (i) prior to or on the effective date of such Transfer, have delivered to the Company a duly completed and validly executed IRS Form W-9 certifying, among other matters, a complete exemption from U.S. federal backup withholding tax, or other documentation establishing a valid exemption from withholding pursuant to Code section 1446(f), or (ii) ensure that, contemporaneously with the Transfer, the transferee of such Units properly withholds and remits to the IRS the amount of tax required to be withheld upon the Transfer by Code section 1446(f) (and promptly provide evidence to the Company of such withholding and remittance). In connection with any such Transfer, the transferor and transferee of such interest shall agree to jointly and severally indemnify and hold harmless the Company against any loss (including taxes, interest, penalties, and any related expenses) arising out of any failure to comply with the provisions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Former Members; Survival Amendment</w:t>
      </w:r>
      <w:r>
        <w:rPr>
          <w:rFonts w:ascii="Times New Roman;Times;Serif" w:hAnsi="Times New Roman;Times;Serif"/>
          <w:b w:val="false"/>
          <w:i w:val="false"/>
          <w:caps w:val="false"/>
          <w:smallCaps w:val="false"/>
          <w:sz w:val="20"/>
        </w:rPr>
        <w:t>. For purposes of this Article VI, the term “Member” shall include a former Member. The obligations of each Member and former Member under this Article VI shall survive the Transfer by such Member of its Units (or withdrawal by a Member or redemption of a Member’s Units) and the dissolution of the Company until ninety (90) days after the applicable statute of limitations.</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br/>
        <w:t>DISTRIBUTIONS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xml:space="preserve">. Subject to the provisions of Section 18-607 of the Delaware Act,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the following sentences of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 Board may, in its sole discretion, make distributions at any time or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unless otherwise approved in writing by the G-III Member (for so long as the WHP Member is entitled to designate a majority of the Managers pursuant to ‎Section 5.2(a)) or the WHP Member (for so long as the G-III Member is entitled to designate a majority of the Managers pursuant to ‎Section 5.2(a)), the Company shall distribute all Available Cash as of the end of each fiscal quarter of the Company to the Members reasonably promptly (and in any event within ten (10) Business Days) following the end of such fiscal quarter. All distributions made pursuant to this Agreement shall be made to the Members ratably in accordance with their Percentage Interests, and shall come with a reasonably detailed statement prepared by the Board indicating the Board’s calculation of Available Cash in connection with such distribution.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For purposes of determining the amount of distributions, each Member shall be treated as having made the Capital Contributions and as having received the distributions made to or received by its predecessors in respect of any of such Member’s Units. For the avoidance of doubt, all distributions in respect of a transferred Unit (or part thereof) shall take into account distributions previously made (or deemed to be made) such that the aggregate distributions made in respect of such Unit (or part thereof) shall be the same as if no Transfer occurred.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Distributions In-Kind</w:t>
      </w:r>
      <w:r>
        <w:rPr>
          <w:rFonts w:ascii="Times New Roman;Times;Serif" w:hAnsi="Times New Roman;Times;Serif"/>
          <w:b w:val="false"/>
          <w:i w:val="false"/>
          <w:caps w:val="false"/>
          <w:smallCaps w:val="false"/>
          <w:sz w:val="20"/>
        </w:rPr>
        <w:t xml:space="preserve">. To the extent that the Company distributes property in-kind to the Members, the Company shall be treated as making a distribution equal to the Fair Market Value of such property for purposes of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VIII</w:t>
      </w:r>
      <w:r>
        <w:rPr>
          <w:rFonts w:ascii="Times New Roman;Times;Serif" w:hAnsi="Times New Roman;Times;Serif"/>
          <w:b/>
          <w:i w:val="false"/>
          <w:caps/>
          <w:sz w:val="20"/>
        </w:rPr>
        <w:br/>
        <w:br/>
        <w:t>INFORMATION RIGHTS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Financial Statements; Inspection Rights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Subject to the terms and conditions of this Agreement, the Company shall provide the following financial information to each Member at the times hereinafter set forth:</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as soon as reasonably practicable, but in any event within seventy-five (75) days after the end of each Fiscal Year, (A) a balance sheet as of the end of such year, (B) statements of income and of cash flows for such year, and (C) a statement of stockholders’ equity as of the end of such year, all such financial statements prepared in accordance with GAAP and audited and certified by any of the following accounting firms in the United States: Deloitte, PwC, E&amp;Y, KPMG, BDO, Grant Thornton, RSM, Baker Tilly or CBIZ, or such other independent public accounting firm as is mutually agreed upon by the Members, provided, that any such firm shall be, and shall at all times during its engagement remain, registered with the PCAOB;</w:t>
      </w:r>
    </w:p>
    <w:p>
      <w:pPr>
        <w:pStyle w:val="TextBody"/>
        <w:bidi w:val="0"/>
        <w:spacing w:before="240" w:after="240"/>
        <w:ind w:left="240" w:right="24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as soon as reasonably practicable, but in any event within forty (40) days after the end of each quarter of each Fiscal Year, unaudited statements of income and cash flows for such fiscal quarter, and an unaudited balance sheet and a statement of stockholders’ equity as of the end of such fiscal quarter, all prepared in accordance with GAAP (except that such financial statements may (A) be subject to normal year-end audit adjustments; and (B) not contain all notes thereto that may be required in accordance with GAAP);</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rPr>
        <w:t>as soon as reasonably practicable, but in any event within thirty (30) days after the end of each calendar month, unaudited statements of income and cash flows for such fiscal quarter, and an unaudited balance sheet, all prepared in accordance with GAAP (except that such financial statements may (A) be subject to normal quarter-end and year-end audit adjustments; and (B) not contain all notes thereto that may be required in accordance with GAAP) of the Company and its Subsidiaries; and</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(iv)         </w:t>
      </w:r>
      <w:r>
        <w:rPr>
          <w:rFonts w:ascii="Times New Roman;Times;Serif" w:hAnsi="Times New Roman;Times;Serif"/>
          <w:b w:val="false"/>
          <w:i w:val="false"/>
          <w:caps w:val="false"/>
          <w:smallCaps w:val="false"/>
          <w:sz w:val="20"/>
        </w:rPr>
        <w:t>such other information relating to the financial condition, business, prospects, or corporate affairs of the Company as the G-III Member or the WHP Member may from time to time reasonably request, for as long as each such Member holds at least twenty (20%) of the issued and outstanding Units of the Company.</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Each Member shall provide to the Company upon request tax basis information about assets contributed by it to the Company and such other tax information as reasonably requested by the Company and reasonably necessary for it to prepare its financial reports or any tax returns.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Company shall use commercially reasonable efforts to provide to each Member (i) after the end of each Fiscal Year, no later than March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the subsequent Fiscal Year, an estimated draft Schedule K-1, (ii) after the end of each Fiscal Year, by the earlier of (x) August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or (y) within ten (10) days after the filing by the Company of the Company’s federal tax return (IRS Form 1065), a final copy of Schedule K-1 of IRS Form 1065, in the case of each of clauses (i) and (ii), reporting that Member’s allocable share of Net Profits, Net Losses and other Tax Items (in each case, as defined in the Tax Annex) for such Fiscal Year, and (iii) from time to time, such additional information as such Member may reasonably request for tax purposes, including for purposes of filing an IRS Form 5471 or any similar filing with respect to any Subsidiary of the Company. In accordance with Rev. Proc. 2012-17 (the relevant provisions of which are incorporated by reference), each Member hereby consents to receive each Schedule K-1 in respect of the Member’s Membership Interest in the Company through electronic delivery. This consent applies to each Schedule K-1 required to be furnished to the Member by the Company after this consent is given.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u w:val="single"/>
        </w:rPr>
        <w:t>Inspection Rights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For as long as the G-III Member or the WHP Member owns at least twenty-five percent (25%) of the issued and outstanding Units of the Company, during normal business hours and upon reasonable prior notice by such Member, the Company shall provide such Member and its duly authorized representatives reasonable access to the senior executives, books and records of the Company and its Subsidiaries for any purpose germane to its investment, in each case in a manner as to not unreasonably interfere with the operations of the Company or any of its Subsidiaries.</w:t>
      </w:r>
    </w:p>
    <w:p>
      <w:pPr>
        <w:pStyle w:val="TextBody"/>
        <w:bidi w:val="0"/>
        <w:spacing w:before="240" w:after="240"/>
        <w:ind w:left="240" w:right="24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 xml:space="preserve">For as long as the G-III Member or the WHP Member owns at least 40% of the Units it holds as of the Effective Date, such Member may, during regular business hours with at least ten (10) Business Days’ advance notice, and the Company shall provide reasonable access so that such Member may inspect or (no more than twice per year) audit the Company’s books of account and records and examine any or all documents and materials of the Company reasonably related to this Agreement, in each case in a manner as to not unreasonably interfere with the operations of the Company or any of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Member shall not be entitled to inspect, audit or examine any information to the extent that access to, or receipt of, such information would, upon the advice of outside counsel, adversely affect any attorney-client or work product privilege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Company shall use commercially reasonable efforts to provide such information in a manner that does not jeopardize such privilege or protection.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 xml:space="preserve">Notwithstanding anything to the contrary in this ‎Article VIII, in connection with a Qualifying CoC, the CoC Member shall cease to have any rights to information or inspection of the Company and its Subsidiaries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(other than in respect of the deliverables contemplated by </w:t>
      </w:r>
      <w:r>
        <w:rPr>
          <w:rFonts w:ascii="Times New Roman;Times;Serif" w:hAnsi="Times New Roman;Times;Serif"/>
          <w:b w:val="false"/>
          <w:i w:val="false"/>
          <w:caps w:val="false"/>
          <w:smallCaps w:val="false"/>
          <w:sz w:val="20"/>
          <w:u w:val="single"/>
        </w:rPr>
        <w:t>‎Section 8.1(a)(i)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8.1‎(a)(iii)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IX</w:t>
      </w:r>
      <w:r>
        <w:rPr>
          <w:rFonts w:ascii="Times New Roman;Times;Serif" w:hAnsi="Times New Roman;Times;Serif"/>
          <w:b/>
          <w:i w:val="false"/>
          <w:caps/>
          <w:sz w:val="20"/>
        </w:rPr>
        <w:br/>
        <w:br/>
        <w:t>TRANSFER OF UNITS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Certain Restrictions on Transfer or Encumbrance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During the thirty-six (36) month period following the Effective Date (the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xml:space="preserve">”), except as otherwise provided in this ‎Article IX, no Member may Transfer any Units without the prior written consent of the other Members, other than a Transfer (i) to a Permitted Transferee, or (ii) with the prior written consent of (x) the Board and (y) the G-III Member or the WHP Member, in each case, to the extent required by this Agreement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In no event shall any Member Transfer any Units to a WHP Specified Party or, in the case of a Transfer by the WHP Member or its Permitted Transferees, to a G-III Specified Party, in each case without the prior written consent of the other Member. Notwithstanding anything in this Agreement to the contrary (but subject to the immediately preceding sentence prohibiting a Transfer to a G-III Specified Party or WHP Specified Party absent the prior written consent of the applicable Member), unless the WHP Member and the G-III Member otherwise agree in writing, no Member shall Transfer any Units during the Lock-Up Period, other than Transfers to Permitted Transferees. Following the Lock-Up Period, any Transfer by a Member (other than a Transfer to a Permitted Transferee) shall be subject to the Purchase Offer provisions set forth in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and the Tag-Along Rights set forth in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Notwithstanding anything in this Agreement to the contrary, no Units shall be Transferred: (A) if such Transfer would cause a significant risk that the Company becomes (I) a “publicly traded partnership” as such term is defined in section 7704(b) of the Code, (II) subject to the provisions of the Investment Company Act of 1940, as amended, or (III) subject to the “plan asset” regulations adopted under the Employee Retirement Income Security Act of 1974, as amended; (B) to any Person who lacks the legal right, power or capacity to own such Units; (C) if the Board reasonably determines based on the written advice of outside legal counsel that such Transfer (I) is prohibited by applicable Law or (II) would require the prior consent of any Governmental Authority without which completing such Transfer would have adverse consequences on the Company or any of its Subsidiaries, and such prior consent has not been obtained as of the date when such Transfer would otherwise be effective; (D) to any Person who is a Sanctioned Person or a Person that is acting in violation of anti-corruption Laws, Trade Controls or sanctions; (E) to any Person who derives a material portion of its revenue from a country that is the subject of sanctions; (F) if such Transfer would require the registration of the Transferred Units pursuant to applicable securities Laws; or (G) to any Person which is a party to an ongoing material litigation with, and is adverse therein to, Company or any of its Subsidiaries, unless with respect to this clause (G) only, otherwise consented to by the Board.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Each Person to whom any Unit is Transferred in accordance with the provisions of this Agreement (including this ‎Article IX) shall agree in writing to be bound by the provisions of this Agreement as a holder of such Units by execution of a Joinder Agreement. Upon compliance with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and entry into such Joinder Agreement, such Person shall be admitted as an Additional Member entitled to all the rights of a Member with respect to such Unit, and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attached hereto shall be amended to reflect the name, address and Units of such Additional Member.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 xml:space="preserve">If any Permitted Transferee to which a Member Transfers Units pursuant to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ceases to be a Permitted Transferee of such Member pursuant to the definition of “Permitted Transferee,” such Person shall reconvey such Units to such transferring Member immediately before such Person ceases to be a Permitted Transferee of such transferring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such change of status is not known until after its occurrence, the former Permitted Transferee shall make such Transfer to such Transferring Member as soon as practicable after the former Permitted Transferee receives notice thereof.</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Following a Transfer of any Unit that is permitted under this ‎Article IX, the Transferee of such Unit shall be treated as having made all of the Capital Contributions in respect of, and received all of the allocations and distributions received in respect of, such Unit, and shall receive allocations and distributions under ‎Article VII and ‎Article X in respect of such Unit as if such transferee were a Member. Any Member that Transfers any Units shall cease to be a Member with respect to such Units and shall no longer have any rights or privileges under this Agreement with respect to such Units.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Transfer Fees and Expenses; Closing Date of Transfers</w:t>
      </w:r>
      <w:r>
        <w:rPr>
          <w:rFonts w:ascii="Times New Roman;Times;Serif" w:hAnsi="Times New Roman;Times;Serif"/>
          <w:b w:val="false"/>
          <w:i w:val="false"/>
          <w:caps w:val="false"/>
          <w:smallCaps w:val="false"/>
          <w:sz w:val="20"/>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transferor and Transferee of any Units shall be jointly and severally obligated to reimburse the Company for all reasonable and documented expenses (including attorneys’ fees and expenses) incurred by or on behalf of the Company in connection with any Transfer or proposed Transfer, whether or not consummated.</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Prior to any Transfer (including any Transfer to a Permitted Transferee) shall be effective, the Member and the transferee shall both provide the Company with the documentation described in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Any Transfer and any related admission of a Person as a Member in compliance with this ‎Article IX shall be deemed effective on such date that the Transferee complies with the requirements of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Change of Control Option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If a Member or an Affiliate thereof enters into an agreement with respect to, or otherwise intends to consummate, a Qualifying CoC with respect to the applicable Member (such Member, a “</w:t>
      </w:r>
      <w:r>
        <w:rPr>
          <w:rFonts w:ascii="Times New Roman;Times;Serif" w:hAnsi="Times New Roman;Times;Serif"/>
          <w:b w:val="false"/>
          <w:i w:val="false"/>
          <w:caps w:val="false"/>
          <w:smallCaps w:val="false"/>
          <w:sz w:val="20"/>
          <w:u w:val="single"/>
        </w:rPr>
        <w:t>CoC Member</w:t>
      </w:r>
      <w:r>
        <w:rPr>
          <w:rFonts w:ascii="Times New Roman;Times;Serif" w:hAnsi="Times New Roman;Times;Serif"/>
          <w:b w:val="false"/>
          <w:i w:val="false"/>
          <w:caps w:val="false"/>
          <w:smallCaps w:val="false"/>
          <w:sz w:val="20"/>
        </w:rPr>
        <w:t>”), then the CoC Member shall promptly (but in any event, at least thirty (30) days prior to the closing of such Qualifying CoC) deliver to the other Member (the “</w:t>
      </w:r>
      <w:r>
        <w:rPr>
          <w:rFonts w:ascii="Times New Roman;Times;Serif" w:hAnsi="Times New Roman;Times;Serif"/>
          <w:b w:val="false"/>
          <w:i w:val="false"/>
          <w:caps w:val="false"/>
          <w:smallCaps w:val="false"/>
          <w:sz w:val="20"/>
          <w:u w:val="single"/>
        </w:rPr>
        <w:t>Non-CoC Member</w:t>
      </w:r>
      <w:r>
        <w:rPr>
          <w:rFonts w:ascii="Times New Roman;Times;Serif" w:hAnsi="Times New Roman;Times;Serif"/>
          <w:b w:val="false"/>
          <w:i w:val="false"/>
          <w:caps w:val="false"/>
          <w:smallCaps w:val="false"/>
          <w:sz w:val="20"/>
        </w:rPr>
        <w:t>”) written notice (the “</w:t>
      </w:r>
      <w:r>
        <w:rPr>
          <w:rFonts w:ascii="Times New Roman;Times;Serif" w:hAnsi="Times New Roman;Times;Serif"/>
          <w:b w:val="false"/>
          <w:i w:val="false"/>
          <w:caps w:val="false"/>
          <w:smallCaps w:val="false"/>
          <w:sz w:val="20"/>
          <w:u w:val="single"/>
        </w:rPr>
        <w:t>CoC Notice</w:t>
      </w:r>
      <w:r>
        <w:rPr>
          <w:rFonts w:ascii="Times New Roman;Times;Serif" w:hAnsi="Times New Roman;Times;Serif"/>
          <w:b w:val="false"/>
          <w:i w:val="false"/>
          <w:caps w:val="false"/>
          <w:smallCaps w:val="false"/>
          <w:sz w:val="20"/>
        </w:rPr>
        <w:t xml:space="preserve">”) of the same, which notice shall include the number of Units then owned by the CoC Member. Upon receipt of the CoC Notice, the Non-CoC Member will have a non-transferable option to purchase from the CoC Member, at the election of the Non-CoC Member, (i) 100% of the aggregate number of issued and outstanding Units of the Company held by the CoC Member or (ii) 25% (but not less than 25%) of the aggregate number of issued and outstanding Units of the Company, in each case, for the Per Unit FMV of such Units at such time, determined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CoC Option Transaction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No later than twenty (20) days after such delivery of the CoC Notice by the CoC Member to the Non-CoC Member, the Non-CoC Member may, at its sole election, deliver a written notice to the Company and the CoC Member (the “</w:t>
      </w:r>
      <w:r>
        <w:rPr>
          <w:rFonts w:ascii="Times New Roman;Times;Serif" w:hAnsi="Times New Roman;Times;Serif"/>
          <w:b w:val="false"/>
          <w:i w:val="false"/>
          <w:caps w:val="false"/>
          <w:smallCaps w:val="false"/>
          <w:sz w:val="20"/>
          <w:u w:val="single"/>
        </w:rPr>
        <w:t>CoC Option Notice</w:t>
      </w:r>
      <w:r>
        <w:rPr>
          <w:rFonts w:ascii="Times New Roman;Times;Serif" w:hAnsi="Times New Roman;Times;Serif"/>
          <w:b w:val="false"/>
          <w:i w:val="false"/>
          <w:caps w:val="false"/>
          <w:smallCaps w:val="false"/>
          <w:sz w:val="20"/>
        </w:rPr>
        <w:t xml:space="preserve">”), which will state or otherwise include confirmation that the Non-CoC Member elects to exercise its right to engage in a CoC Option Transaction. The CoC Option Notice shall be an irrevocable election to purchase the number of Units specified in such notice at the Per Unit FMV, which shall be finally determined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If the Non-CoC Member does not deliver a CoC Option Notice to the Company within twenty (20) days of delivery of the CoC Notice or otherwise elects not to exercise the right to engage in a CoC Option Transaction, then the right to engage in the CoC Option Transaction will be deemed to have lapsed and expired in its entirety;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of a termination of a definitive transaction agreement in respect of such Qualifying CoC or the cessation of discussions among the potential parties to such Qualifying CoC, the CoC Member shall provide reasonably prompt notice to the Non-CoC Member in respect thereof, which shall void any CoC Option Notice with respect to such Qualifying CoC; provided, that and any subsequent Qualifying CoC will once again be subject to the terms of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The closing of the purchase of the CoC Option Transaction shall take place promptly (and in any event within 60 days) following a final determination of the Per Unit FMV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or as promptly as practicable thereafter to the extent required to </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regulatory approvals (if any). Notwithstanding anything herein to the contrary, in no event shall the closing of the CoC Option Transaction delay the closing of the Qualifying CoC. The aggregate purchase price paid for the Units in connection with a CoC Option Transaction shall be due and payable in cash in full at the closing of the CoC Option Transaction. During the period between the delivery of the CoC Option Notice and the closing of the CoC Option Transaction, the Non-CoC Member and the CoC Member shall negotiate, in good faith, definitive documentation with respect to the acquisition of the Units set out in the CoC Option Notice, which definitive documentation shall, in any case: (A) provide that there shall be no conditions to the closing of the CoC Option Transaction other than as required to obtain regulatory approvals (if any), which for the avoidance of doubt, shall not delay the closing of the Qualifying CoC; (B) only require the CoC Member to provide representations and warranties with respect to the CoC Member’s due organization and existence, power and authority, non-contravention, enforceability, ownership of Units free and clear of all liens, the absence of litigation in respect of such acquisition transaction and the absence (or satisfaction) of any obligation to brokers, finders or similar representatives; (C) not require the CoC Member or any of its Affiliates to enter into any restrictive covenants (including any non-competition, non-solicitation, non-hire or similar covenants) other than customary confidentiality covenants; and (D) include a general release of claims (with respect to the Units purchased) from each of the CoC Member and the Non-CoC Member in its respective capacity as a holder of Units.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 xml:space="preserve">Upon the consummation of a Qualifying CoC, irrespective of the exercise of the right to engage in a CoC Option Transaction, (x) the Non-CoC Member shall assume sole control of the Board, and (y) the CoC Member shall cease to have any rights to (i) designate any Managers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(ii) information or inspection of the Company and its Subsidiaries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(other than in respect of the deliverables contemplated by </w:t>
      </w:r>
      <w:r>
        <w:rPr>
          <w:rFonts w:ascii="Times New Roman;Times;Serif" w:hAnsi="Times New Roman;Times;Serif"/>
          <w:b w:val="false"/>
          <w:i w:val="false"/>
          <w:caps w:val="false"/>
          <w:smallCaps w:val="false"/>
          <w:sz w:val="20"/>
          <w:u w:val="single"/>
        </w:rPr>
        <w:t>‎Section 8.1(a)(i)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8.1(a)(ii)</w:t>
      </w:r>
      <w:r>
        <w:rPr>
          <w:rFonts w:ascii="Times New Roman;Times;Serif" w:hAnsi="Times New Roman;Times;Serif"/>
          <w:b w:val="false"/>
          <w:i w:val="false"/>
          <w:caps w:val="false"/>
          <w:smallCaps w:val="false"/>
          <w:sz w:val="20"/>
        </w:rPr>
        <w:t xml:space="preserve">, ‎Section 8.1(a)(iii) and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(iii) consent under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(except with respect to clauses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thereof (or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to the extent relating to any of the foregoing clauses), which shall survive) or (iv) the consultation rights set forth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The COC Member and Non-CoC Member shall enter into any necessary amendments to this Agreement to reflect such changes in governance and information rights. Upon the consummation of a Qualifying CoC, without regard to whether the Non-CoC Member exercised any of its rights under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with respect to such Qualifying CoC, such CoC Member’s rights pursuant to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shall terminate with respect to any subsequent Qualifying CoC of the Non-CoC Member.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Per Unit FMV</w:t>
      </w:r>
      <w:r>
        <w:rPr>
          <w:rFonts w:ascii="Times New Roman;Times;Serif" w:hAnsi="Times New Roman;Times;Serif"/>
          <w:b w:val="false"/>
          <w:i w:val="false"/>
          <w:caps w:val="false"/>
          <w:smallCaps w:val="false"/>
          <w:sz w:val="20"/>
        </w:rPr>
        <w:t>. In connection with any CoC Option Transaction pursuant to which a Non-CoC Member has delivered a CoC Option Notice to a CoC Member, the Non-CoC Member shall, within fifteen (15) days following delivery of the CoC Option Notice, deliver to the CoC Member its good faith calculation of the Per Unit FMV (the “</w:t>
      </w:r>
      <w:r>
        <w:rPr>
          <w:rFonts w:ascii="Times New Roman;Times;Serif" w:hAnsi="Times New Roman;Times;Serif"/>
          <w:b w:val="false"/>
          <w:i w:val="false"/>
          <w:caps w:val="false"/>
          <w:smallCaps w:val="false"/>
          <w:sz w:val="20"/>
          <w:u w:val="single"/>
        </w:rPr>
        <w:t>Proposed FMV</w:t>
      </w:r>
      <w:r>
        <w:rPr>
          <w:rFonts w:ascii="Times New Roman;Times;Serif" w:hAnsi="Times New Roman;Times;Serif"/>
          <w:b w:val="false"/>
          <w:i w:val="false"/>
          <w:caps w:val="false"/>
          <w:smallCaps w:val="false"/>
          <w:sz w:val="20"/>
        </w:rPr>
        <w:t>”). If the CoC Member and the Non-CoC Member fail to agree upon the Proposed FMV within fifteen (15) days following delivery by the Non-CoC Member of the Proposed FMV, then the Per Unit FMV shall be determined as follows: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Each of the Non-CoC Member, on the one hand, and the CoC Member, on the other hand, shall, within fifteen (15) days of the conclusion of such 15-day period, engage one Valuation Firm for purposes of determining Per Unit FMV (with all fees and expenses of each such Valuation Firm being borne by the Member that engaged such Valuation Firm), and direct each such Valuation Firm to determine Per Unit FMV in good faith in accordance with the definition thereof and deliver its calculation of Per Unit FMV to the Members not later than thirty (30) days from the date of such engagement.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If the difference between the larger value and the smaller value determined by the Valuation Firms in accordance with Section ‎9.4(a) is (A) less than 10% of the smaller value, the Per Unit FMV will be the arithmetic mean of the larger value and the smaller value, or (B) 10% or more of the smaller value, the two Valuation Firms will appoint, within fifteen (15) days of the determination of the values by the two Valuation Firms, a third Valuation Firm (with all fees and expenses of such third Valuation Firm being borne 50% by the Non-CoC Member and 50% by the CoC Member) to determine the Per Unit FMV, and the Per Unit FMV will be the arithmetic mean of the value determined by such third Valuation Firm (which such determination will be made within thirty (30) days of its appointment) and the value determined by either of the first two Valuation Firms that is closest to the value determined by such third Valuation Firm.</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Purchase Offer</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Prior to an Initial Public Offering, and from and after the expiration of the Lock-Up Period, prior to any Transfer pursuant to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by any Member (such transferring Member, the “</w:t>
      </w:r>
      <w:r>
        <w:rPr>
          <w:rFonts w:ascii="Times New Roman;Times;Serif" w:hAnsi="Times New Roman;Times;Serif"/>
          <w:b w:val="false"/>
          <w:i w:val="false"/>
          <w:caps w:val="false"/>
          <w:smallCaps w:val="false"/>
          <w:sz w:val="20"/>
          <w:u w:val="single"/>
        </w:rPr>
        <w:t>Transferring Member</w:t>
      </w:r>
      <w:r>
        <w:rPr>
          <w:rFonts w:ascii="Times New Roman;Times;Serif" w:hAnsi="Times New Roman;Times;Serif"/>
          <w:b w:val="false"/>
          <w:i w:val="false"/>
          <w:caps w:val="false"/>
          <w:smallCaps w:val="false"/>
          <w:sz w:val="20"/>
        </w:rPr>
        <w:t>”) of any Units in the Company to any Person (other than the Company) in one transaction or a series of related transactions, the Transferring Member shall deliver to the other Member (the “</w:t>
      </w:r>
      <w:r>
        <w:rPr>
          <w:rFonts w:ascii="Times New Roman;Times;Serif" w:hAnsi="Times New Roman;Times;Serif"/>
          <w:b w:val="false"/>
          <w:i w:val="false"/>
          <w:caps w:val="false"/>
          <w:smallCaps w:val="false"/>
          <w:sz w:val="20"/>
          <w:u w:val="single"/>
        </w:rPr>
        <w:t>Other Member</w:t>
      </w:r>
      <w:r>
        <w:rPr>
          <w:rFonts w:ascii="Times New Roman;Times;Serif" w:hAnsi="Times New Roman;Times;Serif"/>
          <w:b w:val="false"/>
          <w:i w:val="false"/>
          <w:caps w:val="false"/>
          <w:smallCaps w:val="false"/>
          <w:sz w:val="20"/>
        </w:rPr>
        <w:t>”) written notice of such proposed Transfer (the “</w:t>
      </w:r>
      <w:r>
        <w:rPr>
          <w:rFonts w:ascii="Times New Roman;Times;Serif" w:hAnsi="Times New Roman;Times;Serif"/>
          <w:b w:val="false"/>
          <w:i w:val="false"/>
          <w:caps w:val="false"/>
          <w:smallCaps w:val="false"/>
          <w:sz w:val="20"/>
          <w:u w:val="single"/>
        </w:rPr>
        <w:t>Sale Notice</w:t>
      </w:r>
      <w:r>
        <w:rPr>
          <w:rFonts w:ascii="Times New Roman;Times;Serif" w:hAnsi="Times New Roman;Times;Serif"/>
          <w:b w:val="false"/>
          <w:i w:val="false"/>
          <w:caps w:val="false"/>
          <w:smallCaps w:val="false"/>
          <w:sz w:val="20"/>
        </w:rPr>
        <w:t>”), which shall state the total number of Units proposed to be Transferred (the “</w:t>
      </w:r>
      <w:r>
        <w:rPr>
          <w:rFonts w:ascii="Times New Roman;Times;Serif" w:hAnsi="Times New Roman;Times;Serif"/>
          <w:b w:val="false"/>
          <w:i w:val="false"/>
          <w:caps w:val="false"/>
          <w:smallCaps w:val="false"/>
          <w:sz w:val="20"/>
          <w:u w:val="single"/>
        </w:rPr>
        <w:t>Transfer Securities</w:t>
      </w:r>
      <w:r>
        <w:rPr>
          <w:rFonts w:ascii="Times New Roman;Times;Serif" w:hAnsi="Times New Roman;Times;Serif"/>
          <w:b w:val="false"/>
          <w:i w:val="false"/>
          <w:caps w:val="false"/>
          <w:smallCaps w:val="false"/>
          <w:sz w:val="20"/>
        </w:rPr>
        <w:t>”), including the number of each class of Units proposed to be Transferred. The Other Member may, within ten (10) Business Days of receipt of the Sale Notice (the “</w:t>
      </w:r>
      <w:r>
        <w:rPr>
          <w:rFonts w:ascii="Times New Roman;Times;Serif" w:hAnsi="Times New Roman;Times;Serif"/>
          <w:b w:val="false"/>
          <w:i w:val="false"/>
          <w:caps w:val="false"/>
          <w:smallCaps w:val="false"/>
          <w:sz w:val="20"/>
          <w:u w:val="single"/>
        </w:rPr>
        <w:t>Purchase Offer Period</w:t>
      </w:r>
      <w:r>
        <w:rPr>
          <w:rFonts w:ascii="Times New Roman;Times;Serif" w:hAnsi="Times New Roman;Times;Serif"/>
          <w:b w:val="false"/>
          <w:i w:val="false"/>
          <w:caps w:val="false"/>
          <w:smallCaps w:val="false"/>
          <w:sz w:val="20"/>
        </w:rPr>
        <w:t>”), deliver to the Transferring Member a Purchase Offer Notice, constituting an offer to purchase all, but not less than all, of the Transfer Securities. For the purposes hereof, a “</w:t>
      </w:r>
      <w:r>
        <w:rPr>
          <w:rFonts w:ascii="Times New Roman;Times;Serif" w:hAnsi="Times New Roman;Times;Serif"/>
          <w:b w:val="false"/>
          <w:i w:val="false"/>
          <w:caps w:val="false"/>
          <w:smallCaps w:val="false"/>
          <w:sz w:val="20"/>
          <w:u w:val="single"/>
        </w:rPr>
        <w:t>Purchase Offer Notice</w:t>
      </w:r>
      <w:r>
        <w:rPr>
          <w:rFonts w:ascii="Times New Roman;Times;Serif" w:hAnsi="Times New Roman;Times;Serif"/>
          <w:b w:val="false"/>
          <w:i w:val="false"/>
          <w:caps w:val="false"/>
          <w:smallCaps w:val="false"/>
          <w:sz w:val="20"/>
        </w:rPr>
        <w:t>” shall mean a written notice which (i) states the purchase price that the Other Member is offering to pay for the Transfer Securities and (ii) includes an acquisition agreement containing the terms upon which the Other Member is willing to purchase the Transfer Securities (which terms shall not include any conditions to closing, other than required governmental approvals, if any). Any Purchase Offer Notice shall constitute an irrevocable binding offer by the Other Member to purchase the Transfer Securities at the price and on the terms set forth therein for a period of forty (40) Business Days following the date thereof (such offer, the “</w:t>
      </w:r>
      <w:r>
        <w:rPr>
          <w:rFonts w:ascii="Times New Roman;Times;Serif" w:hAnsi="Times New Roman;Times;Serif"/>
          <w:b w:val="false"/>
          <w:i w:val="false"/>
          <w:caps w:val="false"/>
          <w:smallCaps w:val="false"/>
          <w:sz w:val="20"/>
          <w:u w:val="single"/>
        </w:rPr>
        <w:t>Purchase Offer</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If the Other Member delivers a Purchase Offer Notice in accordance with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the Transferring Member may, in its sole discretion, accept the Purchase Offer by delivering written notice of such acceptance to the Other Member, together with a countersigned copy of the definitive acquisition agreement, within ten (10) Business Days following the date of the Purchase Offer Notice. If a Purchase Offer is accepted, the transactions contemplated by such Purchase Offer shall be consummated on the date set forth in the notice of acceptance of such Purchase Offer, which date shall be no sooner than five (5), nor later than twenty (20), Business Days (as may be extended to satisfy governmental approvals or any other approvals necessary for the Transferring Member to consummate such Purchase Offer) after acceptance of such Purchase</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Offer. In the event that the Other Member delivers a Purchase Offer Notice in accordance with </w:t>
      </w:r>
      <w:r>
        <w:rPr>
          <w:rFonts w:ascii="Times New Roman;Times;Serif" w:hAnsi="Times New Roman;Times;Serif"/>
          <w:b w:val="false"/>
          <w:i w:val="false"/>
          <w:caps w:val="false"/>
          <w:smallCaps w:val="false"/>
          <w:color w:val="000000"/>
          <w:sz w:val="20"/>
          <w:u w:val="single"/>
        </w:rPr>
        <w:t>Section ‎9.5(a)</w:t>
      </w:r>
      <w:r>
        <w:rPr>
          <w:rFonts w:ascii="Times New Roman;Times;Serif" w:hAnsi="Times New Roman;Times;Serif"/>
          <w:b w:val="false"/>
          <w:i w:val="false"/>
          <w:caps w:val="false"/>
          <w:smallCaps w:val="false"/>
          <w:color w:val="000000"/>
          <w:sz w:val="20"/>
        </w:rPr>
        <w:t xml:space="preserve">, and the Transferring Member elects, in its sole discretion, not to accept the Purchase Offer, then the Transferring Member may Transfer all, but not less than all, of the Transfer Securities at a price per Unit higher than, and on other terms and conditions not materially less favorable to the Transferring Member, taken as a whole, than those set forth in the Purchase Offer Notice, but subject to compliance with </w:t>
      </w:r>
      <w:r>
        <w:rPr>
          <w:rFonts w:ascii="Times New Roman;Times;Serif" w:hAnsi="Times New Roman;Times;Serif"/>
          <w:b w:val="false"/>
          <w:i w:val="false"/>
          <w:caps w:val="false"/>
          <w:smallCaps w:val="false"/>
          <w:color w:val="000000"/>
          <w:sz w:val="20"/>
          <w:u w:val="single"/>
        </w:rPr>
        <w:t>Section ‎9.6</w:t>
      </w:r>
      <w:r>
        <w:rPr>
          <w:rFonts w:ascii="Times New Roman;Times;Serif" w:hAnsi="Times New Roman;Times;Serif"/>
          <w:b w:val="false"/>
          <w:i w:val="false"/>
          <w:caps w:val="false"/>
          <w:smallCaps w:val="false"/>
          <w:color w:val="000000"/>
          <w:sz w:val="20"/>
        </w:rPr>
        <w:t>, within one hundred eighty (180) days (subject to extension to the extent necessary to obtain any regulatory approvals) following the expiration of the Purchase Offer Period.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If the Other Member fails to deliver a Purchase Offer Notice in accordance with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xml:space="preserve"> prior to the expiration of the Purchase Offer Period, (i) the Other Member shall be deemed to have waived any and all of its rights under this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in respect of the Transfer Securities described in the Sale Notice, and (ii) the Transferring Member may Transfer all, but not less than all, of the Transfer Securities, but subject to compliance with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within one hundred eighty (180) days (subject to extension to the extent necessary to obtain any regulatory approvals) following the expiration of the Purchase Offer Period.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Tag-Along Rights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Prior to an Initial Public Offering, and from and after the expiration of the Lock-Up Period, subject to prior compliance with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any Transfer pursuant to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by any Member (the “</w:t>
      </w:r>
      <w:r>
        <w:rPr>
          <w:rFonts w:ascii="Times New Roman;Times;Serif" w:hAnsi="Times New Roman;Times;Serif"/>
          <w:b w:val="false"/>
          <w:i w:val="false"/>
          <w:caps w:val="false"/>
          <w:smallCaps w:val="false"/>
          <w:sz w:val="20"/>
          <w:u w:val="single"/>
        </w:rPr>
        <w:t>Selling Member</w:t>
      </w:r>
      <w:r>
        <w:rPr>
          <w:rFonts w:ascii="Times New Roman;Times;Serif" w:hAnsi="Times New Roman;Times;Serif"/>
          <w:b w:val="false"/>
          <w:i w:val="false"/>
          <w:caps w:val="false"/>
          <w:smallCaps w:val="false"/>
          <w:sz w:val="20"/>
        </w:rPr>
        <w:t>”) of any Units in the Company to any Person in one transaction or a series of related transactions shall be subject to the right (the “</w:t>
      </w:r>
      <w:r>
        <w:rPr>
          <w:rFonts w:ascii="Times New Roman;Times;Serif" w:hAnsi="Times New Roman;Times;Serif"/>
          <w:b w:val="false"/>
          <w:i w:val="false"/>
          <w:caps w:val="false"/>
          <w:smallCaps w:val="false"/>
          <w:sz w:val="20"/>
          <w:u w:val="single"/>
        </w:rPr>
        <w:t>Tag-Along Right</w:t>
      </w:r>
      <w:r>
        <w:rPr>
          <w:rFonts w:ascii="Times New Roman;Times;Serif" w:hAnsi="Times New Roman;Times;Serif"/>
          <w:b w:val="false"/>
          <w:i w:val="false"/>
          <w:caps w:val="false"/>
          <w:smallCaps w:val="false"/>
          <w:sz w:val="20"/>
        </w:rPr>
        <w:t>”) of the other Member (the “</w:t>
      </w:r>
      <w:r>
        <w:rPr>
          <w:rFonts w:ascii="Times New Roman;Times;Serif" w:hAnsi="Times New Roman;Times;Serif"/>
          <w:b w:val="false"/>
          <w:i w:val="false"/>
          <w:caps w:val="false"/>
          <w:smallCaps w:val="false"/>
          <w:sz w:val="20"/>
          <w:u w:val="single"/>
        </w:rPr>
        <w:t>Tag-Along Member</w:t>
      </w:r>
      <w:r>
        <w:rPr>
          <w:rFonts w:ascii="Times New Roman;Times;Serif" w:hAnsi="Times New Roman;Times;Serif"/>
          <w:b w:val="false"/>
          <w:i w:val="false"/>
          <w:caps w:val="false"/>
          <w:smallCaps w:val="false"/>
          <w:sz w:val="20"/>
        </w:rPr>
        <w:t xml:space="preserve">”) to include in such Transfer up to a pro rata portion of such Tag-Along Member’s Units, determined as set forth in </w:t>
      </w:r>
      <w:r>
        <w:rPr>
          <w:rFonts w:ascii="Times New Roman;Times;Serif" w:hAnsi="Times New Roman;Times;Serif"/>
          <w:b w:val="false"/>
          <w:i w:val="false"/>
          <w:caps w:val="false"/>
          <w:smallCaps w:val="false"/>
          <w:sz w:val="20"/>
          <w:u w:val="single"/>
        </w:rPr>
        <w:t>Section ‎9.6(d)</w:t>
      </w:r>
      <w:r>
        <w:rPr>
          <w:rFonts w:ascii="Times New Roman;Times;Serif" w:hAnsi="Times New Roman;Times;Serif"/>
          <w:b w:val="false"/>
          <w:i w:val="false"/>
          <w:caps w:val="false"/>
          <w:smallCaps w:val="false"/>
          <w:sz w:val="20"/>
        </w:rPr>
        <w:t xml:space="preserve">, on the same terms and conditions as such Selling Member. For the avoidance of doubt, the Transferring Member’s failure to accept a Purchase Offer shall not preclude the availability of the Tag-Along Right with respect to the Transferring Member’s Units, as set forth in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If any Selling Member proposes a Transfer of Units subject to a Tag-Along Right (a “</w:t>
      </w:r>
      <w:r>
        <w:rPr>
          <w:rFonts w:ascii="Times New Roman;Times;Serif" w:hAnsi="Times New Roman;Times;Serif"/>
          <w:b w:val="false"/>
          <w:i w:val="false"/>
          <w:caps w:val="false"/>
          <w:smallCaps w:val="false"/>
          <w:sz w:val="20"/>
          <w:u w:val="single"/>
        </w:rPr>
        <w:t>Proposed Tag-Along Transfer</w:t>
      </w:r>
      <w:r>
        <w:rPr>
          <w:rFonts w:ascii="Times New Roman;Times;Serif" w:hAnsi="Times New Roman;Times;Serif"/>
          <w:b w:val="false"/>
          <w:i w:val="false"/>
          <w:caps w:val="false"/>
          <w:smallCaps w:val="false"/>
          <w:sz w:val="20"/>
        </w:rPr>
        <w:t xml:space="preserve">”), such Selling Member shall first comply with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and (i) obtain a bona fide written offer (the “</w:t>
      </w:r>
      <w:r>
        <w:rPr>
          <w:rFonts w:ascii="Times New Roman;Times;Serif" w:hAnsi="Times New Roman;Times;Serif"/>
          <w:b w:val="false"/>
          <w:i w:val="false"/>
          <w:caps w:val="false"/>
          <w:smallCaps w:val="false"/>
          <w:sz w:val="20"/>
          <w:u w:val="single"/>
        </w:rPr>
        <w:t>Tag-Along Offer</w:t>
      </w:r>
      <w:r>
        <w:rPr>
          <w:rFonts w:ascii="Times New Roman;Times;Serif" w:hAnsi="Times New Roman;Times;Serif"/>
          <w:b w:val="false"/>
          <w:i w:val="false"/>
          <w:caps w:val="false"/>
          <w:smallCaps w:val="false"/>
          <w:sz w:val="20"/>
        </w:rPr>
        <w:t>”) from the proposed purchaser (the “</w:t>
      </w:r>
      <w:r>
        <w:rPr>
          <w:rFonts w:ascii="Times New Roman;Times;Serif" w:hAnsi="Times New Roman;Times;Serif"/>
          <w:b w:val="false"/>
          <w:i w:val="false"/>
          <w:caps w:val="false"/>
          <w:smallCaps w:val="false"/>
          <w:sz w:val="20"/>
          <w:u w:val="single"/>
        </w:rPr>
        <w:t>Tag Buyer</w:t>
      </w:r>
      <w:r>
        <w:rPr>
          <w:rFonts w:ascii="Times New Roman;Times;Serif" w:hAnsi="Times New Roman;Times;Serif"/>
          <w:b w:val="false"/>
          <w:i w:val="false"/>
          <w:caps w:val="false"/>
          <w:smallCaps w:val="false"/>
          <w:sz w:val="20"/>
        </w:rPr>
        <w:t>”) for the purchase of such Units, and (ii) provide written notice of such Proposed Tag-Along Transfer (the “</w:t>
      </w:r>
      <w:r>
        <w:rPr>
          <w:rFonts w:ascii="Times New Roman;Times;Serif" w:hAnsi="Times New Roman;Times;Serif"/>
          <w:b w:val="false"/>
          <w:i w:val="false"/>
          <w:caps w:val="false"/>
          <w:smallCaps w:val="false"/>
          <w:sz w:val="20"/>
          <w:u w:val="single"/>
        </w:rPr>
        <w:t>Tag-Along Notice</w:t>
      </w:r>
      <w:r>
        <w:rPr>
          <w:rFonts w:ascii="Times New Roman;Times;Serif" w:hAnsi="Times New Roman;Times;Serif"/>
          <w:b w:val="false"/>
          <w:i w:val="false"/>
          <w:caps w:val="false"/>
          <w:smallCaps w:val="false"/>
          <w:sz w:val="20"/>
        </w:rPr>
        <w:t>”) to the Tag-Along Member, which notice shall state (A) the total number of Units proposed to be Transferred in the Proposed Tag-Along Transfer, including the number of each class of Units proposed to be Transferred, (B) the purchase price per Unit to be paid by the Tag Buyer, including form of consideration, (C) the identity of the Tag Buyer, (D) the intended date of such Proposed Tag-Along Transfer and (E) all other material terms and conditions of the Proposed Tag-Along Transfer and the number of Units that the Tag-Along Member may sell to the Tag Buyer assuming for purposes of such calculation that the Tag-Along Member exercises its Tag-Along Right in full.</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Tag-Along Member may exercise its Tag-Along Right by providing written notice of such exercise, specifying the number of Units to be Transferred by such Member (such notice, the “</w:t>
      </w:r>
      <w:r>
        <w:rPr>
          <w:rFonts w:ascii="Times New Roman;Times;Serif" w:hAnsi="Times New Roman;Times;Serif"/>
          <w:b w:val="false"/>
          <w:i w:val="false"/>
          <w:caps w:val="false"/>
          <w:smallCaps w:val="false"/>
          <w:sz w:val="20"/>
          <w:u w:val="single"/>
        </w:rPr>
        <w:t>Tag Participation Notice</w:t>
      </w:r>
      <w:r>
        <w:rPr>
          <w:rFonts w:ascii="Times New Roman;Times;Serif" w:hAnsi="Times New Roman;Times;Serif"/>
          <w:b w:val="false"/>
          <w:i w:val="false"/>
          <w:caps w:val="false"/>
          <w:smallCaps w:val="false"/>
          <w:sz w:val="20"/>
        </w:rPr>
        <w:t>”), to the Selling Member within ten (10) Business Days after receipt of the Tag-Along Notice (the “</w:t>
      </w:r>
      <w:r>
        <w:rPr>
          <w:rFonts w:ascii="Times New Roman;Times;Serif" w:hAnsi="Times New Roman;Times;Serif"/>
          <w:b w:val="false"/>
          <w:i w:val="false"/>
          <w:caps w:val="false"/>
          <w:smallCaps w:val="false"/>
          <w:sz w:val="20"/>
          <w:u w:val="single"/>
        </w:rPr>
        <w:t>Tag-Along Notice Period</w:t>
      </w:r>
      <w:r>
        <w:rPr>
          <w:rFonts w:ascii="Times New Roman;Times;Serif" w:hAnsi="Times New Roman;Times;Serif"/>
          <w:b w:val="false"/>
          <w:i w:val="false"/>
          <w:caps w:val="false"/>
          <w:smallCaps w:val="false"/>
          <w:sz w:val="20"/>
        </w:rPr>
        <w:t>” and any such Tag-Along Member who elects to exercise the Tag-Along Right, a “</w:t>
      </w:r>
      <w:r>
        <w:rPr>
          <w:rFonts w:ascii="Times New Roman;Times;Serif" w:hAnsi="Times New Roman;Times;Serif"/>
          <w:b w:val="false"/>
          <w:i w:val="false"/>
          <w:caps w:val="false"/>
          <w:smallCaps w:val="false"/>
          <w:sz w:val="20"/>
          <w:u w:val="single"/>
        </w:rPr>
        <w:t>Tag-Along Participating Member</w:t>
      </w:r>
      <w:r>
        <w:rPr>
          <w:rFonts w:ascii="Times New Roman;Times;Serif" w:hAnsi="Times New Roman;Times;Serif"/>
          <w:b w:val="false"/>
          <w:i w:val="false"/>
          <w:caps w:val="false"/>
          <w:smallCaps w:val="false"/>
          <w:sz w:val="20"/>
        </w:rPr>
        <w:t xml:space="preserve">”). If the Tag-Along Member does not provide the Tag Participation Notice within the Tag-Along Notice Period, then such Tag-Along Member shall be deemed to have rejected the offer made pursuant to the Tag-Along Notice and declined to exercise its Tag-Along Rights under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Each Tag-Along Participating Member may include in the Proposed Tag-Along Transfer up to a number of Units equal to the product obtained by multiplying (i) the aggregate number of Units subject to the Proposed Tag-Along Transfer by (ii) a fraction, (x) the numerator of which is the number of Units owned by such Tag-Along Participating Member immediately before consummation of the Proposed Tag-Along Transfer and (y) the denominator of which is (A) the total number of Units owned, in the aggregate, by all Tag-Along Participating Members immediately prior to the consummation of the Proposed Tag-Along Transfer, plus (B) the total number of Units owned, in the aggregate, by the Selling Member. To the extent one or more Tag-Along Participating Members exercise such right of participation in accordance with the terms and conditions set forth herein, the number of Units that the Selling Member may sell in the Proposed Tag-Along Transfer shall be correspondingly reduced. Within five (5) Business Days after the end of the Tag-Along Notice Period, the Selling Member shall notify each Tag-Along Participating Member of the number of Units held by such Tag-Along Participating Member that will be included in the Proposed Tag-Along Transfer and also how many Units held by the Selling Member will be included in the Proposed Tag-Along Transfer.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 xml:space="preserve">The Tag-Along Participating Members agree that the terms and conditions of any Proposed Tag-Along Transfer in accordance with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will be memorialized in, and governed by, a written purchase and sale agreement among the Selling Member, the Tag-Along Participating Members and the Tag Buyer (the “</w:t>
      </w:r>
      <w:r>
        <w:rPr>
          <w:rFonts w:ascii="Times New Roman;Times;Serif" w:hAnsi="Times New Roman;Times;Serif"/>
          <w:b w:val="false"/>
          <w:i w:val="false"/>
          <w:caps w:val="false"/>
          <w:smallCaps w:val="false"/>
          <w:sz w:val="20"/>
          <w:u w:val="single"/>
        </w:rPr>
        <w:t>Purchase and Sale Agreement</w:t>
      </w:r>
      <w:r>
        <w:rPr>
          <w:rFonts w:ascii="Times New Roman;Times;Serif" w:hAnsi="Times New Roman;Times;Serif"/>
          <w:b w:val="false"/>
          <w:i w:val="false"/>
          <w:caps w:val="false"/>
          <w:smallCaps w:val="false"/>
          <w:sz w:val="20"/>
        </w:rPr>
        <w:t xml:space="preserve">”) with customary terms and provisions for such a transaction, and the Tag-Along Participating Members further covenant and agree to enter into such Purchase and Sale Agreement as a condition precedent to any Transfer in accordance with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Selling Member and the Tag-Along Participating Members shall be treated identically on a per Unit basis and any indemnification obligations in a sale of Units by a Tag-Along Participating Member shall be several and not joint.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 xml:space="preserve">The Tag Buyer shall have thirty (30) days, commencing on the day following the expiration of the Tag-Along Notice Period, in which to purchase from the Selling Member and the Tag-Along Participating Member(s) the number of Units determined pursuant to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there are any regulatory conditions to consummate such purchase that are not satisfied during such thirty (30)-day period, then the Selling Member and the Tag Buyer may agree to extend such date for an additional sixty (60) days. The terms and conditions of such sale, including price and form of consideration, shall be as set forth in the Tag-Along Notice, and the timing of such sale of all Units shall be contemporaneous. If, at the end of such thirty (30)-day period (as such period may be extended pursuant to the prior sentence), the Tag Buyer has not completed the purchase of all the Units proposed to be sold, then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shall continue to be in effect with respect to all such Units as if no Tag-Along Notice had been given with respect thereto.</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X</w:t>
      </w:r>
      <w:r>
        <w:rPr>
          <w:rFonts w:ascii="Times New Roman;Times;Serif" w:hAnsi="Times New Roman;Times;Serif"/>
          <w:b/>
          <w:i w:val="false"/>
          <w:caps/>
          <w:sz w:val="20"/>
        </w:rPr>
        <w:br/>
        <w:br/>
        <w:t>DISSOLUTION, LIQUIDATION AND TERMINATION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No Dissolution or Partition</w:t>
      </w:r>
      <w:r>
        <w:rPr>
          <w:rFonts w:ascii="Times New Roman;Times;Serif" w:hAnsi="Times New Roman;Times;Serif"/>
          <w:b w:val="false"/>
          <w:i w:val="false"/>
          <w:caps w:val="false"/>
          <w:smallCaps w:val="false"/>
          <w:sz w:val="20"/>
        </w:rPr>
        <w:t>. To the fullest extent permitted by applicable Law, each Member covenants that, except upon a Dissolution Event, it will not apply for a decree of dissolution, or seek the appointment by a court of a liquidator for the Company. Each Member waives, until termination of the Company, any and all rights that it may have to maintain an action for partition of the Company’s property.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Dissolution Events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Company shall be dissolved and its affairs shall be wound up upon the occurrence of any of the following events (each, a “</w:t>
      </w:r>
      <w:r>
        <w:rPr>
          <w:rFonts w:ascii="Times New Roman;Times;Serif" w:hAnsi="Times New Roman;Times;Serif"/>
          <w:b w:val="false"/>
          <w:i w:val="false"/>
          <w:caps w:val="false"/>
          <w:smallCaps w:val="false"/>
          <w:sz w:val="20"/>
          <w:u w:val="single"/>
        </w:rPr>
        <w:t>Dissolution Event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at any time there are no Members;</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with the approval of the Board following the Transfer of all or substantially all of the assets of the Company;</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rPr>
        <w:t>at any time with unanimous approval of all Members; or</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(iv)         </w:t>
      </w:r>
      <w:r>
        <w:rPr>
          <w:rFonts w:ascii="Times New Roman;Times;Serif" w:hAnsi="Times New Roman;Times;Serif"/>
          <w:b w:val="false"/>
          <w:i w:val="false"/>
          <w:caps w:val="false"/>
          <w:smallCaps w:val="false"/>
          <w:sz w:val="20"/>
        </w:rPr>
        <w:t>the entry of a decree of judicial dissolution of the Company under Section 18-802 of the Act.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The death, retirement, resignation, Bankruptcy or dissolution of a Member shall not cause a termination, winding up or dissolution of the Company, and, subject to the foregoing provisions of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the Company shall continue in existence subject to the terms of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Notice of Dissolution</w:t>
      </w:r>
      <w:r>
        <w:rPr>
          <w:rFonts w:ascii="Times New Roman;Times;Serif" w:hAnsi="Times New Roman;Times;Serif"/>
          <w:b w:val="false"/>
          <w:i w:val="false"/>
          <w:caps w:val="false"/>
          <w:smallCaps w:val="false"/>
          <w:sz w:val="20"/>
        </w:rPr>
        <w:t>. Upon the dissolution of the Company, the Board or such other Person or Persons approved by the Members holding a majority of the remaining Units to carry out the winding up of the Company (the “</w:t>
      </w:r>
      <w:r>
        <w:rPr>
          <w:rFonts w:ascii="Times New Roman;Times;Serif" w:hAnsi="Times New Roman;Times;Serif"/>
          <w:b w:val="false"/>
          <w:i w:val="false"/>
          <w:caps w:val="false"/>
          <w:smallCaps w:val="false"/>
          <w:sz w:val="20"/>
          <w:u w:val="single"/>
        </w:rPr>
        <w:t>Liquidating Trustee</w:t>
      </w:r>
      <w:r>
        <w:rPr>
          <w:rFonts w:ascii="Times New Roman;Times;Serif" w:hAnsi="Times New Roman;Times;Serif"/>
          <w:b w:val="false"/>
          <w:i w:val="false"/>
          <w:caps w:val="false"/>
          <w:smallCaps w:val="false"/>
          <w:sz w:val="20"/>
        </w:rPr>
        <w:t>”) shall promptly notify the Members of such dissolution.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Upon dissolution of the Company, the Liquidating Trustee shall commence to wind up the Company’s affairs in an orderly manner. Each Member shall be furnished with an audited statement that shall set forth the assets and liabilities of the Company as of the date of dissolution. Each Member shall pay to the Company all amounts then owing by it to the Company. The proceeds of liquidation shall be distributed, as realized, in the following order and priority:</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First, to creditors of the Company (including holders of Units that are creditors to the extent otherwise permitted by Law), in satisfaction of the liabilities of the Company (whether by payment or the making of reasonable provision for payment thereof), other than liabilities for distributions to holders of Units; and</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 xml:space="preserve">Second, to the Members as if such amount were distributed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To the extent that the Liquidating Trustee determines that any or all of the assets of the Company shall be sold, such assets shall be sold, as promptly as practicable, in a commercially reasonable manner. For purposes of making the liquidating distributions required by this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the Liquidating Trustee may determine whether to distribute all or any portion of the assets of the Company in kind or to sell all or any portion of the assets of the Company and distribute the proceeds therefrom.</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liquidators shall not be personally liable for the return of Capital Contributions or any portion thereof to the Members (it being understood that any such return shall be made solely from Company assets).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Company shall terminate when all of the assets of the Company, after payment of or due provision for all debts, liabilities and obligations of the Company, shall have been distributed to the holders of Units in the manner provided for in this Article ‎X, and the Certificate shall have been cancelled in the manner required by the Act.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Claims of the Members</w:t>
      </w:r>
      <w:r>
        <w:rPr>
          <w:rFonts w:ascii="Times New Roman;Times;Serif" w:hAnsi="Times New Roman;Times;Serif"/>
          <w:b w:val="false"/>
          <w:i w:val="false"/>
          <w:caps w:val="false"/>
          <w:smallCaps w:val="false"/>
          <w:sz w:val="20"/>
        </w:rPr>
        <w:t>. The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 No Member with a negative balance in such Member’s Capital Account shall have any obligation to the Company or to the other Members or to any creditor or other Person to restore such negative balance upon dissolution or termination of the Company or otherwise.</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XI</w:t>
      </w:r>
      <w:r>
        <w:rPr>
          <w:rFonts w:ascii="Times New Roman;Times;Serif" w:hAnsi="Times New Roman;Times;Serif"/>
          <w:b/>
          <w:i w:val="false"/>
          <w:caps/>
          <w:sz w:val="20"/>
        </w:rPr>
        <w:br/>
        <w:br/>
        <w:t>LIABILITY, EXCULPATION AND INDEMNIFICATION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Except as otherwise expressly required by this Agreement, the Certificate, the Act or any other applicable provision of Law, all debts, obligations and liabilities of the Company, whether arising in contract, tort or otherwise, shall be solely the debts, obligations and liabilities of the Company, and no Covered Person shall be obligated personally for any such debt, obligation or liability of the Company or of any other Member solely by reason of being a Covered Person.</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Except as otherwise expressly required by this Agreement, the Certificate, the Act or any other applicable provision of Law, a Member shall have no liability in excess of (i) the amount of its Capital Contributions, (ii) its share of any assets and undistributed profits of the Company, (iii) its obligation to make other payments expressly provided for in this Agreement, if applicable to such Member and (iv) the amount of any distributions not properly distributed to it in accordance with this Agreement and the Act.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Exculpation</w:t>
      </w:r>
      <w:r>
        <w:rPr>
          <w:rFonts w:ascii="Times New Roman;Times;Serif" w:hAnsi="Times New Roman;Times;Serif"/>
          <w:b w:val="false"/>
          <w:i w:val="false"/>
          <w:caps w:val="false"/>
          <w:smallCaps w:val="false"/>
          <w:sz w:val="20"/>
        </w:rPr>
        <w:t>. To the fullest extent permitted by applicable Law, no Covered Person shall be liable to the Company or any other Person that is a party to this Agreement or is otherwise bound hereby for any act or omission performed or omitted by such Covered Person in good faith on behalf of the Company and in a manner reasonably believed to be within the scope of the authority conferred on such Covered Person by this Agreement, unless a court of competent jurisdiction in a final, non-appealable judgment on the merits has determined that the Covered Person engaged in fraud, gross negligence, willful misconduct or criminal activity with respect to the matter in question.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To the fullest extent permitted by applicable Law, the Company shall indemnify each Covered Person for all losses, damages, liabilities, deficiencies, claims, interest, awards, judgment, penalties, costs and expenses (including, subject to the terms and conditions hereof, reasonable attorneys’ fees, costs and other out-of-pocket expenses incurred in investigating, preparing or defending the foregoing)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incurred by such Covered Person by reason of (i) any claim or demand made by any Person arising out of or resulting from any act or omission on the part of the Company, including the breach or failure to perform any agreement or covenant made by the Company and (ii) any act or omission performed or omitted by such Covered Person in good faith on behalf of the Company and in a manner reasonably believed to be within the scope of authority conferred on such Covered Person by or in accordance with this Agreement, except that no Covered Person shall be entitled to be indemnified (x) in respect of any Losses which a court of competent jurisdiction in a final, non-appealable judgment on the merits has determined is primarily attributable to the fraud, gross negligence, willful misconduct or criminal activity of such Person with respect to the matter in question, (y) in connection with any action, suit or proceeding commenced by such Covered Person (including by way of a counterclaim) unless the commencement of the action, suit or proceeding (or part thereof) by such Covered Person was approved in writing by the WHP Member and the G-III Member or commenced against such Covered Person by the Company or any Subsidiary thereof, or (z) if (A) such Covered Person in its capacity as an equityholder, officer or employee brings suit against the Company or its Affiliates (whether as a direct suit or a counterclaim) or (B) such Covered Person in its capacity as an equityholder, officer or employee is sued by the Company or its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indemnity under this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shall be provided out of and to the extent of Company assets only, and no other Covered Person shall have any personal liability on account thereof. The termination of any action, suit or proceeding by judgment, order, settlement, conviction, or upon a plea of nolo contendere or its equivalent, shall not, of itself, create a presumption that the Covered Person did or did not act in any particular manner, or, with respect to any criminal action or proceeding, had reasonable cause to believe that his or her conduct was unlawful. The indemnification provided for herein shall continue as to an individual who has ceased to be a Covered Person and shall inure to the benefit of the heirs, legatees, executors and administrators of a Covered Person.</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In the event that any claim, demand, action, suit or proceeding shall be instituted or asserted or any Losses shall arise in respect of which indemnity may be sought by a Covered Person pursuant to </w:t>
      </w:r>
      <w:r>
        <w:rPr>
          <w:rFonts w:ascii="Times New Roman;Times;Serif" w:hAnsi="Times New Roman;Times;Serif"/>
          <w:b w:val="false"/>
          <w:i w:val="false"/>
          <w:caps w:val="false"/>
          <w:smallCaps w:val="false"/>
          <w:sz w:val="20"/>
          <w:u w:val="single"/>
        </w:rPr>
        <w:t>Section ‎11.3(a)</w:t>
      </w:r>
      <w:r>
        <w:rPr>
          <w:rFonts w:ascii="Times New Roman;Times;Serif" w:hAnsi="Times New Roman;Times;Serif"/>
          <w:b w:val="false"/>
          <w:i w:val="false"/>
          <w:caps w:val="false"/>
          <w:smallCaps w:val="false"/>
          <w:sz w:val="20"/>
        </w:rPr>
        <w:t>, such Covered Person shall promptly notify the Company thereof in writing. The failure to provide notice, however, shall not release the Company from any of its obligations hereunder except to the extent that the Company is materially prejudiced by such failure.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Company shall have the right, exercisable subject to the approval of the disinterested Managers, to participate in and control the defense of any such claim, demand, action, suit or proceeding and, in connection therewith, to retain counsel reasonably satisfactory to such Covered Person, at the Company’s expense, to represent each Covered Person and any others the Company may designate in such claim, demand, action, suit or proceeding. The Company shall keep such Covered Person advised of the status of such claim, demand, action, suit or proceeding and the defense thereof and shall consider in good faith recommendations made by such Covered Person with respect thereto.</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 xml:space="preserve">In any such claim, demand, action, suit or proceeding, any Covered Person shall have the right to retain its own counsel at its own expense; provided, however, that the fees and expenses of such Covered Person’s counsel shall be at the expense of the Company if (A) the Board (including the approval of at least one G-III Manager and at least one WHP Manager) and such Covered Person shall have mutually agreed to the retention of such counsel, (B) the Company shall have failed, within a reasonable time after having been notified of the existence of an indemnified claim, to assume the defense of such indemnified claim or (C) the named parties to any such claim, demand, action, suit or proceeding (including any impleaded parties) include both the Company and such Covered Person and representation of both parties by the same counsel would be inappropriate in the judgment of such Covered Person (as evidenced by an opinion of counsel) due to actual or potential differing interests between them and the Company shall have failed, within a reasonable time after having been notified of such Covered Person’s objection under this clause (C) to such joint representation, to retain counsel for such Covered Person reasonably satisfactory to such Covered Person. It is understood that the Company shall not, in respect of the legal expenses of any Covered Person, in connection with any claim, demand, action, suit or proceeding or related claims, demands, actions, suits or proceedings in the same jurisdiction, be liable for the fees and expenses of more than one separate firm (in addition to any local counsel reasonably satisfactory to the Company) for all such Covered Persons and that all such fees and expenses shall be reimbursed as they are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there exists or is reasonably likely to exist a conflict of interest that would make it inappropriate in the judgment of a Covered Person (as evidenced by an opinion of counsel) for the same counsel to represent such Covered Person and any other Covered Person, then such Covered Person shall be entitled to retain its own counsel, in each jurisdiction for which the Covered Person reasonably determines counsel is required, at the expense of the Company.</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The Company shall not be liable for any settlement of any claim, demand, action, suit or proceeding effected without its written consent (which consent shall not be unreasonably withheld or delayed).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As necessary or useful to the defending party in effecting the foregoing procedures, the parties shall cooperate in the execution and delivery of agreements, instruments and other documents and in the provision of access to witnesses, documents and property (including access to perform interviews, physical investigations or other activities).</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(g)         </w:t>
      </w:r>
      <w:r>
        <w:rPr>
          <w:rFonts w:ascii="Times New Roman;Times;Serif" w:hAnsi="Times New Roman;Times;Serif"/>
          <w:b w:val="false"/>
          <w:i w:val="false"/>
          <w:caps w:val="false"/>
          <w:smallCaps w:val="false"/>
          <w:sz w:val="20"/>
        </w:rPr>
        <w:t>No amendment or repeal of any of the provisions of this Agreement shall limit or eliminate the benefits provided to Covered Persons under this Article ‎XI.</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(h)         </w:t>
      </w:r>
      <w:r>
        <w:rPr>
          <w:rFonts w:ascii="Times New Roman;Times;Serif" w:hAnsi="Times New Roman;Times;Serif"/>
          <w:b w:val="false"/>
          <w:i w:val="false"/>
          <w:caps w:val="false"/>
          <w:smallCaps w:val="false"/>
          <w:sz w:val="20"/>
        </w:rPr>
        <w:t>The Members hereby acknowledge that certain Covered Persons have or may have certain rights to indemnification, advancement of expenses or insurance provided by the WHP Member or G-III Member or certain of their respective Affiliates (collectively, the “</w:t>
      </w:r>
      <w:r>
        <w:rPr>
          <w:rFonts w:ascii="Times New Roman;Times;Serif" w:hAnsi="Times New Roman;Times;Serif"/>
          <w:b w:val="false"/>
          <w:i w:val="false"/>
          <w:caps w:val="false"/>
          <w:smallCaps w:val="false"/>
          <w:sz w:val="20"/>
          <w:u w:val="single"/>
        </w:rPr>
        <w:t>Holder Indemnitors</w:t>
      </w:r>
      <w:r>
        <w:rPr>
          <w:rFonts w:ascii="Times New Roman;Times;Serif" w:hAnsi="Times New Roman;Times;Serif"/>
          <w:b w:val="false"/>
          <w:i w:val="false"/>
          <w:caps w:val="false"/>
          <w:smallCaps w:val="false"/>
          <w:sz w:val="20"/>
        </w:rPr>
        <w:t xml:space="preserve">”). The Members hereby agree (i) that the Company is the indemnitor of first resort (i.e., its obligations to the Covered Persons are primary and any obligation of the Holder Indemnitors to advance expenses or to provide indemnification for the same expenses or liabilities incurred by any Covered Person are secondary), (ii) that the Company shall be required to advance the full amount of expenses incurred by such Covered Persons and shall be liable for the full amount of all expenses, judgments, penalties, fines and amounts paid in settlement to the extent legally permitted and as required by the terms of this Agreement and the Delaware Act (or any other agreement between the Company and such Covered Persons), without regard to any rights such Covered Persons may have against the Holder Indemnitors, and (iii) that the Company irrevocably waives, relinquishes and releases the Holder Indemnitors from any and all claims against the Holder Indemnitors for contribution, subrogation or any other recovery of any kind in respect thereof. The Members further agree that no advancement or payment by the Holder Indemnitors on behalf of any Covered Person with respect to any claim for which such Covered Person has sought indemnification from the Company shall affect the foregoing and the Holder Indemnitors shall have a right of contribution or be subrogated to the extent of such advancement or payment to all of the rights of recovery of such Covered Persons against the Company. The Members agree that the Holder Indemnitors are express third-party beneficiaries of the terms of this </w:t>
      </w:r>
      <w:r>
        <w:rPr>
          <w:rFonts w:ascii="Times New Roman;Times;Serif" w:hAnsi="Times New Roman;Times;Serif"/>
          <w:b w:val="false"/>
          <w:i w:val="false"/>
          <w:caps w:val="false"/>
          <w:smallCaps w:val="false"/>
          <w:sz w:val="20"/>
          <w:u w:val="single"/>
        </w:rPr>
        <w:t>Section ‎11.3(h)</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 To the fullest extent permitted by applicable Law, the Company shall advance, from time to time, expenses (including attorneys’ fees) actually and reasonably incurred by a Covered Person in defending any Third Party claim, demand, action, suit or proceeding prior to the final disposition thereof, upon receipt by the Company of an undertaking by or on behalf of the Covered Person to repay such amount if a court of competent jurisdiction in a final, non-appealable judgment on the merits has determined that the Covered Person is not entitled to be indemnified therefor as authorized in this ‎Article XI.</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11.5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A Covered Person that is not an officer or employee of the Company or any Subsidiary thereof shall be fully protected in relying in good faith upon the records of the Company and upon such information, opinions, reports or statements presented to the Company by a Person as to matters such Covered Person reasonably believes are within such other Person’s professional or expert competence and who has been selected with reasonable care by or on behalf of the Company, including information, opinions, reports or statements as to the value and amount of the Company’s assets or liabilities, or any other facts pertinent to the existence and amount of assets from which distributions to a Member might properly be paid.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shall maintain insurance, at its expense, and shall cause each of its Subsidiaries to maintain insurance at such Subsidiary’s expense, on its own behalf and on behalf of any Covered Person against any liability asserted against him or her and incurred by him or her in any such capacity, whether or not the Company would have the power to indemnify such Person against such liability under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Each of the WHP Member and the G-III Member shall have the right to review such insurance, and upon request, be provided a copy of such insurance. Notwithstanding the foregoing, for so long as the WHP Managers collectively hold a majority of the voting power of the Board, the Company shall be deemed to have satisfied its obligations under this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if WHP Topco or any of its Subsidiaries maintains a directors’ and officers’ liability insurance that provides coverage to the Covered Persons and such insurance expressly includes the Company and its Subsidiaries as covered Persons under such insurance;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WHP Topco and its Subsidiaries shall continue to maintain such directors’ and officers’ liability insurance until such time that the Company binds its own directors’ and officers’ liability insurance policy.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11.7        </w:t>
      </w:r>
      <w:r>
        <w:rPr>
          <w:rFonts w:ascii="Times New Roman;Times;Serif" w:hAnsi="Times New Roman;Times;Serif"/>
          <w:b w:val="false"/>
          <w:i w:val="false"/>
          <w:caps w:val="false"/>
          <w:smallCaps w:val="false"/>
          <w:sz w:val="20"/>
          <w:u w:val="single"/>
        </w:rPr>
        <w:t>Non-Exclusivity of Rights</w:t>
      </w:r>
      <w:r>
        <w:rPr>
          <w:rFonts w:ascii="Times New Roman;Times;Serif" w:hAnsi="Times New Roman;Times;Serif"/>
          <w:b w:val="false"/>
          <w:i w:val="false"/>
          <w:caps w:val="false"/>
          <w:smallCaps w:val="false"/>
          <w:sz w:val="20"/>
        </w:rPr>
        <w:t>. The rights conferred on any Covered Person by this Article ‎XI shall not be exclusive of any other rights which such Covered Person may have or hereafter acquire under any statute, provision of the Certificate, this Agreement, other agreement, vote of Members or disinterested Managers or otherwise.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11.8        </w:t>
      </w:r>
      <w:r>
        <w:rPr>
          <w:rFonts w:ascii="Times New Roman;Times;Serif" w:hAnsi="Times New Roman;Times;Serif"/>
          <w:b w:val="false"/>
          <w:i w:val="false"/>
          <w:caps w:val="false"/>
          <w:smallCaps w:val="false"/>
          <w:sz w:val="20"/>
          <w:u w:val="single"/>
        </w:rPr>
        <w:t>Representation, Warranties and Covenants of Members</w:t>
      </w:r>
      <w:r>
        <w:rPr>
          <w:rFonts w:ascii="Times New Roman;Times;Serif" w:hAnsi="Times New Roman;Times;Serif"/>
          <w:b w:val="false"/>
          <w:i w:val="false"/>
          <w:caps w:val="false"/>
          <w:smallCaps w:val="false"/>
          <w:sz w:val="20"/>
        </w:rPr>
        <w:t>. Each Member expressly acknowledges and agrees that the indemnification provided under this ‎Article XI is intended to apply to Covered Persons only in respect of their specific capacities as Covered Persons of the Company. Notwithstanding anything in this Agreement to the contrary, each Member shall be solely responsible to the Company and the other Members for breach of any representation or warranty made or any covenant or obligation undertaken by such Member in this Agreement. In the event of any such breach, the Company or the non-breaching Members, as the case may be, shall be entitled to pursue all remedies against the breaching Member available to such party at law or in equity arising as a consequence of such breach.</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XII</w:t>
      </w:r>
      <w:r>
        <w:rPr>
          <w:rFonts w:ascii="Times New Roman;Times;Serif" w:hAnsi="Times New Roman;Times;Serif"/>
          <w:b/>
          <w:i w:val="false"/>
          <w:caps/>
          <w:sz w:val="20"/>
        </w:rPr>
        <w:br/>
        <w:br/>
        <w:t>OTHER AGREEMENTS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        </w:t>
      </w:r>
      <w:r>
        <w:rPr>
          <w:rFonts w:ascii="Times New Roman;Times;Serif" w:hAnsi="Times New Roman;Times;Serif"/>
          <w:b w:val="false"/>
          <w:i w:val="false"/>
          <w:caps w:val="false"/>
          <w:smallCaps w:val="false"/>
          <w:sz w:val="20"/>
          <w:u w:val="single"/>
        </w:rPr>
        <w:t>Right to Purchase New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Company hereby grants to each Member (the “</w:t>
      </w:r>
      <w:r>
        <w:rPr>
          <w:rFonts w:ascii="Times New Roman;Times;Serif" w:hAnsi="Times New Roman;Times;Serif"/>
          <w:b w:val="false"/>
          <w:i w:val="false"/>
          <w:caps w:val="false"/>
          <w:smallCaps w:val="false"/>
          <w:sz w:val="20"/>
          <w:u w:val="single"/>
        </w:rPr>
        <w:t>Preemptive Participants</w:t>
      </w:r>
      <w:r>
        <w:rPr>
          <w:rFonts w:ascii="Times New Roman;Times;Serif" w:hAnsi="Times New Roman;Times;Serif"/>
          <w:b w:val="false"/>
          <w:i w:val="false"/>
          <w:caps w:val="false"/>
          <w:smallCaps w:val="false"/>
          <w:sz w:val="20"/>
        </w:rPr>
        <w:t xml:space="preserve">”) the right to purchase its Preemptive Portion (calculated in accordance with </w:t>
      </w:r>
      <w:r>
        <w:rPr>
          <w:rFonts w:ascii="Times New Roman;Times;Serif" w:hAnsi="Times New Roman;Times;Serif"/>
          <w:b w:val="false"/>
          <w:i w:val="false"/>
          <w:caps w:val="false"/>
          <w:smallCaps w:val="false"/>
          <w:sz w:val="20"/>
          <w:u w:val="single"/>
        </w:rPr>
        <w:t>Section ‎12.1(c)</w:t>
      </w:r>
      <w:r>
        <w:rPr>
          <w:rFonts w:ascii="Times New Roman;Times;Serif" w:hAnsi="Times New Roman;Times;Serif"/>
          <w:b w:val="false"/>
          <w:i w:val="false"/>
          <w:caps w:val="false"/>
          <w:smallCaps w:val="false"/>
          <w:sz w:val="20"/>
        </w:rPr>
        <w:t>) of all or any part of New Securities that the Company or any Subsidiary thereof may, from time to time, propose to sell or issue (the “</w:t>
      </w:r>
      <w:r>
        <w:rPr>
          <w:rFonts w:ascii="Times New Roman;Times;Serif" w:hAnsi="Times New Roman;Times;Serif"/>
          <w:b w:val="false"/>
          <w:i w:val="false"/>
          <w:caps w:val="false"/>
          <w:smallCaps w:val="false"/>
          <w:sz w:val="20"/>
          <w:u w:val="single"/>
        </w:rPr>
        <w:t>Equity Purchase Right</w:t>
      </w:r>
      <w:r>
        <w:rPr>
          <w:rFonts w:ascii="Times New Roman;Times;Serif" w:hAnsi="Times New Roman;Times;Serif"/>
          <w:b w:val="false"/>
          <w:i w:val="false"/>
          <w:caps w:val="false"/>
          <w:smallCaps w:val="false"/>
          <w:sz w:val="20"/>
        </w:rPr>
        <w:t xml:space="preserve">”) following the date hereof. The number of New Securities that the Members may purchase pursuant to this </w:t>
      </w:r>
      <w:r>
        <w:rPr>
          <w:rFonts w:ascii="Times New Roman;Times;Serif" w:hAnsi="Times New Roman;Times;Serif"/>
          <w:b w:val="false"/>
          <w:i w:val="false"/>
          <w:caps w:val="false"/>
          <w:smallCaps w:val="false"/>
          <w:sz w:val="20"/>
          <w:u w:val="single"/>
        </w:rPr>
        <w:t>Section ‎12.1(a)</w:t>
      </w:r>
      <w:r>
        <w:rPr>
          <w:rFonts w:ascii="Times New Roman;Times;Serif" w:hAnsi="Times New Roman;Times;Serif"/>
          <w:b w:val="false"/>
          <w:i w:val="false"/>
          <w:caps w:val="false"/>
          <w:smallCaps w:val="false"/>
          <w:sz w:val="20"/>
        </w:rPr>
        <w:t xml:space="preserve"> shall be referred to as the “</w:t>
      </w:r>
      <w:r>
        <w:rPr>
          <w:rFonts w:ascii="Times New Roman;Times;Serif" w:hAnsi="Times New Roman;Times;Serif"/>
          <w:b w:val="false"/>
          <w:i w:val="false"/>
          <w:caps w:val="false"/>
          <w:smallCaps w:val="false"/>
          <w:sz w:val="20"/>
          <w:u w:val="single"/>
        </w:rPr>
        <w:t>Equity Purchase Units</w:t>
      </w:r>
      <w:r>
        <w:rPr>
          <w:rFonts w:ascii="Times New Roman;Times;Serif" w:hAnsi="Times New Roman;Times;Serif"/>
          <w:b w:val="false"/>
          <w:i w:val="false"/>
          <w:caps w:val="false"/>
          <w:smallCaps w:val="false"/>
          <w:sz w:val="20"/>
        </w:rPr>
        <w:t xml:space="preserve">.” The Equity Purchase Right provided in this </w:t>
      </w:r>
      <w:r>
        <w:rPr>
          <w:rFonts w:ascii="Times New Roman;Times;Serif" w:hAnsi="Times New Roman;Times;Serif"/>
          <w:b w:val="false"/>
          <w:i w:val="false"/>
          <w:caps w:val="false"/>
          <w:smallCaps w:val="false"/>
          <w:sz w:val="20"/>
          <w:u w:val="single"/>
        </w:rPr>
        <w:t>Section ‎12.1(a)</w:t>
      </w:r>
      <w:r>
        <w:rPr>
          <w:rFonts w:ascii="Times New Roman;Times;Serif" w:hAnsi="Times New Roman;Times;Serif"/>
          <w:b w:val="false"/>
          <w:i w:val="false"/>
          <w:caps w:val="false"/>
          <w:smallCaps w:val="false"/>
          <w:sz w:val="20"/>
        </w:rPr>
        <w:t xml:space="preserve"> shall apply at the time of issuance of any right, warrant or option or convertible or exchangeable security, and not to the conversion or exchange pursuant to its terms or exercise thereof.</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Company shall give written notice (the “</w:t>
      </w:r>
      <w:r>
        <w:rPr>
          <w:rFonts w:ascii="Times New Roman;Times;Serif" w:hAnsi="Times New Roman;Times;Serif"/>
          <w:b w:val="false"/>
          <w:i w:val="false"/>
          <w:caps w:val="false"/>
          <w:smallCaps w:val="false"/>
          <w:sz w:val="20"/>
          <w:u w:val="single"/>
        </w:rPr>
        <w:t>Issuance Notice</w:t>
      </w:r>
      <w:r>
        <w:rPr>
          <w:rFonts w:ascii="Times New Roman;Times;Serif" w:hAnsi="Times New Roman;Times;Serif"/>
          <w:b w:val="false"/>
          <w:i w:val="false"/>
          <w:caps w:val="false"/>
          <w:smallCaps w:val="false"/>
          <w:sz w:val="20"/>
        </w:rPr>
        <w:t xml:space="preserve">”) of a proposed issuance or sale described in </w:t>
      </w:r>
      <w:r>
        <w:rPr>
          <w:rFonts w:ascii="Times New Roman;Times;Serif" w:hAnsi="Times New Roman;Times;Serif"/>
          <w:b w:val="false"/>
          <w:i w:val="false"/>
          <w:caps w:val="false"/>
          <w:smallCaps w:val="false"/>
          <w:sz w:val="20"/>
          <w:u w:val="single"/>
        </w:rPr>
        <w:t>Section ‎12.1(a)</w:t>
      </w:r>
      <w:r>
        <w:rPr>
          <w:rFonts w:ascii="Times New Roman;Times;Serif" w:hAnsi="Times New Roman;Times;Serif"/>
          <w:b w:val="false"/>
          <w:i w:val="false"/>
          <w:caps w:val="false"/>
          <w:smallCaps w:val="false"/>
          <w:sz w:val="20"/>
        </w:rPr>
        <w:t xml:space="preserve"> to the Preemptive Participants at least fifteen (15) days prior to the proposed issuance or sale. The Issuance Notice shall set forth the material terms and conditions of such proposed transaction, including (i) the number or amount and description of the New Securities proposed to be issued, (ii) the proposed issuance date and (iii) the proposed purchase price per New Security.</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total number of New Securities that each Preemptive Participant shall be entitled to purchase shall be equal to the product of (i) the total number of New Securities to be issued by the Company or the applicable Subsidiary on the applicable issuance date and (ii) a fraction (A) the numerator of which is the number of Units beneficially owned by such Preemptive Participant immediately prior to such issuance and (B) the denominator of which is the total number of Units outstanding on such date immediately prior to such issuance (the “</w:t>
      </w:r>
      <w:r>
        <w:rPr>
          <w:rFonts w:ascii="Times New Roman;Times;Serif" w:hAnsi="Times New Roman;Times;Serif"/>
          <w:b w:val="false"/>
          <w:i w:val="false"/>
          <w:caps w:val="false"/>
          <w:smallCaps w:val="false"/>
          <w:sz w:val="20"/>
          <w:u w:val="single"/>
        </w:rPr>
        <w:t>Preemptive Portion</w:t>
      </w:r>
      <w:r>
        <w:rPr>
          <w:rFonts w:ascii="Times New Roman;Times;Serif" w:hAnsi="Times New Roman;Times;Serif"/>
          <w:b w:val="false"/>
          <w:i w:val="false"/>
          <w:caps w:val="false"/>
          <w:smallCaps w:val="false"/>
          <w:sz w:val="20"/>
        </w:rPr>
        <w:t>”). At any time during the 15-day period following the receipt of an Issuance Notice, the Preemptive Participants shall have the right to elect irrevocably to purchase their Preemptive Portion of the Equity Purchase Units at the purchase price set forth in the Issuance Notice, and upon the other terms and conditions specified in the Issuance Notice, by delivering a written notice to the Company. Except as provided in the following sentence, such purchase shall be consummated concurrently with the consummation of the issuance or sale described in the Issuance Notice.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Each Preemptive Participant exercising its right to purchase its respective portion of the Equity Purchase Units in full (an “</w:t>
      </w:r>
      <w:r>
        <w:rPr>
          <w:rFonts w:ascii="Times New Roman;Times;Serif" w:hAnsi="Times New Roman;Times;Serif"/>
          <w:b w:val="false"/>
          <w:i w:val="false"/>
          <w:caps w:val="false"/>
          <w:smallCaps w:val="false"/>
          <w:sz w:val="20"/>
          <w:u w:val="single"/>
        </w:rPr>
        <w:t>Exercising Member</w:t>
      </w:r>
      <w:r>
        <w:rPr>
          <w:rFonts w:ascii="Times New Roman;Times;Serif" w:hAnsi="Times New Roman;Times;Serif"/>
          <w:b w:val="false"/>
          <w:i w:val="false"/>
          <w:caps w:val="false"/>
          <w:smallCaps w:val="false"/>
          <w:sz w:val="20"/>
        </w:rPr>
        <w:t>”) shall have a right of over-allotment such that if any other Member fails to exercise its right hereunder to purchase its full Preemptive Portion of New Securities (a “</w:t>
      </w:r>
      <w:r>
        <w:rPr>
          <w:rFonts w:ascii="Times New Roman;Times;Serif" w:hAnsi="Times New Roman;Times;Serif"/>
          <w:b w:val="false"/>
          <w:i w:val="false"/>
          <w:caps w:val="false"/>
          <w:smallCaps w:val="false"/>
          <w:sz w:val="20"/>
          <w:u w:val="single"/>
        </w:rPr>
        <w:t>Non-Purchasing Member</w:t>
      </w:r>
      <w:r>
        <w:rPr>
          <w:rFonts w:ascii="Times New Roman;Times;Serif" w:hAnsi="Times New Roman;Times;Serif"/>
          <w:b w:val="false"/>
          <w:i w:val="false"/>
          <w:caps w:val="false"/>
          <w:smallCaps w:val="false"/>
          <w:sz w:val="20"/>
        </w:rPr>
        <w:t xml:space="preserve">”), such Exercising Member may purchase all or any part of such securities by giving written notice to the Company within ten (10) days from the date that the Company provides written notice of the amount of New Securities as to which such Non-Purchasing Members have failed to exercise their Equity Purchase Rights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there are two or more such Exercising Members that choose to exercise the last-mentioned option for a total number of remaining Units in excess of the number available, the remaining Units available for purchase under this </w:t>
      </w:r>
      <w:r>
        <w:rPr>
          <w:rFonts w:ascii="Times New Roman;Times;Serif" w:hAnsi="Times New Roman;Times;Serif"/>
          <w:b w:val="false"/>
          <w:i w:val="false"/>
          <w:caps w:val="false"/>
          <w:smallCaps w:val="false"/>
          <w:sz w:val="20"/>
          <w:u w:val="single"/>
        </w:rPr>
        <w:t>Section  ‎12.1(d)</w:t>
      </w:r>
      <w:r>
        <w:rPr>
          <w:rFonts w:ascii="Times New Roman;Times;Serif" w:hAnsi="Times New Roman;Times;Serif"/>
          <w:b w:val="false"/>
          <w:i w:val="false"/>
          <w:caps w:val="false"/>
          <w:smallCaps w:val="false"/>
          <w:sz w:val="20"/>
        </w:rPr>
        <w:t xml:space="preserve"> shall be allocated among such Exercising Members pro rata based on the number of New Securities such Exercising Members elected to purchase pursuant to </w:t>
      </w:r>
      <w:r>
        <w:rPr>
          <w:rFonts w:ascii="Times New Roman;Times;Serif" w:hAnsi="Times New Roman;Times;Serif"/>
          <w:b w:val="false"/>
          <w:i w:val="false"/>
          <w:caps w:val="false"/>
          <w:smallCaps w:val="false"/>
          <w:sz w:val="20"/>
          <w:u w:val="single"/>
        </w:rPr>
        <w:t>Section  ‎12.1(c)</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 xml:space="preserve">If any Preemptive Participants or Exercising Members fail to exercise fully their Equity Purchase Rights within the periods described above and after expiration of the 10-day period for exercise of the over-allotment provisions pursuant to </w:t>
      </w:r>
      <w:r>
        <w:rPr>
          <w:rFonts w:ascii="Times New Roman;Times;Serif" w:hAnsi="Times New Roman;Times;Serif"/>
          <w:b w:val="false"/>
          <w:i w:val="false"/>
          <w:caps w:val="false"/>
          <w:smallCaps w:val="false"/>
          <w:sz w:val="20"/>
          <w:u w:val="single"/>
        </w:rPr>
        <w:t>Section  ‎12.1(d)</w:t>
      </w:r>
      <w:r>
        <w:rPr>
          <w:rFonts w:ascii="Times New Roman;Times;Serif" w:hAnsi="Times New Roman;Times;Serif"/>
          <w:b w:val="false"/>
          <w:i w:val="false"/>
          <w:caps w:val="false"/>
          <w:smallCaps w:val="false"/>
          <w:sz w:val="20"/>
        </w:rPr>
        <w:t xml:space="preserve">, the Company shall be free to complete the proposed issuance or sale of the New Securities described in the Issuance Notice with respect to which Exercising Members failed to exercise the option set forth in this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on terms no less favorable to the Company than those set forth in the Issuance Notice (except that the amount of securities to be issued or sold by the Company may be reduced);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issuance or sale is closed within ninety (90) days after the expiration of the 10-day period described in </w:t>
      </w:r>
      <w:r>
        <w:rPr>
          <w:rFonts w:ascii="Times New Roman;Times;Serif" w:hAnsi="Times New Roman;Times;Serif"/>
          <w:b w:val="false"/>
          <w:i w:val="false"/>
          <w:caps w:val="false"/>
          <w:smallCaps w:val="false"/>
          <w:sz w:val="20"/>
          <w:u w:val="single"/>
        </w:rPr>
        <w:t>Section  ‎12.1(d)</w:t>
      </w:r>
      <w:r>
        <w:rPr>
          <w:rFonts w:ascii="Times New Roman;Times;Serif" w:hAnsi="Times New Roman;Times;Serif"/>
          <w:b w:val="false"/>
          <w:i w:val="false"/>
          <w:caps w:val="false"/>
          <w:smallCaps w:val="false"/>
          <w:sz w:val="20"/>
        </w:rPr>
        <w:t xml:space="preserve"> and (ii) the price at which the New Securities are issued must be equal to or higher than the purchase price described in the Issuance Notice. Such periods within which such issuance or sale must be closed shall be extended to the extent necessary to obtain required governmental approvals and other required approvals and the Company shall use its commercially reasonable efforts to obtain such approvals. In the event that the Company has not sold such New Securities within said 90-day period, the Company shall not thereafter issue or sell any New Securities, without first again offering such securities to the Members in the manner provided in this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of the Members hereto shall use commercially reasonable efforts to take, or cause to be taken, all appropriate action, and to do, or cause to be done, all things necessary, proper or advisable under applicable Laws to consummate and make effective the transactions contemplated hereunder, including, without limitation, using commercially reasonable efforts to obtain all licenses, permits, consents, approvals, authorizations, qualifications and orders of the competent Governmental Authorities. Each of the parties shall cooperate with the other parties when required in order to effect the transactions contemplated hereunder.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12.3        </w:t>
      </w:r>
      <w:r>
        <w:rPr>
          <w:rFonts w:ascii="Times New Roman;Times;Serif" w:hAnsi="Times New Roman;Times;Serif"/>
          <w:b w:val="false"/>
          <w:i w:val="false"/>
          <w:caps w:val="false"/>
          <w:smallCaps w:val="false"/>
          <w:sz w:val="20"/>
          <w:u w:val="single"/>
        </w:rPr>
        <w:t>Waiver of Fiduciary Duties; Corporate Opportunities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Notwithstanding any other provision of this Agreement or any duty otherwise existing at Law or in equity, to the maximum extent permitted by applicable Law, this Agreement is not intended to, and does not, create or impose any implied duty (including, without limitation, any fiduciary duty and, for purposes of clarity, any prohibition on usurping opportunities of the Company or its Subsidiaries) otherwise existing at Law or in equity on any of the Managers, any officer, any Member or any Covered Person. To the fullest extent permitted by applicable Law, and notwithstanding any duty otherwise existing at Law or in equity, each of the Company, its Subsidiaries, the Managers, the Members, and any other person or entity that is a party to or is otherwise bound by this Agreement (including, without limitation, (a) the Company or its Subsidiaries in its capacity as a debtor or debtor in possession in a bankruptcy case commenced under 11 U.S.C. (a “</w:t>
      </w:r>
      <w:r>
        <w:rPr>
          <w:rFonts w:ascii="Times New Roman;Times;Serif" w:hAnsi="Times New Roman;Times;Serif"/>
          <w:b w:val="false"/>
          <w:i w:val="false"/>
          <w:caps w:val="false"/>
          <w:smallCaps w:val="false"/>
          <w:sz w:val="20"/>
          <w:u w:val="single"/>
        </w:rPr>
        <w:t>Bankruptcy Case</w:t>
      </w:r>
      <w:r>
        <w:rPr>
          <w:rFonts w:ascii="Times New Roman;Times;Serif" w:hAnsi="Times New Roman;Times;Serif"/>
          <w:b w:val="false"/>
          <w:i w:val="false"/>
          <w:caps w:val="false"/>
          <w:smallCaps w:val="false"/>
          <w:sz w:val="20"/>
        </w:rPr>
        <w:t>”), (b) any successor to the Company or its Subsidiaries in a Bankruptcy Case or otherwise, including, without limitation, a trustee, a litigation trust or estate representative, including, without limitation, a representative under 11 U.S.C. section 1123(a)(5), and (c) any creditor or committee of creditors or equityholders seeking or obtaining standing to assert claims of the estate in a Bankruptcy Case) (each of the foregoing, a “</w:t>
      </w:r>
      <w:r>
        <w:rPr>
          <w:rFonts w:ascii="Times New Roman;Times;Serif" w:hAnsi="Times New Roman;Times;Serif"/>
          <w:b w:val="false"/>
          <w:i w:val="false"/>
          <w:caps w:val="false"/>
          <w:smallCaps w:val="false"/>
          <w:sz w:val="20"/>
          <w:u w:val="single"/>
        </w:rPr>
        <w:t>Bound Party</w:t>
      </w:r>
      <w:r>
        <w:rPr>
          <w:rFonts w:ascii="Times New Roman;Times;Serif" w:hAnsi="Times New Roman;Times;Serif"/>
          <w:b w:val="false"/>
          <w:i w:val="false"/>
          <w:caps w:val="false"/>
          <w:smallCaps w:val="false"/>
          <w:sz w:val="20"/>
        </w:rPr>
        <w:t>”) hereby expressly waives all fiduciary duties and, for purposes of clarity, any prohibition on usurping opportunities of the Company or any of its Subsidiaries, that absent such waiver, may be implied at law or in equity or otherwise owed to a Bound Party, and in doing so, recognizes, acknowledges and agrees that the duties and obligations of the Covered Persons are only as expressly set forth in this Agreement.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Members and the Company expressly acknowledge and agree that Covered Persons may engage in material business transactions with the Company and its Subsidiaries and that Covered Persons may serve as officers, managers, directors or employees of the Company and its Subsidiaries. The Members and the Company further acknowledge and agree that (i) the Covered Persons are permitted to have, and may presently or in the future have, investments or other business relationships with, or prospective investment or business opportunities in respect of, Persons and businesses that are engaged or may in the future become engaged in the Company Business or businesses that are similar, complementary to or that, directly or indirectly compete with the Company Business other than through the Company and its Subsidiaries (an “</w:t>
      </w:r>
      <w:r>
        <w:rPr>
          <w:rFonts w:ascii="Times New Roman;Times;Serif" w:hAnsi="Times New Roman;Times;Serif"/>
          <w:b w:val="false"/>
          <w:i w:val="false"/>
          <w:caps w:val="false"/>
          <w:smallCaps w:val="false"/>
          <w:sz w:val="20"/>
          <w:u w:val="single"/>
        </w:rPr>
        <w:t>Other Business</w:t>
      </w:r>
      <w:r>
        <w:rPr>
          <w:rFonts w:ascii="Times New Roman;Times;Serif" w:hAnsi="Times New Roman;Times;Serif"/>
          <w:b w:val="false"/>
          <w:i w:val="false"/>
          <w:caps w:val="false"/>
          <w:smallCaps w:val="false"/>
          <w:sz w:val="20"/>
        </w:rPr>
        <w:t>”), (ii) the Covered Persons have and may develop investment, strategic, financial or other relationships with Other Businesses that are and may be competitive or complementary with the Company or its Subsidiaries, (iii) the</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Persons have and may in the future develop or receive reports, business plans, budgets, financial statements and other information of or about Other Businesses that may be material or relevant to the Company and its Subsidiaries, (iv) none of the Covered Persons will be prohibited, by virtue of their direct or indirect investments in the Company or its Subsidiaries or his or her or any other Covered Person’s service to the Company or its Subsidiaries (whether as a result of service on the Board or any board of directors (or any committees thereof) of any Subsidiary or otherwise), or any of their receipt, custody or control of Confidential Information about the Company or its Subsidiaries, from pursuing and engaging in any such activities in respect of Other Businesses, (v) none of the Covered Persons will have any type of duty, or otherwise be obligated in any manner, to disclose, inform or present the Board, the Company, its Subsidiaries, any committees or any officers of any such opportunity, relationship or investment with respect to any Other Business, even if such opportunity, relationship or investment is material or relevant to the Company, its Subsidiaries or the Board, (vi) none of the Members, the Company or its Subsidiaries will acquire or be entitled to any interest or participation in any Other Business as a result of the participation therein by the Covered Persons and (vii) the involvement of the Covered Persons in any Other Business will not constitute a conflict of interest by such Persons with respect to the Company or the Members (or any direct or indirect parent entity of such Members) or any of the Company’s Subsidiaries.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Each Member expressly acknowledges and agrees that, notwithstanding any duty otherwise existing at Law or in equity: (i) each Covered Person has the right to, and shall have no duty (contractual, fiduciary or otherwise) not to, directly or indirectly engage in the same or similar business activities or lines of business as the Company and its Subsidiaries, including those deemed to be competing with the Company and its Subsidiaries; and (ii) in the event that any Covered Person acquires knowledge of a potential transaction or matter that may be a corporate opportunity for the Company or its Subsidiaries or any other Member, such Covered Person shall have no duty (contractual, fiduciary or otherwise) to communicate or present such corporate opportunity to the Company or its Subsidiaries or any Member, as the case may be, and shall not be liable to the Company or its Subsidiaries or any Member or any of their respective Affiliates by reason of the fact that such Covered Person, directly or indirectly, pursues or acquires such opportunity for itself, directs such opportunity to another Person, or does not present such opportunity to the Company or its Subsidiaries or any Member.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12.4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Except as otherwise provided in this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 from the date hereof until two (2) years after ceasing to hold any Units, each Member (i) shall, and shall cause its Affiliates and its and their respective directors, officers, managers, employees, agents, auditors, and financial and other advisors (collectively,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to, maintain in strictest confidence the terms of this Agreement and any and all information relating to the Company and its Subsidiaries or the other Members that is proprietary to the Company and its Subsidiaries or such other Member, as applicable, or otherwise not available to the general public, irrespective of the form of the information, including, without limitation, information concerning the properties, employees, finances, businesses and operations of the Company and its Subsidiaries or of the other Members and all notes, analyses, compilations, studies, forecasts, interpretations or other documents prepared by a receiving Member or its Representatives that contain, reflect or are based upon, in whole or in part, the information furnished to or acquired by</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Member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(ii) shall not disclose, and shall cause its Representatives not to disclose, Confidential Information to any Person other than to the other Members and the Company and (iii) shall not use, and shall cause its Representatives not to use, Confidential Information other than in connection with the business of the Company and its Subsidiaries.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‎12.4(a)</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any Member may disclose Confidential Information to the extent consented to by the Board, acting unanimously and, if applicable, the Member(s) to whom such Confidential Information relates;</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 xml:space="preserve">any Member may disclose Confidential Information for bona fide business purposes on a strict “need to know” basis to its Affiliates, its board of directors (or equivalent governing body), its Representatives and its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such case, each such Person agrees to be bound by the terms of this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rPr>
        <w:t xml:space="preserve">following the Lock-Up Period, any Member may disclose Confidential Information to a Person considering a possible purchase of such Member’s Units, so long as prior to any such disclosure such other Person agrees to be bound by the terms of this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 xml:space="preserve">. Such disclosure may include reasonable due diligence investigation of the Company upon the request of any Member for such purpose,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(1) such disclosure, to the extent it requires an inspection of the books of account or other business records of the Company, occurs during normal business hours of the Company and does not unreasonably interfere with the normal operations of the Company and (2) the requesting Member shall reimburse the Company for all reasonable out-of-pocket expenses incurred by the Company in connection with such investigation;</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(iv)         </w:t>
      </w:r>
      <w:r>
        <w:rPr>
          <w:rFonts w:ascii="Times New Roman;Times;Serif" w:hAnsi="Times New Roman;Times;Serif"/>
          <w:b w:val="false"/>
          <w:i w:val="false"/>
          <w:caps w:val="false"/>
          <w:smallCaps w:val="false"/>
          <w:sz w:val="20"/>
        </w:rPr>
        <w:t>any Member may disclose Confidential Information to the extent necessary to assert any right or defend any claim arising under this Agreement;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         </w:t>
      </w:r>
      <w:r>
        <w:rPr>
          <w:rFonts w:ascii="Times New Roman;Times;Serif" w:hAnsi="Times New Roman;Times;Serif"/>
          <w:b w:val="false"/>
          <w:i w:val="false"/>
          <w:caps w:val="false"/>
          <w:smallCaps w:val="false"/>
          <w:sz w:val="20"/>
        </w:rPr>
        <w:t>any Member may disclose Confidential Information to the extent such disclosure is required by Law or legal process (including pursuant to any listing agreement with, or the rules or regulations of, any national securities exchange or national quotation system on which any securities of such Member are listed or traded);</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(vi)         </w:t>
      </w:r>
      <w:r>
        <w:rPr>
          <w:rFonts w:ascii="Times New Roman;Times;Serif" w:hAnsi="Times New Roman;Times;Serif"/>
          <w:b w:val="false"/>
          <w:i w:val="false"/>
          <w:caps w:val="false"/>
          <w:smallCaps w:val="false"/>
          <w:sz w:val="20"/>
        </w:rPr>
        <w:t>any Member may disclose Confidential Information to its (i) accountants, tax advisors, and any relevant Governmental Authorities and (ii) direct and indirect owners, in each case, as may be necessary or helpful to advance any tax compliance obligations (including any tax reporting obligations, such as the provision of Schedule K-1 to any Member’s direct or indirect owners) or tax planning of that Member or its direct or indirect owners;</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(vii)         </w:t>
      </w:r>
      <w:r>
        <w:rPr>
          <w:rFonts w:ascii="Times New Roman;Times;Serif" w:hAnsi="Times New Roman;Times;Serif"/>
          <w:b w:val="false"/>
          <w:i w:val="false"/>
          <w:caps w:val="false"/>
          <w:smallCaps w:val="false"/>
          <w:sz w:val="20"/>
        </w:rPr>
        <w:t>the G-III Member, in connection with its public company reporting obligations or activities, may (x) disclose high-level business information (to the extent not containing competitively sensitive information) to respond to questions or provide a summary or update relating to, or otherwise discuss, the Company, this Agreement and any related transactions or events, including in connection with calls or meetings with analysts, investors or attendees of any industry conference or in any investor presentation, and (y) file this Agreement as an exhibit</w:t>
      </w:r>
    </w:p>
    <w:p>
      <w:pPr>
        <w:pStyle w:val="TextBody"/>
        <w:bidi w:val="0"/>
        <w:spacing w:before="240" w:after="240"/>
        <w:ind w:left="240" w:right="24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filing with the SEC or any comparable regulatory authority to the extent required or advisable under applicable securities Laws; provided, that with respect to any filing pursuant to clause (y), the G-III Member shall, to the extent reasonably practicable, consult with the other Members and the Company in advance regarding the proposed form of such filing, consider in good faith any comments or proposed redactions, and use commercially reasonable efforts to seek confidential treatment for any provisions reasonably identified by the other Members or the Company as competitively sensitive or proprietary; and</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(viii)        </w:t>
      </w:r>
      <w:r>
        <w:rPr>
          <w:rFonts w:ascii="Times New Roman;Times;Serif" w:hAnsi="Times New Roman;Times;Serif"/>
          <w:b w:val="false"/>
          <w:i w:val="false"/>
          <w:caps w:val="false"/>
          <w:smallCaps w:val="false"/>
          <w:sz w:val="20"/>
        </w:rPr>
        <w:t xml:space="preserve">any Member may disclose Confidential Information to the extent legally compelled to do so under the terms of a subpoena, order, civil investigative demand or similar process issued by a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prior to any such disclosure, such Member shall, to the extent legally permissible: (A) promptly notify the Board of the existence, terms and circumstances surrounding such request; (B) consult with the Board regarding the advisability of taking legally available steps to resist or narrow such disclosure; (C) furnish only that portion of the Confidential Information that, in the opinion of independent counsel for such Member, such Member is legally compelled to disclose; and (D) cooperate with the Board (or any other Person having an interest in the Confidential Information) to obtain a protective order or other reliable assurance that confidential treatment will be accorded the Confidential Information;</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sz w:val="20"/>
        </w:rPr>
        <w:t>, however, that in no event shall any Member knowingly and intentionally disclose any Confidential Information to a WHP Specified Party or, in the case of the WHP Member only, a G-III Specified Party without prior written approval of the non-disclosing Member.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Any Member providing Confidential Information to any other Person in accordance with </w:t>
      </w:r>
      <w:r>
        <w:rPr>
          <w:rFonts w:ascii="Times New Roman;Times;Serif" w:hAnsi="Times New Roman;Times;Serif"/>
          <w:b w:val="false"/>
          <w:i w:val="false"/>
          <w:caps w:val="false"/>
          <w:smallCaps w:val="false"/>
          <w:sz w:val="20"/>
          <w:u w:val="single"/>
        </w:rPr>
        <w:t>Section ‎12.4(b)(ii)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shall be liable to the Company and the other Members for, and shall indemnify and hold harmless the Company and the other Members from and against, any and all Losses sustained or incurred by the Company and such other Members arising out of or otherwise resulting from the disclosure of such Confidential Information to such other Person or the disclosure by such other Person of Confidential Information in violation of the applicable confidentiality agreement.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‎12.4(b)</w:t>
      </w:r>
      <w:r>
        <w:rPr>
          <w:rFonts w:ascii="Times New Roman;Times;Serif" w:hAnsi="Times New Roman;Times;Serif"/>
          <w:b w:val="false"/>
          <w:i w:val="false"/>
          <w:caps w:val="false"/>
          <w:smallCaps w:val="false"/>
          <w:sz w:val="20"/>
        </w:rPr>
        <w:t>, neither the Company nor any Member shall disclose or provide any Confidential Information to any Person if such disclosure or provision is prohibited by any agreement between the Company and any Person (including any Member or Affiliate thereof and other than this Agreement).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Section ‎12.4(a)</w:t>
      </w:r>
      <w:r>
        <w:rPr>
          <w:rFonts w:ascii="Times New Roman;Times;Serif" w:hAnsi="Times New Roman;Times;Serif"/>
          <w:b w:val="false"/>
          <w:i w:val="false"/>
          <w:caps w:val="false"/>
          <w:smallCaps w:val="false"/>
          <w:sz w:val="20"/>
        </w:rPr>
        <w:t xml:space="preserve"> shall not apply to, and Confidential Information shall not include:</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 xml:space="preserve">any information that is or has become generally available to the public other than as a result of disclosure by a Member (or any Affiliate or Representative thereof) in breach of any of the provisions of this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 xml:space="preserve">any information that has been independently developed by a Member (or any Affiliate or Representative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it is developed entirely from sources other than Confidential Information and otherwise without violating any of the provisions of this Agreement or any other similar agreement to which such Member (or any Affiliate or Representative thereof) is bound; or</w:t>
      </w:r>
    </w:p>
    <w:p>
      <w:pPr>
        <w:pStyle w:val="TextBody"/>
        <w:bidi w:val="0"/>
        <w:spacing w:before="240" w:after="240"/>
        <w:ind w:left="240" w:right="24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rPr>
        <w:t>any information made available to a Member (or any Affiliate or Representative thereof) on a non-confidential basis by any Third Party who is not prohibited from disclosing such information by a legal, contractual or fiduciary obligation to the Company, another Member (or any Affiliate or Representative thereof) or any other Person.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 xml:space="preserve">The obligations of each Member under this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 xml:space="preserve"> shall survive indefinitely, notwithstanding the termination of the Company, such Member’s Transfer of its Units, the withdrawal by such Member from the Company and/or any Person ceasing to be an Affiliate of such Member.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12.5        </w:t>
      </w:r>
      <w:r>
        <w:rPr>
          <w:rFonts w:ascii="Times New Roman;Times;Serif" w:hAnsi="Times New Roman;Times;Serif"/>
          <w:b w:val="false"/>
          <w:i w:val="false"/>
          <w:caps w:val="false"/>
          <w:smallCaps w:val="false"/>
          <w:sz w:val="20"/>
          <w:u w:val="single"/>
        </w:rPr>
        <w:t>Initial Public Offering; Registration Rights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In connection with any Initial Public Offering that has been approved in connection with this Agreement, each Member shall be required to take all actions reasonably determined by the Board as may be necessary or desirable in order to consummate the Initial Public Offering, including voting in favor thereof, entering into all customary agreements that may be required in connection therewith (including customary lock-up and indemnity agreements), entering into customary registration rights agreement and taking all such other actions in furtherance thereof.</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In the event that the Board determines that it would be advisable for the Company to convert or reorganize into the corporate form of organization in order to complete an Initial Public Offering of the successor corporation, the Board shall, on behalf of the Company, formulate a plan of conversion or reorganization (the “</w:t>
      </w:r>
      <w:r>
        <w:rPr>
          <w:rFonts w:ascii="Times New Roman;Times;Serif" w:hAnsi="Times New Roman;Times;Serif"/>
          <w:b w:val="false"/>
          <w:i w:val="false"/>
          <w:caps w:val="false"/>
          <w:smallCaps w:val="false"/>
          <w:sz w:val="20"/>
          <w:u w:val="single"/>
        </w:rPr>
        <w:t>Reorganization Plan</w:t>
      </w:r>
      <w:r>
        <w:rPr>
          <w:rFonts w:ascii="Times New Roman;Times;Serif" w:hAnsi="Times New Roman;Times;Serif"/>
          <w:b w:val="false"/>
          <w:i w:val="false"/>
          <w:caps w:val="false"/>
          <w:smallCaps w:val="false"/>
          <w:sz w:val="20"/>
        </w:rPr>
        <w:t>”) to effectuate such conversion; provided that, the Board will use commercially reasonable efforts, at the Company’s cost and expense, to structure any such conversion or reorganization of the Company into corporate form in a tax efficient (or, where available, a tax-free or tax-deferred) manner for all Members, including effecting a conversion of the Company to corporate form, effecting an “UP-C” transaction with a “tax receivable agreement” or similar transaction structure, or causing the public offering of the stock of an existing or newly-formed subsidiary (including by causing an existing or newly formed subsidiary that is a corporation for U.S. federal income tax purposes to be the Initial Public Offering “vehicle” issuing equity securities in the Initial Public Offering and whose primary asset would consist of membership interests of an existing or newly formed subsidiary that is classified as a partnership for U.S. federal income tax purposes). Subject to this ‎Section 12.5, each Member shall take whatever reasonable action is required under such Reorganization Plan to effect the transactions contemplated therein.</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XIII</w:t>
      </w:r>
      <w:r>
        <w:rPr>
          <w:rFonts w:ascii="Times New Roman;Times;Serif" w:hAnsi="Times New Roman;Times;Serif"/>
          <w:b/>
          <w:i w:val="false"/>
          <w:caps/>
          <w:sz w:val="20"/>
        </w:rPr>
        <w:br/>
        <w:br/>
        <w:t>GENERAL PROVISIONS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otherwise provided herein, all fees and expenses incurred in connection with or related to this Agreement and the transactions contemplated hereby shall be paid by the party incurring such fees or expenses.</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13.2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Except as otherwise expressly provided in this Agreement, this Agreement may be amended, modified, or waived only with the approval of the Board; provided, that no amendment or modification of any provision of this Agreement that would (x) adversely affect the rights or obligations of a Member specifically granted such rights by name, title, or defined term or by reference to the Units (including the quantity or relative proportion of Units) owned by such Member shall be effective without the prior written consent of such Member or (y) materially, adversely and disproportionately affect the rights or obligations of a Member as compared to other Members owning the same class or type of Units shall be effective without the prior written consent of such Member. Notwithstanding the foregoing, amendments may be made to this Agreement from time to time by the Board without the consent of any Member to the extent necessary to: (a) correct any typographical or similar ministerial errors, (b) delete or add any provision of this Agreement required to be so deleted or added by any applicable Law, (c) take such actions as may be necessary (if any) to ensure that the Company will be treated as a partnership for federal income tax purposes, (d) admit or substitute Members whose admission or substitution has occurred in accordance with this Agreement and has already received the requisite approval in accordance with this Agreement and (e) update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Members and Capital Contributions and effectuate such technical and other amendments, supplements and modifications to this Agreement as may be required to reflect the admission of new or substituted Members or effect the issuance of additional Units pursuant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so long as the applicable underlying change or action giving rise to the amendment was consummated in accordance with the terms of this Agreement and received the requisite approvals.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hereunder shall be in writing and shall be deemed duly given (a) on the date of delivery if delivered personally, or if by e-mail, upon written confirmation of receipt by e-mail or otherwise (provided no “bounce back” or similar message of non-delivery is received with respect thereto), (b) on the first Business Day following the date of dispatch if delivered utilizing a next-day service by a recognized next-day courier service or (c) on the earlier of confirmed receipt or the fifth Business Day following the date of mailing if delivered by registered or certified mail, return receipt requested, postage prepaid. All notices hereunder shall be delivered, if to the Company, to the address set forth below, or if to any Member, to the addresses set forth in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hereto, or pursuant to such other instructions as may be designated in writing by the party to receive such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WHP Member, to:</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WHP Investments, LLC</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 Fifth Avenue,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24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Park Avenue</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10166</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Saee Muzumdar; Maxwell Ball</w:t>
      </w:r>
    </w:p>
    <w:p>
      <w:pPr>
        <w:pStyle w:val="TextBody"/>
        <w:bidi w:val="0"/>
        <w:spacing w:before="0" w:after="24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smuzumdar@gibsondunn.com; mball@gibsondunn.com</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G-III Member, to:</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G-III Apparel Group, Ltd.</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7th Ave</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10018</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2880" w:right="0" w:hanging="0"/>
        <w:jc w:val="left"/>
        <w:rPr>
          <w:caps w:val="false"/>
          <w:smallCaps w:val="false"/>
        </w:rPr>
      </w:pPr>
      <w:r>
        <w:rPr>
          <w:caps w:val="false"/>
          <w:smallCaps w:val="false"/>
        </w:rPr>
        <w:t> </w:t>
      </w:r>
    </w:p>
    <w:p>
      <w:pPr>
        <w:pStyle w:val="TextBody"/>
        <w:bidi w:val="0"/>
        <w:spacing w:before="0" w:after="24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Weiss, Rifkind, Wharton &amp; Garrison LLP</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 Avenue of the Americas</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Jeffrey Marell; Edward T. Ackerman</w:t>
      </w:r>
    </w:p>
    <w:p>
      <w:pPr>
        <w:pStyle w:val="TextBody"/>
        <w:bidi w:val="0"/>
        <w:spacing w:before="0" w:after="24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jmarell@paulweiss.com; eackerman@paulweiss.com</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13.4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Each ownership threshold (including any Consent Threshold) set forth in this Agreement shall be deemed equitably adjusted for any split, reverse split, combination, in-kind equity distribution, recapitalization, reclassification or similar transaction effected after the Effective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Exhibits and Schedules hereto) and the Transaction Documents constitute the entire agreement, and supersedes all prior written agreements, arrangements, communications and understandings and all prior and contemporaneous oral agreements, arrangements, communications and understandings among the parties with respect to the subject matter hereof and thereof. Notwithstanding any oral agreement or course of action of the parties or their Representatives to the contrary, no party to this Agreement shall be under any legal obligation to enter into or complete the transactions contemplated hereby unless and until this Agreement shall have been executed and delivered by each of the parties.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13.6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Except as provided in Article ‎XI, nothing in this Agreement, express or implied, is intended to or shall confer upon any other Person other than the parties and their respective successors and permitted assigns any legal or equitable right, benefit or remedy of any nature under or by reason of this Agreement. Without limiting the foregoing, any obligation of the Members to make Capital Contributions to the Company under this Agreement is an agreement only between the Members, and no other person or entity shall have any rights to enforce such obligations.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13.7        </w:t>
      </w:r>
      <w:r>
        <w:rPr>
          <w:rFonts w:ascii="Times New Roman;Times;Serif" w:hAnsi="Times New Roman;Times;Serif"/>
          <w:b w:val="false"/>
          <w:i w:val="false"/>
          <w:caps w:val="false"/>
          <w:smallCaps w:val="false"/>
          <w:sz w:val="20"/>
          <w:u w:val="single"/>
        </w:rPr>
        <w:t>Restrictions on Other Agreements</w:t>
      </w:r>
      <w:r>
        <w:rPr>
          <w:rFonts w:ascii="Times New Roman;Times;Serif" w:hAnsi="Times New Roman;Times;Serif"/>
          <w:b w:val="false"/>
          <w:i w:val="false"/>
          <w:caps w:val="false"/>
          <w:smallCaps w:val="false"/>
          <w:sz w:val="20"/>
        </w:rPr>
        <w:t>. Since the Formation Date and following the date hereof, no Member or any of its, her or his Permitted Transferees has entered into or agreed to be bound by, or shall enter into or agree to be bound by, any agreement or arrangement of any kind with any Person with respect to any Units, except pursuant to the agreements expressly permitted hereunder.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claims or causes of action arising out of or relating to this Agreement, the negotiation, execution or performance of this Agreement or the transactions contemplated hereby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13.9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In any judicial proceeding involving any dispute, controversy or claim arising out of or relating to this Agreement or the Company or its operations, each of the Members and the Company unconditionally accepts the exclusive jurisdiction and venue of the Court of Chancery of the State of Delaware, or if such court does not have jurisdiction, any state or federal court located in the State of Delaware, and in each case the appellate courts to which orders and judgments thereof may be appealed. In any such judicial proceeding, the Members agree that in addition to any method for the service of process permitted or required by such courts, to the fullest extent permitted by applicable Law, service of process may be made by delivery provided pursuant to the directions in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To the fullest extent permitted by applicable Law, the Members hereby irrevocably waive any objection which they may now or hereafter have to the laying of venue of any claim, controversy or dispute arising out of or relating to this Agreement or any of the transactions contemplated hereby brought in such courts or any defense of inconvenient forum for the maintenance of such claim, controversy or dispute. Each of the Members agrees that a final and unappealable judgment in any such claim, controversy or dispute shall be conclusive and may be enforced in other jurisdictions by suit on the judgment, a certified copy of which shall be conclusive evidence of the fact and amount of such judgment, or in any other manner provided by applicable Law.</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13.10    </w:t>
      </w:r>
      <w:r>
        <w:rPr>
          <w:rFonts w:ascii="Times New Roman;Times;Serif" w:hAnsi="Times New Roman;Times;Serif"/>
          <w:b w:val="false"/>
          <w:i w:val="false"/>
          <w:caps w:val="false"/>
          <w:smallCaps w:val="false"/>
          <w:sz w:val="20"/>
          <w:u w:val="single"/>
        </w:rPr>
        <w:t>Successors, Assigns and Transferees</w:t>
      </w:r>
      <w:r>
        <w:rPr>
          <w:rFonts w:ascii="Times New Roman;Times;Serif" w:hAnsi="Times New Roman;Times;Serif"/>
          <w:b w:val="false"/>
          <w:i w:val="false"/>
          <w:caps w:val="false"/>
          <w:smallCaps w:val="false"/>
          <w:sz w:val="20"/>
        </w:rPr>
        <w:t>. Neither this Agreement nor any of the rights, interests or obligations under this Agreement may be assigned or delegated, in whole or in part, by operation of law or otherwise, by any Member without the prior written consent of the Board, and any such assignment without such prior written consent shall be null and void, except in connection with any Transfer of Units permitted under Article IV or Article ‎IX. Subject to the preceding sentence, this Agreement will be binding upon, inure to the benefit of, and be enforceable by, the parties and their respective successors and assigns.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13.11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The parties hereto agree that irreparable damage would occur and that the parties would not have any adequate remedy at law in the event any provision of this Agreement was not performed in accordance with the specific terms hereof or were otherwise breached. It is accordingly agreed that the parties hereto shall be entitled (in addition to any other remedies available to them) to the remedies of specific performance and injunctive relief (without bond or other security being required and without the necessity of proving the inadequacy of money damages) to prevent breaches or threatened breaches of this Agreement and to enforce specifically the terms and provisions of this Agreement, this being in addition to any other remedy to which they are entitled at law or in equity.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13.12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references to “dollars” or “$” or “US$” in this Agreement refer to United States dollars, which is the currency used for all purposes in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all of which shall be considered one and the same instrument and shall become effective when one or more counterparts have been signed by each of the parties and delivered to the other parties.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13.15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electronically (including by means of .pdf or similar graphic reproduction format or by means of digital signature software, e.g. DocuSign or Adobe Sign) and delivered by e-mail or other similar means of electronic transmission, and any electronic signature shall constitute an original for all purposes.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13.16    </w:t>
      </w:r>
      <w:r>
        <w:rPr>
          <w:rFonts w:ascii="Times New Roman;Times;Serif" w:hAnsi="Times New Roman;Times;Serif"/>
          <w:b w:val="false"/>
          <w:i w:val="false"/>
          <w:caps w:val="false"/>
          <w:smallCaps w:val="false"/>
          <w:sz w:val="20"/>
          <w:u w:val="single"/>
        </w:rPr>
        <w:t>No Presumption Against Drafting Party</w:t>
      </w:r>
      <w:r>
        <w:rPr>
          <w:rFonts w:ascii="Times New Roman;Times;Serif" w:hAnsi="Times New Roman;Times;Serif"/>
          <w:b w:val="false"/>
          <w:i w:val="false"/>
          <w:caps w:val="false"/>
          <w:smallCaps w:val="false"/>
          <w:sz w:val="20"/>
        </w:rPr>
        <w:t>. Each of the parties hereto acknowledges that it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13.17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Notwithstanding anything that may be expressed or implied in this Agreement, the Company and each Member covenants, agrees and acknowledges that no recourse under this Agreement or any documents or instruments delivered in connection with this Agreement shall be had against any current or future director, officer, employee, general or limited partner or equity holder of any Member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general or limited partner or equity holder of any Member or of any Affiliate or assignee thereof, as such, for any obligation of any Member under this Agreement or any documents or instruments delivered in connection with this Agreement for any claim based on, in respect of or by reason of such obligations or their creation.</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is intentionally left blank.</w:t>
      </w:r>
      <w:r>
        <w:rPr>
          <w:rFonts w:ascii="Times New Roman;Times;Serif" w:hAnsi="Times New Roman;Times;Serif"/>
          <w:b w:val="false"/>
          <w:i w:val="false"/>
          <w:caps w:val="false"/>
          <w:smallCaps w:val="false"/>
          <w:sz w:val="20"/>
        </w:rPr>
        <w:t>]</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p>
      <w:pPr>
        <w:pStyle w:val="TextBody"/>
        <w:bidi w:val="0"/>
        <w:spacing w:before="240" w:after="240"/>
        <w:ind w:left="240" w:right="24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entered into this Agreement or have caused this Agreement to be executed as of the date first written above by their respective officers thereunto duly authorized.</w:t>
      </w:r>
    </w:p>
    <w:p>
      <w:pPr>
        <w:pStyle w:val="TextBody"/>
        <w:bidi w:val="0"/>
        <w:spacing w:before="240" w:after="240"/>
        <w:ind w:left="240" w:right="240" w:firstLine="720"/>
        <w:jc w:val="left"/>
        <w:rPr>
          <w:caps w:val="false"/>
          <w:smallCaps w:val="false"/>
        </w:rPr>
      </w:pPr>
      <w:r>
        <w:rPr>
          <w:caps w:val="false"/>
          <w:smallCaps w:val="false"/>
        </w:rPr>
        <w:t> </w:t>
      </w:r>
    </w:p>
    <w:tbl>
      <w:tblPr>
        <w:tblW w:w="1324" w:type="dxa"/>
        <w:jc w:val="left"/>
        <w:tblInd w:w="0" w:type="dxa"/>
        <w:tblLayout w:type="fixed"/>
        <w:tblCellMar>
          <w:top w:w="0" w:type="dxa"/>
          <w:left w:w="0" w:type="dxa"/>
          <w:bottom w:w="0" w:type="dxa"/>
          <w:right w:w="0" w:type="dxa"/>
        </w:tblCellMar>
      </w:tblPr>
      <w:tblGrid>
        <w:gridCol w:w="75"/>
        <w:gridCol w:w="400"/>
        <w:gridCol w:w="774"/>
        <w:gridCol w:w="75"/>
      </w:tblGrid>
      <w:tr>
        <w:trPr/>
        <w:tc>
          <w:tcPr>
            <w:tcW w:w="75"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By:</w:t>
            </w:r>
          </w:p>
        </w:tc>
        <w:tc>
          <w:tcPr>
            <w:tcW w:w="77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699" w:type="dxa"/>
        <w:jc w:val="left"/>
        <w:tblInd w:w="0" w:type="dxa"/>
        <w:tblLayout w:type="fixed"/>
        <w:tblCellMar>
          <w:top w:w="0" w:type="dxa"/>
          <w:left w:w="0" w:type="dxa"/>
          <w:bottom w:w="0" w:type="dxa"/>
          <w:right w:w="0" w:type="dxa"/>
        </w:tblCellMar>
      </w:tblPr>
      <w:tblGrid>
        <w:gridCol w:w="75"/>
        <w:gridCol w:w="557"/>
        <w:gridCol w:w="992"/>
        <w:gridCol w:w="75"/>
      </w:tblGrid>
      <w:tr>
        <w:trPr/>
        <w:tc>
          <w:tcPr>
            <w:tcW w:w="75"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[WHP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pPr>
            <w:r>
              <w:rPr/>
              <w:t>By:</w:t>
            </w:r>
          </w:p>
        </w:tc>
        <w:tc>
          <w:tcPr>
            <w:tcW w:w="99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669" w:type="dxa"/>
        <w:jc w:val="left"/>
        <w:tblInd w:w="0" w:type="dxa"/>
        <w:tblLayout w:type="fixed"/>
        <w:tblCellMar>
          <w:top w:w="0" w:type="dxa"/>
          <w:left w:w="0" w:type="dxa"/>
          <w:bottom w:w="0" w:type="dxa"/>
          <w:right w:w="0" w:type="dxa"/>
        </w:tblCellMar>
      </w:tblPr>
      <w:tblGrid>
        <w:gridCol w:w="75"/>
        <w:gridCol w:w="546"/>
        <w:gridCol w:w="973"/>
        <w:gridCol w:w="75"/>
      </w:tblGrid>
      <w:tr>
        <w:trPr/>
        <w:tc>
          <w:tcPr>
            <w:tcW w:w="75" w:type="dxa"/>
            <w:tcBorders/>
            <w:vAlign w:val="center"/>
          </w:tcPr>
          <w:p>
            <w:pPr>
              <w:pStyle w:val="TableContents"/>
              <w:bidi w:val="0"/>
              <w:spacing w:before="0" w:after="283"/>
              <w:jc w:val="left"/>
              <w:rPr/>
            </w:pPr>
            <w:r>
              <w:rPr/>
              <w:t> </w:t>
            </w:r>
          </w:p>
        </w:tc>
        <w:tc>
          <w:tcPr>
            <w:tcW w:w="15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By:</w:t>
            </w:r>
          </w:p>
        </w:tc>
        <w:tc>
          <w:tcPr>
            <w:tcW w:w="97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IPCo Operating Agreement</w:t>
      </w:r>
      <w:r>
        <w:rPr>
          <w:rFonts w:ascii="Times New Roman;Times;Serif" w:hAnsi="Times New Roman;Times;Serif"/>
          <w:b w:val="false"/>
          <w:i w:val="false"/>
          <w:caps w:val="false"/>
          <w:smallCaps w:val="false"/>
          <w:sz w:val="20"/>
        </w:rPr>
        <w:t>]</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ANNEX</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w:t>
      </w:r>
      <w:r>
        <w:rPr>
          <w:rFonts w:ascii="Times New Roman;Times;Serif" w:hAnsi="Times New Roman;Times;Serif"/>
          <w:b/>
          <w:i w:val="false"/>
          <w:caps/>
          <w:sz w:val="20"/>
        </w:rPr>
        <w:br/>
        <w:t>TAX ANNEX; INTERPRETATION</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Partnership Agreement</w:t>
      </w:r>
      <w:r>
        <w:rPr>
          <w:rFonts w:ascii="Times New Roman;Times;Serif" w:hAnsi="Times New Roman;Times;Serif"/>
          <w:b w:val="false"/>
          <w:i w:val="false"/>
          <w:caps w:val="false"/>
          <w:smallCaps w:val="false"/>
          <w:color w:val="000000"/>
          <w:sz w:val="20"/>
        </w:rPr>
        <w:t>. This annex to the Agreement (the “</w:t>
      </w:r>
      <w:r>
        <w:rPr>
          <w:rFonts w:ascii="Times New Roman;Times;Serif" w:hAnsi="Times New Roman;Times;Serif"/>
          <w:b w:val="false"/>
          <w:i w:val="false"/>
          <w:caps w:val="false"/>
          <w:smallCaps w:val="false"/>
          <w:color w:val="000000"/>
          <w:sz w:val="20"/>
          <w:u w:val="single"/>
        </w:rPr>
        <w:t>Tax Annex</w:t>
      </w:r>
      <w:r>
        <w:rPr>
          <w:rFonts w:ascii="Times New Roman;Times;Serif" w:hAnsi="Times New Roman;Times;Serif"/>
          <w:b w:val="false"/>
          <w:i w:val="false"/>
          <w:caps w:val="false"/>
          <w:smallCaps w:val="false"/>
          <w:sz w:val="20"/>
        </w:rPr>
        <w:t>”) shall be considered part of the Agreement for all purposes and, for U.S. federal income tax purposes, shall be treated as part of the “partnership agreement” as described in Code section 761(c) and Treas. Reg. §§ 1.704-1(b)(2)(ii)(h) and 1.761-1(c).</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color w:val="000000"/>
          <w:sz w:val="20"/>
        </w:rPr>
        <w:t xml:space="preserve">. Except as otherwise specified or required by context, references to “Sections” in this Tax Annex are to sections of this Tax Annex. Terms that are capitalized but not defined in this Tax Annex have the meanings given to them in the Agreement. Except as otherwise specified or required by context, if a capitalized term is defined in both the Agreement and this Tax Annex, the definition in this Tax Annex shall control. When used in this Tax Annex, (i) the word “including” means “including without limitation,” and (ii) as required by context, the singular includes the plural and </w:t>
      </w:r>
      <w:r>
        <w:rPr>
          <w:rFonts w:ascii="Times New Roman;Times;Serif" w:hAnsi="Times New Roman;Times;Serif"/>
          <w:b w:val="false"/>
          <w:i/>
          <w:caps w:val="false"/>
          <w:smallCaps w:val="false"/>
          <w:color w:val="000000"/>
          <w:sz w:val="20"/>
        </w:rPr>
        <w:t>vice versa</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w:t>
      </w:r>
      <w:r>
        <w:rPr>
          <w:rFonts w:ascii="Times New Roman;Times;Serif" w:hAnsi="Times New Roman;Times;Serif"/>
          <w:b/>
          <w:i w:val="false"/>
          <w:caps/>
          <w:sz w:val="20"/>
        </w:rPr>
        <w:br/>
        <w:t>TAX-RELATED GOVERNANCE MATTERS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Tax Actions</w:t>
      </w:r>
      <w:r>
        <w:rPr>
          <w:rFonts w:ascii="Times New Roman;Times;Serif" w:hAnsi="Times New Roman;Times;Serif"/>
          <w:b w:val="false"/>
          <w:i w:val="false"/>
          <w:caps w:val="false"/>
          <w:smallCaps w:val="false"/>
          <w:sz w:val="20"/>
        </w:rPr>
        <w:t>. Except as otherwise expressly provided in this Tax Annex, and subject to Section ‎5.6(g) of the Agreement, all Tax Actions shall be made, taken, or determined by the Company in its sole reasonable discretion in good faith in accordance with this Article II.</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No Independent Actions or Inconsistent Positions</w:t>
      </w:r>
      <w:r>
        <w:rPr>
          <w:rFonts w:ascii="Times New Roman;Times;Serif" w:hAnsi="Times New Roman;Times;Serif"/>
          <w:b w:val="false"/>
          <w:i w:val="false"/>
          <w:caps w:val="false"/>
          <w:smallCaps w:val="false"/>
          <w:color w:val="000000"/>
          <w:sz w:val="20"/>
        </w:rPr>
        <w:t>. No Member shall (i) independently act with respect to tax matters, including audits, litigation, and controversies, in each case affecting or arising from the Company, including with respect to the procedures described in Code section 6225(c), or (ii) treat any Company item inconsistently on such Member’s income tax return with the treatment of the item on the Company’s tax return and/or the Schedule K-1 (or other written information statement) provided to such Member by or on behalf of the Company, unless otherwise required pursuant to a final “determination” within the meaning of Section 1313(a)(1) of the Code.</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Other Tax Laws</w:t>
      </w:r>
      <w:r>
        <w:rPr>
          <w:rFonts w:ascii="Times New Roman;Times;Serif" w:hAnsi="Times New Roman;Times;Serif"/>
          <w:b w:val="false"/>
          <w:i w:val="false"/>
          <w:caps w:val="false"/>
          <w:smallCaps w:val="false"/>
          <w:color w:val="000000"/>
          <w:sz w:val="20"/>
        </w:rPr>
        <w:t xml:space="preserve">. The provisions of this Tax Annex (and the tax-related provisions of the Agreement) with respect to U.S. federal income tax shall apply, </w:t>
      </w:r>
      <w:r>
        <w:rPr>
          <w:rFonts w:ascii="Times New Roman;Times;Serif" w:hAnsi="Times New Roman;Times;Serif"/>
          <w:b w:val="false"/>
          <w:i/>
          <w:caps w:val="false"/>
          <w:smallCaps w:val="false"/>
          <w:color w:val="000000"/>
          <w:sz w:val="20"/>
        </w:rPr>
        <w:t>mutatis mutandis</w:t>
      </w:r>
      <w:r>
        <w:rPr>
          <w:rFonts w:ascii="Times New Roman;Times;Serif" w:hAnsi="Times New Roman;Times;Serif"/>
          <w:b w:val="false"/>
          <w:i w:val="false"/>
          <w:caps w:val="false"/>
          <w:smallCaps w:val="false"/>
          <w:color w:val="000000"/>
          <w:sz w:val="20"/>
        </w:rPr>
        <w:t>, with respect to any similar provisions of state, local, or non-U.S. tax law as reasonably determined by the Company.</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No Deficit Restoration Obligation</w:t>
      </w:r>
      <w:r>
        <w:rPr>
          <w:rFonts w:ascii="Times New Roman;Times;Serif" w:hAnsi="Times New Roman;Times;Serif"/>
          <w:b w:val="false"/>
          <w:i w:val="false"/>
          <w:caps w:val="false"/>
          <w:smallCaps w:val="false"/>
          <w:sz w:val="20"/>
        </w:rPr>
        <w:t>. No Member shall be required to contribute capital (or make any other payment) to the Company as a result of a deficit balance in that Member’s Capital Account.</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sz w:val="20"/>
        </w:rPr>
        <w:br/>
        <w:t>ALLOCATIONS AND CAPITAL ACCOUNTS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Allocations</w:t>
      </w:r>
      <w:r>
        <w:rPr>
          <w:rFonts w:ascii="Times New Roman;Times;Serif" w:hAnsi="Times New Roman;Times;Serif"/>
          <w:b w:val="false"/>
          <w:i w:val="false"/>
          <w:caps w:val="false"/>
          <w:smallCaps w:val="false"/>
          <w:color w:val="000000"/>
          <w:sz w:val="20"/>
        </w:rPr>
        <w:t>. Each Allocation Period, after adjusting each Member’s Capital Account for all contributions and distributions with respect to such Allocation Period and after</w:t>
      </w:r>
    </w:p>
    <w:p>
      <w:pPr>
        <w:pStyle w:val="TextBody"/>
        <w:bidi w:val="0"/>
        <w:spacing w:before="240" w:after="240"/>
        <w:ind w:left="240" w:right="240" w:hanging="0"/>
        <w:jc w:val="left"/>
        <w:rPr>
          <w:caps w:val="false"/>
          <w:smallCaps w:val="false"/>
          <w:color w:val="000000"/>
        </w:rPr>
      </w:pPr>
      <w:r>
        <w:rPr>
          <w:caps w:val="false"/>
          <w:smallCaps w:val="false"/>
          <w:color w:val="000000"/>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giving effect to the allocations set forth in Section 3.2 for the Allocation Period, Net Profits and Net Losses shall be allocated among the Members in a manner such that, after such allocations have been made, each Member’s Capital Account balance (which may be a positive, negative, or zero balance) will equal, as nearly as possible (proportionately), (a) the amount that would be distributed to each such Member, determined as if the Company were to (i) sell all of its assets for their Asset Values, (ii) satisfy all of its liabilities in accordance with their terms with the proceeds from such sale (limited, with respect to nonrecourse liabilities, to the Asset Values of the assets securing such liabilities), and (iii) distribute the remaining proceeds pursuant to Section ‎7.1 of the Agreement, minus (b) the sum of (x) such Member’s share of the Company Minimum Gain and Member Nonrecourse Debt Minimum Gain and (y) the amount, if any (without duplication of any amount included under clause (x)), that such Member is obligated (or is deemed for U.S. tax purposes to be obligated) to contribute, in its capacity as a Member, to the capital of the Company as of the last day of such Allocation Period. Notwithstanding the foregoing or anything to the contrary in this Tax Annex, but subject to </w:t>
      </w:r>
      <w:r>
        <w:rPr>
          <w:rFonts w:ascii="Times New Roman;Times;Serif" w:hAnsi="Times New Roman;Times;Serif"/>
          <w:b w:val="false"/>
          <w:i w:val="false"/>
          <w:caps w:val="false"/>
          <w:smallCaps w:val="false"/>
          <w:sz w:val="20"/>
          <w:u w:val="single"/>
        </w:rPr>
        <w:t>Sections 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at any time before a sale, initial public offering, Qualifying CoC, or other disposition of all (or substantially all) of the assets of, or equity interests in, the Company, all allocations of Net Profits and Net Losses (other than items described in clause (vi) of the definition thereof) shall be made in accordance with the Member’s Percentage Interests.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Priority Allocations</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u w:val="single"/>
        </w:rPr>
        <w:t>Minimum Gain Chargeback, Qualified Income Offset, and Stop Loss Provisions</w:t>
      </w:r>
      <w:r>
        <w:rPr>
          <w:rFonts w:ascii="Times New Roman;Times;Serif" w:hAnsi="Times New Roman;Times;Serif"/>
          <w:b w:val="false"/>
          <w:i w:val="false"/>
          <w:caps w:val="false"/>
          <w:smallCaps w:val="false"/>
          <w:color w:val="000000"/>
          <w:sz w:val="20"/>
        </w:rPr>
        <w:t>. Each of (i) the “minimum gain chargeback” provision of Treas. Reg. § 1.704-2(f), (ii) the “chargeback of partner nonrecourse debt minimum gain” provision of Treas. Reg. § 1.704-2(i)(4), (iii) the “qualified income offset” provision in Treas. Reg. § 1.704-1(b)(2)(ii)(</w:t>
      </w:r>
      <w:r>
        <w:rPr>
          <w:rFonts w:ascii="Times New Roman;Times;Serif" w:hAnsi="Times New Roman;Times;Serif"/>
          <w:b w:val="false"/>
          <w:i/>
          <w:caps w:val="false"/>
          <w:smallCaps w:val="false"/>
          <w:color w:val="000000"/>
          <w:sz w:val="20"/>
        </w:rPr>
        <w:t>d</w:t>
      </w:r>
      <w:r>
        <w:rPr>
          <w:rFonts w:ascii="Times New Roman;Times;Serif" w:hAnsi="Times New Roman;Times;Serif"/>
          <w:b w:val="false"/>
          <w:i w:val="false"/>
          <w:caps w:val="false"/>
          <w:smallCaps w:val="false"/>
          <w:color w:val="000000"/>
          <w:sz w:val="20"/>
        </w:rPr>
        <w:t>), and (iv) the requirement in the “flush language” immediately following Treas. Reg. § 1.704-1(b)(2)(ii)(</w:t>
      </w:r>
      <w:r>
        <w:rPr>
          <w:rFonts w:ascii="Times New Roman;Times;Serif" w:hAnsi="Times New Roman;Times;Serif"/>
          <w:b w:val="false"/>
          <w:i/>
          <w:caps w:val="false"/>
          <w:smallCaps w:val="false"/>
          <w:color w:val="000000"/>
          <w:sz w:val="20"/>
        </w:rPr>
        <w:t>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z w:val="20"/>
        </w:rPr>
        <w:t>3</w:t>
      </w:r>
      <w:r>
        <w:rPr>
          <w:rFonts w:ascii="Times New Roman;Times;Serif" w:hAnsi="Times New Roman;Times;Serif"/>
          <w:b w:val="false"/>
          <w:i w:val="false"/>
          <w:caps w:val="false"/>
          <w:smallCaps w:val="false"/>
          <w:color w:val="000000"/>
          <w:sz w:val="20"/>
        </w:rPr>
        <w:t>) that an allocation “not cause or increase a deficit balance” in a Member’s Capital Account is hereby incorporated by reference as a part of this Tax Annex. The Company shall make such allocations as are necessary to comply with those provisions and shall make any determinations with respect to such allocations (to the extent consistent with clauses (i)–(iv) of the preceding sentence).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u w:val="single"/>
        </w:rPr>
        <w:t>Nonrecourse Deductions</w:t>
      </w:r>
      <w:r>
        <w:rPr>
          <w:rFonts w:ascii="Times New Roman;Times;Serif" w:hAnsi="Times New Roman;Times;Serif"/>
          <w:b w:val="false"/>
          <w:i w:val="false"/>
          <w:caps w:val="false"/>
          <w:smallCaps w:val="false"/>
          <w:color w:val="000000"/>
          <w:sz w:val="20"/>
        </w:rPr>
        <w:t>. Nonrecourse Deductions for any Allocation Period shall be allocated to the Members as determined by the Company.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u w:val="single"/>
        </w:rPr>
        <w:t>Member Nonrecourse Deductions</w:t>
      </w:r>
      <w:r>
        <w:rPr>
          <w:rFonts w:ascii="Times New Roman;Times;Serif" w:hAnsi="Times New Roman;Times;Serif"/>
          <w:b w:val="false"/>
          <w:i w:val="false"/>
          <w:caps w:val="false"/>
          <w:smallCaps w:val="false"/>
          <w:color w:val="000000"/>
          <w:sz w:val="20"/>
        </w:rPr>
        <w:t>. Any Member Nonrecourse Deductions for any Allocation Period shall be specially allocated to the Member who bears the economic risk of loss (within the meaning of Treas. Reg. § 1.752-2) with respect to the Member Nonrecourse Debt to which such Member Nonrecourse Deductions are attributable in accordance with Treas. Reg. § 1.704-2(i)(l</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u w:val="single"/>
        </w:rPr>
        <w:t>Special Basis Adjustments</w:t>
      </w:r>
      <w:r>
        <w:rPr>
          <w:rFonts w:ascii="Times New Roman;Times;Serif" w:hAnsi="Times New Roman;Times;Serif"/>
          <w:b w:val="false"/>
          <w:i w:val="false"/>
          <w:caps w:val="false"/>
          <w:smallCaps w:val="false"/>
          <w:color w:val="000000"/>
          <w:sz w:val="20"/>
        </w:rPr>
        <w:t>. The amount of any adjustment required pursuant to Treas. Reg. § 1.704-1(b)(2)(iv)(</w:t>
      </w:r>
      <w:r>
        <w:rPr>
          <w:rFonts w:ascii="Times New Roman;Times;Serif" w:hAnsi="Times New Roman;Times;Serif"/>
          <w:b w:val="false"/>
          <w:i/>
          <w:caps w:val="false"/>
          <w:smallCaps w:val="false"/>
          <w:color w:val="000000"/>
          <w:sz w:val="20"/>
        </w:rPr>
        <w:t>m</w:t>
      </w:r>
      <w:r>
        <w:rPr>
          <w:rFonts w:ascii="Times New Roman;Times;Serif" w:hAnsi="Times New Roman;Times;Serif"/>
          <w:b w:val="false"/>
          <w:i w:val="false"/>
          <w:caps w:val="false"/>
          <w:smallCaps w:val="false"/>
          <w:color w:val="000000"/>
          <w:sz w:val="20"/>
        </w:rPr>
        <w:t>) shall be treated as an item of gain (if the adjustment increases the basis of the asset) or loss (if the adjustment decreases such basis) in connection with the complete liquidation of a Member’s interest and such gain or loss shall be allocated to the Members in accordance with their interests in the Company if Treas. Reg. § 1.704-1(b)(2)(iv)(</w:t>
      </w:r>
      <w:r>
        <w:rPr>
          <w:rFonts w:ascii="Times New Roman;Times;Serif" w:hAnsi="Times New Roman;Times;Serif"/>
          <w:b w:val="false"/>
          <w:i/>
          <w:caps w:val="false"/>
          <w:smallCaps w:val="false"/>
          <w:color w:val="000000"/>
          <w:sz w:val="20"/>
        </w:rPr>
        <w:t>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z w:val="20"/>
        </w:rPr>
        <w:t>2</w:t>
      </w:r>
      <w:r>
        <w:rPr>
          <w:rFonts w:ascii="Times New Roman;Times;Serif" w:hAnsi="Times New Roman;Times;Serif"/>
          <w:b w:val="false"/>
          <w:i w:val="false"/>
          <w:caps w:val="false"/>
          <w:smallCaps w:val="false"/>
          <w:color w:val="000000"/>
          <w:sz w:val="20"/>
        </w:rPr>
        <w:t>) applies, or to the Member to whom such distribution was made if Treas. Reg. § 1.704-1(b)(2)(iv)(</w:t>
      </w:r>
      <w:r>
        <w:rPr>
          <w:rFonts w:ascii="Times New Roman;Times;Serif" w:hAnsi="Times New Roman;Times;Serif"/>
          <w:b w:val="false"/>
          <w:i/>
          <w:caps w:val="false"/>
          <w:smallCaps w:val="false"/>
          <w:color w:val="000000"/>
          <w:sz w:val="20"/>
        </w:rPr>
        <w:t>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z w:val="20"/>
        </w:rPr>
        <w:t>4</w:t>
      </w:r>
      <w:r>
        <w:rPr>
          <w:rFonts w:ascii="Times New Roman;Times;Serif" w:hAnsi="Times New Roman;Times;Serif"/>
          <w:b w:val="false"/>
          <w:i w:val="false"/>
          <w:caps w:val="false"/>
          <w:smallCaps w:val="false"/>
          <w:color w:val="000000"/>
          <w:sz w:val="20"/>
        </w:rPr>
        <w:t>) applies.</w:t>
      </w:r>
    </w:p>
    <w:p>
      <w:pPr>
        <w:pStyle w:val="TextBody"/>
        <w:bidi w:val="0"/>
        <w:spacing w:before="240" w:after="240"/>
        <w:ind w:left="240" w:right="240" w:firstLine="720"/>
        <w:jc w:val="left"/>
        <w:rPr>
          <w:caps w:val="false"/>
          <w:smallCaps w:val="false"/>
          <w:color w:val="000000"/>
        </w:rPr>
      </w:pPr>
      <w:r>
        <w:rPr>
          <w:caps w:val="false"/>
          <w:smallCaps w:val="false"/>
          <w:color w:val="000000"/>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u w:val="single"/>
        </w:rPr>
        <w:t>Ameliorative Allocations</w:t>
      </w:r>
      <w:r>
        <w:rPr>
          <w:rFonts w:ascii="Times New Roman;Times;Serif" w:hAnsi="Times New Roman;Times;Serif"/>
          <w:b w:val="false"/>
          <w:i w:val="false"/>
          <w:caps w:val="false"/>
          <w:smallCaps w:val="false"/>
          <w:color w:val="000000"/>
          <w:sz w:val="20"/>
        </w:rPr>
        <w:t xml:space="preserve">. Any allocations made (as well as anticipated reversing or offsetting allocations to be made) pursuant to </w:t>
      </w:r>
      <w:r>
        <w:rPr>
          <w:rFonts w:ascii="Times New Roman;Times;Serif" w:hAnsi="Times New Roman;Times;Serif"/>
          <w:b w:val="false"/>
          <w:i w:val="false"/>
          <w:caps w:val="false"/>
          <w:smallCaps w:val="false"/>
          <w:sz w:val="20"/>
        </w:rPr>
        <w:t>‎‎Section 3.2(a)-‎(d) shall be taken into account in computing subsequent allocations pursuant to this Tax Annex, so that the net amount for any item so allocated and all other items allocated to each Member pursuant to this Tax Annex shall be equal, to the extent possible, to the net amount that would have been allocated to each Member pursuant to the provisions of this Tax Annex if those allocations had not occurred.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Other Allocation Rules</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u w:val="single"/>
        </w:rPr>
        <w:t>In General</w:t>
      </w:r>
      <w:r>
        <w:rPr>
          <w:rFonts w:ascii="Times New Roman;Times;Serif" w:hAnsi="Times New Roman;Times;Serif"/>
          <w:b w:val="false"/>
          <w:i w:val="false"/>
          <w:caps w:val="false"/>
          <w:smallCaps w:val="false"/>
          <w:color w:val="000000"/>
          <w:sz w:val="20"/>
        </w:rPr>
        <w:t xml:space="preserve">. Except as otherwise provided in this </w:t>
      </w:r>
      <w:r>
        <w:rPr>
          <w:rFonts w:ascii="Times New Roman;Times;Serif" w:hAnsi="Times New Roman;Times;Serif"/>
          <w:b w:val="false"/>
          <w:i w:val="false"/>
          <w:caps w:val="false"/>
          <w:smallCaps w:val="false"/>
          <w:sz w:val="20"/>
        </w:rPr>
        <w:t>‎Section 3.3, for U.S. federal income tax purposes, each Company item of income, gain, loss, deduction, and credit (collectively, “</w:t>
      </w:r>
      <w:r>
        <w:rPr>
          <w:rFonts w:ascii="Times New Roman;Times;Serif" w:hAnsi="Times New Roman;Times;Serif"/>
          <w:b w:val="false"/>
          <w:i w:val="false"/>
          <w:caps w:val="false"/>
          <w:smallCaps w:val="false"/>
          <w:sz w:val="20"/>
          <w:u w:val="single"/>
        </w:rPr>
        <w:t>Tax Items</w:t>
      </w:r>
      <w:r>
        <w:rPr>
          <w:rFonts w:ascii="Times New Roman;Times;Serif" w:hAnsi="Times New Roman;Times;Serif"/>
          <w:b w:val="false"/>
          <w:i w:val="false"/>
          <w:caps w:val="false"/>
          <w:smallCaps w:val="false"/>
          <w:sz w:val="20"/>
        </w:rPr>
        <w:t xml:space="preserve"> \t "‎3.3(a)”) shall be allocated among the Members in the same manner as its correlative item of income, gain, loss, deduction, and credit (as calculated for purposes of allocating Net Profits or Net Losses, including items allocated under ‎Section 3.2) is allocated pursuant to ‎Section 3.1 and ‎Section 3.2.</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u w:val="single"/>
        </w:rPr>
        <w:t>Code Section 704(c) Allocations</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sz w:val="20"/>
        </w:rPr>
        <w:t>Notwithstanding any provision of ‎Section 3.3(a) to the contrary, in accordance with Code section 704(c)(1)(A) (and the principles of that section) and Treas. Reg. § 1.704-3, Tax Items with respect to any property contributed to the capital of the Company, or after Company property has been revalued under Treas. Reg. § 1.704-1(b)(2)(iv)(</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shall, solely for U.S. federal income tax purposes, be allocated among the Members so as to take into account any variation between the adjusted basis of such Company property to the Company for U.S. federal income tax purposes and its value as so determined at the time of the contribution and/or revaluation of Company property. In making those allocations, the Company shall be permitted to use any methods and/or conventions permitted under Treas. Reg. § 1.704-3. Allocations pursuant to Section 3.3(a) and this Section 3.3(b) shall not affect, or in any way be taken into account in computing, any Member’s Capital Account or share of profit, loss, or other items, pursuant to any provision of this Tax Annex.</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u w:val="single"/>
        </w:rPr>
        <w:t>Modification of Allocations</w:t>
      </w:r>
      <w:r>
        <w:rPr>
          <w:rFonts w:ascii="Times New Roman;Times;Serif" w:hAnsi="Times New Roman;Times;Serif"/>
          <w:b w:val="false"/>
          <w:i w:val="false"/>
          <w:caps w:val="false"/>
          <w:smallCaps w:val="false"/>
          <w:color w:val="000000"/>
          <w:sz w:val="20"/>
        </w:rPr>
        <w:t xml:space="preserve">. The allocations set forth in </w:t>
      </w:r>
      <w:r>
        <w:rPr>
          <w:rFonts w:ascii="Times New Roman;Times;Serif" w:hAnsi="Times New Roman;Times;Serif"/>
          <w:b w:val="false"/>
          <w:i w:val="false"/>
          <w:caps w:val="false"/>
          <w:smallCaps w:val="false"/>
          <w:sz w:val="20"/>
        </w:rPr>
        <w:t>‎Section 3.1 and ‎Section 3.2 are intended to comply with certain requirements of the Regulations. The Company shall be authorized to make, in its reasonable discretion, appropriate amendments to the allocations of Net Profits and Net Losses pursuant to this Tax Annex in order to comply with Code section 704 or applicable Regulations. If the Company reasonably determines an allocation, other than the allocations that otherwise would be made pursuant to this Tax Annex, would more appropriately reflect the Members’ interests in the Company, the Company may, in its discretion, make such more appropriate allocations.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u w:val="single"/>
        </w:rPr>
        <w:t>Allocations in Respect of Varying Interest</w:t>
      </w:r>
      <w:r>
        <w:rPr>
          <w:rFonts w:ascii="Times New Roman;Times;Serif" w:hAnsi="Times New Roman;Times;Serif"/>
          <w:b w:val="false"/>
          <w:i w:val="false"/>
          <w:caps w:val="false"/>
          <w:smallCaps w:val="false"/>
          <w:color w:val="000000"/>
          <w:sz w:val="20"/>
        </w:rPr>
        <w:t xml:space="preserve">. If any Member’s interest in the Company varies (within the meaning of Code section 706(d)) within a Allocation Period, whether by reason of a Transfer of a Unit, redemption of a Unit by the Company, or otherwise, Net Profits and Net Losses for that Allocation Period shall be allocated so as to take into account such varying interests in accordance with Code section 706(d) using the daily </w:t>
      </w:r>
      <w:r>
        <w:rPr>
          <w:rFonts w:ascii="Times New Roman;Times;Serif" w:hAnsi="Times New Roman;Times;Serif"/>
          <w:b w:val="false"/>
          <w:i/>
          <w:caps w:val="false"/>
          <w:smallCaps w:val="false"/>
          <w:color w:val="000000"/>
          <w:sz w:val="20"/>
        </w:rPr>
        <w:t>pro ration</w:t>
      </w:r>
      <w:r>
        <w:rPr>
          <w:rFonts w:ascii="Times New Roman;Times;Serif" w:hAnsi="Times New Roman;Times;Serif"/>
          <w:b w:val="false"/>
          <w:i w:val="false"/>
          <w:caps w:val="false"/>
          <w:smallCaps w:val="false"/>
          <w:color w:val="000000"/>
          <w:sz w:val="20"/>
        </w:rPr>
        <w:t xml:space="preserve"> method and/or such other permissible method, methods, or conventions selected by the Company. Unless otherwise determined by the Company, in the case of a Transfer, the Company shall use the method, methods, or conventions selected by the transferor to the extent such method, methods, or conventions comply with Code section 706.</w:t>
      </w:r>
    </w:p>
    <w:p>
      <w:pPr>
        <w:pStyle w:val="TextBody"/>
        <w:bidi w:val="0"/>
        <w:spacing w:before="240" w:after="240"/>
        <w:ind w:left="240" w:right="240" w:firstLine="720"/>
        <w:jc w:val="left"/>
        <w:rPr>
          <w:caps w:val="false"/>
          <w:smallCaps w:val="false"/>
          <w:color w:val="000000"/>
        </w:rPr>
      </w:pPr>
      <w:r>
        <w:rPr>
          <w:caps w:val="false"/>
          <w:smallCaps w:val="false"/>
          <w:color w:val="000000"/>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u w:val="single"/>
        </w:rPr>
        <w:t>Allocation of Liabilities Under Code Section 752</w:t>
      </w:r>
      <w:r>
        <w:rPr>
          <w:rFonts w:ascii="Times New Roman;Times;Serif" w:hAnsi="Times New Roman;Times;Serif"/>
          <w:b w:val="false"/>
          <w:i w:val="false"/>
          <w:caps w:val="false"/>
          <w:smallCaps w:val="false"/>
          <w:color w:val="000000"/>
          <w:sz w:val="20"/>
        </w:rPr>
        <w:t>. Notwithstanding anything in the Agreement or this Tax Annex to the contrary, no Member will take, or permit any Affiliate to take, any action that would change the allocation of liabilities for purposes of Code section 752 without the consent of the Company.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u w:val="single"/>
        </w:rPr>
        <w:t>Allocations Related to Non-Compensatory Options</w:t>
      </w:r>
      <w:r>
        <w:rPr>
          <w:rFonts w:ascii="Times New Roman;Times;Serif" w:hAnsi="Times New Roman;Times;Serif"/>
          <w:b w:val="false"/>
          <w:i w:val="false"/>
          <w:caps w:val="false"/>
          <w:smallCaps w:val="false"/>
          <w:sz w:val="20"/>
        </w:rPr>
        <w:t>. If, as a result of an exercise of a non-compensatory option (as defined in Treas. Reg. § 1.721-2(f)), a Capital Account reallocation is required under Treas. Reg. § 1.704-1(b)(2)(iv)(s)(3), the Company shall make corrective allocations pursuant to Treas. Reg. § 1.704-1(b)(4)(x).</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Capital Accounts</w:t>
      </w:r>
      <w:r>
        <w:rPr>
          <w:rFonts w:ascii="Times New Roman;Times;Serif" w:hAnsi="Times New Roman;Times;Serif"/>
          <w:b w:val="false"/>
          <w:i w:val="false"/>
          <w:caps w:val="false"/>
          <w:smallCaps w:val="false"/>
          <w:color w:val="000000"/>
          <w:sz w:val="20"/>
        </w:rPr>
        <w:t xml:space="preserve">. A separate Capital Account shall be established and maintained for each Member in accordance with Treas. Reg. § 1.704-1(b)(2)(iv). The Company may maintain Capital Account sub-accounts for different classes of Units, and any provisions of this Tax Annex pertaining to Capital Account maintenance shall apply, </w:t>
      </w:r>
      <w:r>
        <w:rPr>
          <w:rFonts w:ascii="Times New Roman;Times;Serif" w:hAnsi="Times New Roman;Times;Serif"/>
          <w:b w:val="false"/>
          <w:i/>
          <w:caps w:val="false"/>
          <w:smallCaps w:val="false"/>
          <w:color w:val="000000"/>
          <w:sz w:val="20"/>
        </w:rPr>
        <w:t>mutatis mutandis</w:t>
      </w:r>
      <w:r>
        <w:rPr>
          <w:rFonts w:ascii="Times New Roman;Times;Serif" w:hAnsi="Times New Roman;Times;Serif"/>
          <w:b w:val="false"/>
          <w:i w:val="false"/>
          <w:caps w:val="false"/>
          <w:smallCaps w:val="false"/>
          <w:color w:val="000000"/>
          <w:sz w:val="20"/>
        </w:rPr>
        <w:t>, to those sub-accounts.</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IV</w:t>
      </w:r>
      <w:r>
        <w:rPr>
          <w:rFonts w:ascii="Times New Roman;Times;Serif" w:hAnsi="Times New Roman;Times;Serif"/>
          <w:b/>
          <w:i w:val="false"/>
          <w:caps/>
          <w:sz w:val="20"/>
        </w:rPr>
        <w:br/>
        <w:t>TAX RETURNS; INFORMATION; AUDITS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Company Tax Returns</w:t>
      </w:r>
      <w:r>
        <w:rPr>
          <w:rFonts w:ascii="Times New Roman;Times;Serif" w:hAnsi="Times New Roman;Times;Serif"/>
          <w:b w:val="false"/>
          <w:i w:val="false"/>
          <w:caps w:val="false"/>
          <w:smallCaps w:val="false"/>
          <w:color w:val="000000"/>
          <w:sz w:val="20"/>
        </w:rPr>
        <w:t>. The Company shall cause to be prepared and timely filed (taking into account available extensions) all federal, state, local, and non-U.S. tax returns of the Company for each year for which such returns are required to be filed and shall determine the appropriate treatment of each Tax Item of the Company and make all other determinations with respect to such tax returns.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Information to Be Provided by Members to Company</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u w:val="single"/>
        </w:rPr>
        <w:t>Notice of Audit or Tax Examination</w:t>
      </w:r>
      <w:r>
        <w:rPr>
          <w:rFonts w:ascii="Times New Roman;Times;Serif" w:hAnsi="Times New Roman;Times;Serif"/>
          <w:b w:val="false"/>
          <w:i w:val="false"/>
          <w:caps w:val="false"/>
          <w:smallCaps w:val="false"/>
          <w:color w:val="000000"/>
          <w:sz w:val="20"/>
        </w:rPr>
        <w:t>. Each Member shall notify the Company within five (5) days after receipt of any notice regarding an audit or tax examination of the Company and upon any request for material information related to the Company by U.S. federal, state, local, or other tax authorities. The Tax Representative shall keep the Members reasonably informed of the progress of any income tax audit or examination of the Company relating to the Company’s IRS Form 1065 (or any similar state or local forms) (each, a “</w:t>
      </w:r>
      <w:r>
        <w:rPr>
          <w:rFonts w:ascii="Times New Roman;Times;Serif" w:hAnsi="Times New Roman;Times;Serif"/>
          <w:b w:val="false"/>
          <w:i w:val="false"/>
          <w:caps w:val="false"/>
          <w:smallCaps w:val="false"/>
          <w:color w:val="000000"/>
          <w:sz w:val="20"/>
          <w:u w:val="single"/>
        </w:rPr>
        <w:t>Flow-Through Tax Audit</w:t>
      </w:r>
      <w:r>
        <w:rPr>
          <w:rFonts w:ascii="Times New Roman;Times;Serif" w:hAnsi="Times New Roman;Times;Serif"/>
          <w:b w:val="false"/>
          <w:i w:val="false"/>
          <w:caps w:val="false"/>
          <w:smallCaps w:val="false"/>
          <w:sz w:val="20"/>
        </w:rPr>
        <w:t>”), including providing copies of all material filings or submissions in connection therewith.</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u w:val="single"/>
        </w:rPr>
        <w:t>Other Relevant Tax Information</w:t>
      </w:r>
      <w:r>
        <w:rPr>
          <w:rFonts w:ascii="Times New Roman;Times;Serif" w:hAnsi="Times New Roman;Times;Serif"/>
          <w:b w:val="false"/>
          <w:i w:val="false"/>
          <w:caps w:val="false"/>
          <w:smallCaps w:val="false"/>
          <w:color w:val="000000"/>
          <w:sz w:val="20"/>
        </w:rPr>
        <w:t>. Each Member shall provide to the Company, upon request, information about the tax basis of assets contributed by it to the Company, such other tax information as is reasonably requested by the Company to allow the Company to prepare its financial reports or any tax returns, and such other information as the Company requests that is reasonably necessary to the Company.</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Member Tax Returns</w:t>
      </w:r>
      <w:r>
        <w:rPr>
          <w:rFonts w:ascii="Times New Roman;Times;Serif" w:hAnsi="Times New Roman;Times;Serif"/>
          <w:b w:val="false"/>
          <w:i/>
          <w:caps w:val="false"/>
          <w:smallCaps w:val="false"/>
          <w:color w:val="000000"/>
          <w:sz w:val="20"/>
        </w:rPr>
        <w:t xml:space="preserve">. </w:t>
      </w:r>
      <w:r>
        <w:rPr>
          <w:rFonts w:ascii="Times New Roman;Times;Serif" w:hAnsi="Times New Roman;Times;Serif"/>
          <w:b w:val="false"/>
          <w:i w:val="false"/>
          <w:caps w:val="false"/>
          <w:smallCaps w:val="false"/>
          <w:sz w:val="20"/>
        </w:rPr>
        <w:t>Notwithstanding anything to the contrary in this Tax Annex or any right to information under the Act, with respect to the financial statements or tax returns of a Member or its Affiliates, none of the Company, the other Member, such other Member’s Affiliates or any of their respective Representatives, shall be entitled to review such financial statements or tax returns for any purpose, including in connection with any proceeding or other dispute (whether involving the Company, between the Members, or involving any other Persons).</w:t>
      </w:r>
    </w:p>
    <w:p>
      <w:pPr>
        <w:pStyle w:val="TextBody"/>
        <w:bidi w:val="0"/>
        <w:spacing w:before="240" w:after="240"/>
        <w:ind w:left="240" w:right="24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Tax Representative</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u w:val="single"/>
        </w:rPr>
        <w:t>Appointment and Replacement of Tax Representative</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u w:val="single"/>
        </w:rPr>
        <w:t>Tax Representative</w:t>
      </w:r>
      <w:r>
        <w:rPr>
          <w:rFonts w:ascii="Times New Roman;Times;Serif" w:hAnsi="Times New Roman;Times;Serif"/>
          <w:b w:val="false"/>
          <w:i w:val="false"/>
          <w:caps w:val="false"/>
          <w:smallCaps w:val="false"/>
          <w:color w:val="000000"/>
          <w:sz w:val="20"/>
        </w:rPr>
        <w:t>. The Company hereby initially designates the Company to serve as the Tax Representative. If the Company does not or cannot act as the Tax Representative, the Company shall designate another Person to act as the Tax Representative and may remove, replace, or revoke the designation of that Person, or require that Person to resign.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u w:val="single"/>
        </w:rPr>
        <w:t>Designated Individual</w:t>
      </w:r>
      <w:r>
        <w:rPr>
          <w:rFonts w:ascii="Times New Roman;Times;Serif" w:hAnsi="Times New Roman;Times;Serif"/>
          <w:b w:val="false"/>
          <w:i w:val="false"/>
          <w:caps w:val="false"/>
          <w:smallCaps w:val="false"/>
          <w:color w:val="000000"/>
          <w:sz w:val="20"/>
        </w:rPr>
        <w:t>. If the Tax Representative is not an individual, the Company shall appoint a “designated individual” for each taxable year (as described in Treas. Reg. § 301.6223-1(b)(3)(ii)) (a “</w:t>
      </w:r>
      <w:r>
        <w:rPr>
          <w:rFonts w:ascii="Times New Roman;Times;Serif" w:hAnsi="Times New Roman;Times;Serif"/>
          <w:b w:val="false"/>
          <w:i w:val="false"/>
          <w:caps w:val="false"/>
          <w:smallCaps w:val="false"/>
          <w:color w:val="000000"/>
          <w:sz w:val="20"/>
          <w:u w:val="single"/>
        </w:rPr>
        <w:t>Designated Individual</w:t>
      </w:r>
      <w:r>
        <w:rPr>
          <w:rFonts w:ascii="Times New Roman;Times;Serif" w:hAnsi="Times New Roman;Times;Serif"/>
          <w:b w:val="false"/>
          <w:i w:val="false"/>
          <w:caps w:val="false"/>
          <w:smallCaps w:val="false"/>
          <w:sz w:val="20"/>
        </w:rPr>
        <w:t>”). The Tax Representative may remove, replace, or revoke the designation of that individual, or require that individual to resign.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u w:val="single"/>
        </w:rPr>
        <w:t>Approval by Members</w:t>
      </w:r>
      <w:r>
        <w:rPr>
          <w:rFonts w:ascii="Times New Roman;Times;Serif" w:hAnsi="Times New Roman;Times;Serif"/>
          <w:b w:val="false"/>
          <w:i w:val="false"/>
          <w:caps w:val="false"/>
          <w:smallCaps w:val="false"/>
          <w:color w:val="000000"/>
          <w:sz w:val="20"/>
        </w:rPr>
        <w:t>. Each Member agrees to execute, certify, acknowledge, deliver, swear to, file, and record at the appropriate public offices such documents as may be deemed necessary or appropriate to evidence the appointments or designations of the Tax Representative and Designated Individual, including statements required to be filed with the tax returns of the Company in order to give effect to the designation of the Tax Representative or Designated Individual.</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u w:val="single"/>
        </w:rPr>
        <w:t>Authority of the Tax Representative; Delegation of Authority</w:t>
      </w:r>
      <w:r>
        <w:rPr>
          <w:rFonts w:ascii="Times New Roman;Times;Serif" w:hAnsi="Times New Roman;Times;Serif"/>
          <w:b w:val="false"/>
          <w:i w:val="false"/>
          <w:caps w:val="false"/>
          <w:smallCaps w:val="false"/>
          <w:color w:val="000000"/>
          <w:sz w:val="20"/>
        </w:rPr>
        <w:t>. The Tax Representative shall have all of the rights, duties, powers, and obligations provided for under the Code, Regulations, and other applicable guidance. If a Person other than the Company is the Tax Representative, the Tax Representative shall in all cases act solely at the direction of the Company. The Tax Representative may delegate its authority under this Section 4.4(b) to another person, including the Designated Individual. Any such delegate shall act solely at the direction of the Company.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u w:val="single"/>
        </w:rPr>
        <w:t>Costs and Indemnification of Tax Representative and Designated Individual</w:t>
      </w:r>
      <w:r>
        <w:rPr>
          <w:rFonts w:ascii="Times New Roman;Times;Serif" w:hAnsi="Times New Roman;Times;Serif"/>
          <w:b w:val="false"/>
          <w:i w:val="false"/>
          <w:caps w:val="false"/>
          <w:smallCaps w:val="false"/>
          <w:color w:val="000000"/>
          <w:sz w:val="20"/>
        </w:rPr>
        <w:t>. The Company shall pay, or to the extent the Tax Representative or Designated Individual pays, indemnify and reimburse, to the fullest extent permitted by applicable Law, the Tax Representative or Designated Individual for all reasonable out-of-pocket costs and expenses, including legal and accounting fees (as such fees are incurred) and any claims incurred in connection with any tax audit or judicial review proceeding with respect to the tax liability of the Company.</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Tax Audits</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u w:val="single"/>
        </w:rPr>
        <w:t>Determinations with Respect to Audits and Other Tax Controversies</w:t>
      </w:r>
      <w:r>
        <w:rPr>
          <w:rFonts w:ascii="Times New Roman;Times;Serif" w:hAnsi="Times New Roman;Times;Serif"/>
          <w:b w:val="false"/>
          <w:i w:val="false"/>
          <w:caps w:val="false"/>
          <w:smallCaps w:val="false"/>
          <w:color w:val="000000"/>
          <w:sz w:val="20"/>
        </w:rPr>
        <w:t>. Except to the extent otherwise required by applicable Law and subject to Section 4.6, the Company (acting directly and/or through the Tax Representative or Designated Individual) shall have the sole authority to make all decisions and determinations with respect to, and shall have sole authority with respect to the conduct of, tax audits or other tax controversies with respect to the Company, and any action taken by the Company (acting directly and/or through the Tax Representative or Designated Individual) in connection with any such audits or controversies shall be binding upon the Company and the Members. No Member shall take any action or make any filing inconsistent with the actions of the Company and/or the Tax Representative.</w:t>
      </w:r>
    </w:p>
    <w:p>
      <w:pPr>
        <w:pStyle w:val="TextBody"/>
        <w:bidi w:val="0"/>
        <w:spacing w:before="240" w:after="240"/>
        <w:ind w:left="240" w:right="240" w:firstLine="720"/>
        <w:jc w:val="left"/>
        <w:rPr>
          <w:caps w:val="false"/>
          <w:smallCaps w:val="false"/>
          <w:color w:val="000000"/>
        </w:rPr>
      </w:pPr>
      <w:r>
        <w:rPr>
          <w:caps w:val="false"/>
          <w:smallCaps w:val="false"/>
          <w:color w:val="000000"/>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u w:val="single"/>
        </w:rPr>
        <w:t>Determinations with Respect to Certain Audit-Related Elections</w:t>
      </w:r>
      <w:r>
        <w:rPr>
          <w:rFonts w:ascii="Times New Roman;Times;Serif" w:hAnsi="Times New Roman;Times;Serif"/>
          <w:b w:val="false"/>
          <w:i w:val="false"/>
          <w:caps w:val="false"/>
          <w:smallCaps w:val="false"/>
          <w:color w:val="000000"/>
          <w:sz w:val="20"/>
        </w:rPr>
        <w:t>. Subject to Section 4.6, the Company (acting directly and/or through the Tax Representative) shall have the sole authority to determine whether to cause the Company to make any elections in connection with tax audits and other tax controversies, including a Push Out Election with respect to any adjustment that could result in an imputed underpayment (within the meaning of Code section 6225) (an “</w:t>
      </w:r>
      <w:r>
        <w:rPr>
          <w:rFonts w:ascii="Times New Roman;Times;Serif" w:hAnsi="Times New Roman;Times;Serif"/>
          <w:b w:val="false"/>
          <w:i w:val="false"/>
          <w:caps w:val="false"/>
          <w:smallCaps w:val="false"/>
          <w:color w:val="000000"/>
          <w:sz w:val="20"/>
          <w:u w:val="single"/>
        </w:rPr>
        <w:t>Imputed Underpayment</w:t>
      </w:r>
      <w:r>
        <w:rPr>
          <w:rFonts w:ascii="Times New Roman;Times;Serif" w:hAnsi="Times New Roman;Times;Serif"/>
          <w:b w:val="false"/>
          <w:i w:val="false"/>
          <w:caps w:val="false"/>
          <w:smallCaps w:val="false"/>
          <w:sz w:val="20"/>
        </w:rPr>
        <w:t>”), and the election “out” under Code section 6221(b).</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u w:val="single"/>
        </w:rPr>
        <w:t>Responsibility for Payment of Tax; Former Members</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u w:val="single"/>
        </w:rPr>
        <w:t>Imputed Underpayment Share</w:t>
      </w:r>
      <w:r>
        <w:rPr>
          <w:rFonts w:ascii="Times New Roman;Times;Serif" w:hAnsi="Times New Roman;Times;Serif"/>
          <w:b w:val="false"/>
          <w:i w:val="false"/>
          <w:caps w:val="false"/>
          <w:smallCaps w:val="false"/>
          <w:color w:val="000000"/>
          <w:sz w:val="20"/>
        </w:rPr>
        <w:t>. To the extent the Company is liable for any Imputed Underpayment, the Company shall determine the liability of the Members for a share of such Imputed Underpayment, taking into account the relevant facts and circumstances and the actions and status of the Members (including those described in Code section 6225(c)) (such share, an “</w:t>
      </w:r>
      <w:r>
        <w:rPr>
          <w:rFonts w:ascii="Times New Roman;Times;Serif" w:hAnsi="Times New Roman;Times;Serif"/>
          <w:b w:val="false"/>
          <w:i w:val="false"/>
          <w:caps w:val="false"/>
          <w:smallCaps w:val="false"/>
          <w:color w:val="000000"/>
          <w:sz w:val="20"/>
          <w:u w:val="single"/>
        </w:rPr>
        <w:t>Imputed Underpayment Share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u w:val="single"/>
        </w:rPr>
        <w:t>Payment of Imputed Underpayment Share</w:t>
      </w:r>
      <w:r>
        <w:rPr>
          <w:rFonts w:ascii="Times New Roman;Times;Serif" w:hAnsi="Times New Roman;Times;Serif"/>
          <w:b w:val="false"/>
          <w:i w:val="false"/>
          <w:caps w:val="false"/>
          <w:smallCaps w:val="false"/>
          <w:color w:val="000000"/>
          <w:sz w:val="20"/>
        </w:rPr>
        <w:t>. The Company may (1) require a Member who is liable for an Imputed Underpayment Share to pay the amount of its Imputed Underpayment Share to the Company within ten (10) days after the date on which the Company notifies the Member (with the payment to be made in the manner required by the notice) and/or (2) reduce future distributions to the Member, such that the amount determined under clause (1) and (2) equals the Member’s Imputed Underpayment Share. If a Member fails to pay any amount that it is required to pay the Company in respect of an Imputed Underpayment Share, that amount shall be treated as a loan to the Member, bearing interest at twelve percent (12%) annually (which interest shall compound daily and increase the Member’s Imputed Underpayment Share). Such loan shall be repayable on demand by the Company. If the Member fails to repay the loan upon demand, the full balance of the loan shall be immediately due (including accrued but unpaid interest), and the Company shall have the right to collect the balance in any manner it determines, including by reducing future distributions to that Member.</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Tax Approval Required</w:t>
      </w:r>
      <w:r>
        <w:rPr>
          <w:rFonts w:ascii="Times New Roman;Times;Serif" w:hAnsi="Times New Roman;Times;Serif"/>
          <w:b w:val="false"/>
          <w:i w:val="false"/>
          <w:caps w:val="false"/>
          <w:smallCaps w:val="false"/>
          <w:sz w:val="20"/>
        </w:rPr>
        <w:t>. Notwithstanding anything in this Tax Annex or the Agreement to the contrary, for so long as the G-III Member owns at least twenty-five percent (25%) of the issued and outstanding Units of the Company and for so long as the WHP Member owns at least twenty-five percent (25%) of the issued and outstanding Units of the Company (in each case, as equitably adjusted for any split, or other recapitalization or reclassification effected after the Effective Date), the Company shall:</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permit such Member to participate in any Flow-Through Tax Audit, at such Member’s own expense;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keep such Member reasonably informed as to the status of any Flow-Through Tax Audit, including by providing copies of all material communication and submissions made in connection with each Flow-Through Tax Audit;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not settle or cause to be settled without such Member’s consent (such consent not to be unreasonably withheld, conditioned or delayed) any material Flow-Through Tax Audit; and</w:t>
      </w:r>
    </w:p>
    <w:p>
      <w:pPr>
        <w:pStyle w:val="TextBody"/>
        <w:bidi w:val="0"/>
        <w:spacing w:before="240" w:after="240"/>
        <w:ind w:left="240" w:right="240" w:firstLine="144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use commercially reasonable efforts to deliver draft copies of tax returns to such Member for its review, comment and approval at least fifteen (15) days before the applicable filing deadline and shall consider in good faith all reasonable comments requested by such Member in writing within ten (10) days of the Member’s receipt of such draft copy of tax return that is not specifically provided for in this Tax Annex or in the Agreement.</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written comments on a draft tax return timely provided under Section 4.6(d), a Member notifies the Company that the Member anticipates that a tax return position would be disproportionate and materially adverse to that Member relative to the other Member, then, unless no other position is permissible under applicable law, the Company shall not take that position if it would reasonably be expected to be disproportionate and materially adverse to that Member relative to the other Member.</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Former Members; Survival; Amendment</w:t>
      </w:r>
      <w:r>
        <w:rPr>
          <w:rFonts w:ascii="Times New Roman;Times;Serif" w:hAnsi="Times New Roman;Times;Serif"/>
          <w:b w:val="false"/>
          <w:i w:val="false"/>
          <w:caps w:val="false"/>
          <w:smallCaps w:val="false"/>
          <w:color w:val="000000"/>
          <w:sz w:val="20"/>
        </w:rPr>
        <w:t xml:space="preserve">. For purposes of Section 2.3, Article III and </w:t>
      </w:r>
      <w:r>
        <w:rPr>
          <w:rFonts w:ascii="Times New Roman;Times;Serif" w:hAnsi="Times New Roman;Times;Serif"/>
          <w:b w:val="false"/>
          <w:i w:val="false"/>
          <w:caps w:val="false"/>
          <w:smallCaps w:val="false"/>
          <w:sz w:val="20"/>
        </w:rPr>
        <w:t>‎Article IV, the term “Member” shall include a former Member. The obligations of each Member and former Member under Section 2.3, Article III and this ‎Article IV shall survive the Transfer by such Member of its Units (or withdrawal by a Member or redemption of a Member’s Units) and the dissolution of the Company until ninety (90) days after the applicable statute of limitations.</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w:t>
      </w:r>
      <w:r>
        <w:rPr>
          <w:rFonts w:ascii="Times New Roman;Times;Serif" w:hAnsi="Times New Roman;Times;Serif"/>
          <w:b/>
          <w:i w:val="false"/>
          <w:caps/>
          <w:sz w:val="20"/>
        </w:rPr>
        <w:br/>
        <w:t>TRANSFERS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Limitation of Transfers to Ensure Partnership Classification</w:t>
      </w:r>
      <w:r>
        <w:rPr>
          <w:rFonts w:ascii="Times New Roman;Times;Serif" w:hAnsi="Times New Roman;Times;Serif"/>
          <w:b w:val="false"/>
          <w:i w:val="false"/>
          <w:caps w:val="false"/>
          <w:smallCaps w:val="false"/>
          <w:color w:val="000000"/>
          <w:sz w:val="20"/>
        </w:rPr>
        <w:t xml:space="preserve">. Notwithstanding anything in this Tax Annex or the Agreement to the contrary, no Person shall Transfer any Units if such Transfer (individually or together with all other Transfers of Units) could create a material risk that the Company would be classified as a “publicly traded partnership” within the meaning of Section 7704(b) of the Code and Treasury Regulations thereunder or otherwise as an association taxable as a corporation for U.S. federal income tax purposes. Any action taken in violation of this Section 5.1 shall be </w:t>
      </w:r>
      <w:r>
        <w:rPr>
          <w:rFonts w:ascii="Times New Roman;Times;Serif" w:hAnsi="Times New Roman;Times;Serif"/>
          <w:b w:val="false"/>
          <w:i/>
          <w:caps w:val="false"/>
          <w:smallCaps w:val="false"/>
          <w:color w:val="000000"/>
          <w:sz w:val="20"/>
        </w:rPr>
        <w:t>void ab initio</w:t>
      </w:r>
      <w:r>
        <w:rPr>
          <w:rFonts w:ascii="Times New Roman;Times;Serif" w:hAnsi="Times New Roman;Times;Serif"/>
          <w:b w:val="false"/>
          <w:i w:val="false"/>
          <w:caps w:val="false"/>
          <w:smallCaps w:val="false"/>
          <w:color w:val="000000"/>
          <w:sz w:val="20"/>
        </w:rPr>
        <w:t xml:space="preserve"> and of no force or effect whatsoever.</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VI</w:t>
      </w:r>
      <w:r>
        <w:rPr>
          <w:rFonts w:ascii="Times New Roman;Times;Serif" w:hAnsi="Times New Roman;Times;Serif"/>
          <w:b/>
          <w:i w:val="false"/>
          <w:caps/>
          <w:sz w:val="20"/>
        </w:rPr>
        <w:br/>
        <w:t>Miscellaneous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Allocation Period</w:t>
      </w:r>
      <w:r>
        <w:rPr>
          <w:rFonts w:ascii="Times New Roman;Times;Serif" w:hAnsi="Times New Roman;Times;Serif"/>
          <w:b w:val="false"/>
          <w:i w:val="false"/>
          <w:caps w:val="false"/>
          <w:smallCaps w:val="false"/>
          <w:sz w:val="20"/>
        </w:rPr>
        <w:t>” means, subject to Code section 706, the calendar year or any other period selected by the Company.</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Value</w:t>
      </w:r>
      <w:r>
        <w:rPr>
          <w:rFonts w:ascii="Times New Roman;Times;Serif" w:hAnsi="Times New Roman;Times;Serif"/>
          <w:b w:val="false"/>
          <w:i w:val="false"/>
          <w:caps w:val="false"/>
          <w:smallCaps w:val="false"/>
          <w:sz w:val="20"/>
        </w:rPr>
        <w:t xml:space="preserve">” means, with respect to any asset of the Company, the adjusted basis of such asset for federal income tax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initial Asset Value of any asset (other than cash) contributed or deemed contributed by a Member to the Company shall be the gross Fair Market Value of such asset at the time of the contribution or deemed contribution, as determined by the Company;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Asset Value of each asset (other than cash) shall be adjusted to equal its respective gross Fair Market Value, as determined by the Company, if required or permitted, in</w:t>
      </w:r>
    </w:p>
    <w:p>
      <w:pPr>
        <w:pStyle w:val="TextBody"/>
        <w:bidi w:val="0"/>
        <w:spacing w:before="240" w:after="240"/>
        <w:ind w:left="240" w:right="240" w:firstLine="72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case, by Treas. Reg. § 1.704-1(b)(2)(iv) (or other applicable law) and, in the case of an adjustment that is not required, the Company determines such an adjustment is necessary or appropriate to reflect the relative economic interests of the Members in the Company;</w:t>
      </w:r>
    </w:p>
    <w:p>
      <w:pPr>
        <w:pStyle w:val="TextBody"/>
        <w:bidi w:val="0"/>
        <w:spacing w:before="0" w:after="240"/>
        <w:ind w:left="0" w:right="0" w:firstLine="9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Asset Value of any asset (other than cash) distributed to any Member shall be the gross Fair Market Value of such asset on the date of distribution, as determined by the Company; and</w:t>
      </w:r>
    </w:p>
    <w:p>
      <w:pPr>
        <w:pStyle w:val="TextBody"/>
        <w:bidi w:val="0"/>
        <w:spacing w:before="0" w:after="240"/>
        <w:ind w:left="0" w:right="0" w:firstLine="9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Asset Value of each asset (other than cash) shall be increased or decreased to reflect any adjustment to the adjusted basis of such asset pursuant to Code section 734(b) or Code section 743(b), but only to the extent that such adjustment is taken into account in determining Capital Accounts pursuant to Treas. Reg. § 1.704-1(b)(2)(iv)(</w:t>
      </w:r>
      <w:r>
        <w:rPr>
          <w:rFonts w:ascii="Times New Roman;Times;Serif" w:hAnsi="Times New Roman;Times;Serif"/>
          <w:b w:val="false"/>
          <w:i/>
          <w:caps w:val="false"/>
          <w:smallCaps w:val="false"/>
          <w:sz w:val="20"/>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Asset Values shall not be adjusted pursuant to this paragraph ‎(iv) to the extent that the Company determines that an adjustment pursuant to paragraph ‎(ii) of this definition of Asset Value is necessary or appropriate in connection with a transaction that would otherwise result in an adjustment pursuant to this paragraph ‎(iv).</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Asset Value of an asset has been determined or adjusted pursuant to paragraph ‎(i), ‎(ii), or ‎(iv) of this definition of Asset Value, then such Asset Value shall thereafter be adjusted by the Depreciation taken into account with respect to such asset for purposes of computing Net Profits and Net Losses.</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Account</w:t>
      </w:r>
      <w:r>
        <w:rPr>
          <w:rFonts w:ascii="Times New Roman;Times;Serif" w:hAnsi="Times New Roman;Times;Serif"/>
          <w:b w:val="false"/>
          <w:i w:val="false"/>
          <w:caps w:val="false"/>
          <w:smallCaps w:val="false"/>
          <w:sz w:val="20"/>
        </w:rPr>
        <w:t>” means, with respect to each Member, the account maintained for such Member in accordance with the provisions of this Tax Annex.</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All references in this Tax Annex to sections of the Code shall include any corresponding provision or provisions of succeeding Law.</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Minimum Gain</w:t>
      </w:r>
      <w:r>
        <w:rPr>
          <w:rFonts w:ascii="Times New Roman;Times;Serif" w:hAnsi="Times New Roman;Times;Serif"/>
          <w:b w:val="false"/>
          <w:i w:val="false"/>
          <w:caps w:val="false"/>
          <w:smallCaps w:val="false"/>
          <w:sz w:val="20"/>
        </w:rPr>
        <w:t>” has the meaning given to the term “partnership minimum gain” in Treas. Reg. §§ 1.704-2(b)(2) and 1.704-2(d).</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Depreciation</w:t>
      </w:r>
      <w:r>
        <w:rPr>
          <w:rFonts w:ascii="Times New Roman;Times;Serif" w:hAnsi="Times New Roman;Times;Serif"/>
          <w:b w:val="false"/>
          <w:i w:val="false"/>
          <w:caps w:val="false"/>
          <w:smallCaps w:val="false"/>
          <w:sz w:val="20"/>
        </w:rPr>
        <w:t xml:space="preserve">” means, for each Allocation Period, an amount equal to the depreciation, amortization, or other cost recovery deduction allowable for federal income tax purposes with respect to an asset for such Allocation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Asset Value of an asset differs from its adjusted basis for federal income tax purposes at the beginning of such Allocation Period, Depreciation shall be determined in accordance with Treas. Reg. § 1.704-1(b)(2)(iv)(</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3</w:t>
      </w:r>
      <w:r>
        <w:rPr>
          <w:rFonts w:ascii="Times New Roman;Times;Serif" w:hAnsi="Times New Roman;Times;Serif"/>
          <w:b w:val="false"/>
          <w:i w:val="false"/>
          <w:caps w:val="false"/>
          <w:smallCaps w:val="false"/>
          <w:sz w:val="20"/>
        </w:rPr>
        <w:t>) or Treas. Reg. § 1.704-3(d)(2), as appropriate.</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 Nonrecourse Debt</w:t>
      </w:r>
      <w:r>
        <w:rPr>
          <w:rFonts w:ascii="Times New Roman;Times;Serif" w:hAnsi="Times New Roman;Times;Serif"/>
          <w:b w:val="false"/>
          <w:i w:val="false"/>
          <w:caps w:val="false"/>
          <w:smallCaps w:val="false"/>
          <w:sz w:val="20"/>
        </w:rPr>
        <w:t>” has the meaning given to the term “partner nonrecourse debt” in Treas. Reg. § 1.704-2(b)(4).</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 Nonrecourse Debt Minimum Gain</w:t>
      </w:r>
      <w:r>
        <w:rPr>
          <w:rFonts w:ascii="Times New Roman;Times;Serif" w:hAnsi="Times New Roman;Times;Serif"/>
          <w:b w:val="false"/>
          <w:i w:val="false"/>
          <w:caps w:val="false"/>
          <w:smallCaps w:val="false"/>
          <w:sz w:val="20"/>
        </w:rPr>
        <w:t>” means, with respect to each Member Nonrecourse Debt, an amount equal to the Company Minimum Gain that would result if such Member Nonrecourse Debt were treated as a nonrecourse liability, determined in accordance with Treas. Reg. § 1.704-2(i)(3).</w:t>
      </w:r>
    </w:p>
    <w:p>
      <w:pPr>
        <w:pStyle w:val="TextBody"/>
        <w:bidi w:val="0"/>
        <w:spacing w:before="240" w:after="240"/>
        <w:ind w:left="240" w:right="240" w:firstLine="72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 Nonrecourse Deduction</w:t>
      </w:r>
      <w:r>
        <w:rPr>
          <w:rFonts w:ascii="Times New Roman;Times;Serif" w:hAnsi="Times New Roman;Times;Serif"/>
          <w:b w:val="false"/>
          <w:i w:val="false"/>
          <w:caps w:val="false"/>
          <w:smallCaps w:val="false"/>
          <w:sz w:val="20"/>
        </w:rPr>
        <w:t>” has the meaning given to the term “partner nonrecourse deduction” in Treas. Reg. §§ 1.704-2(i)(l) and 1.704-2(i)(2).</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Profits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Net Losses</w:t>
      </w:r>
      <w:r>
        <w:rPr>
          <w:rFonts w:ascii="Times New Roman;Times;Serif" w:hAnsi="Times New Roman;Times;Serif"/>
          <w:b w:val="false"/>
          <w:i w:val="false"/>
          <w:caps w:val="false"/>
          <w:smallCaps w:val="false"/>
          <w:sz w:val="20"/>
        </w:rPr>
        <w:t>” mean, for each Allocation Period, an amount equal to the Company’s taxable income or loss for such Allocation Period, determined in accordance with Code section 703(a) (but including in taxable income or loss, for this purpose, all items of income, gain, loss, deduction, or credit required to be stated separately pursuant to Code section 703(a)(1)), with the following adjustments: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income of the Company exempt from federal income tax and not otherwise taken into account in computing Net Profits or Net Losses pursuant to this definition shall be added to such taxable income or loss;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expenditures of the Company described in Code section 705(a)(2)(B) (or treated as expenditures described in Code section 705(a)(2)(B) pursuant to Treas. Reg. § 1.704-1(b)(2)(iv)(</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and not otherwise taken into account in computing Net Profits or Net Losses pursuant to this definition shall be subtracted from such taxable income or loss;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Asset Value of any asset of the Company is adjusted in accordance with clause (ii) or clause (iii) of the definition of “Asset Value,” the amount of such adjustment shall be taken into account as gain or loss from the disposition of such asset for purposes of computing Net Profits or Net Losses;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gain or loss resulting from any disposition of any asset of the Company with respect to which gain or loss is recognized for federal income tax purposes shall be computed by reference to the Asset Value of the asset disposed of, notwithstanding that the adjusted tax basis of such asset differs from its Asset Value;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lieu of the depreciation, amortization, and other cost recovery deductions taken into account in computing such taxable income or loss, there shall be taken into account Depreciation for such Allocation Period;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amount of any adjustment required pursuant to Treas. Reg. § 1.704-1(b)(2)(iv)(m) shall be treated as an item of gain (if the adjustment increases the basis of the asset) or loss (if the adjustment decreases the basis of the asset) from the disposition of the asset and shall be taken into account for purposes of computing Net Profits and Net Losses;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notwithstanding any other provision of this definition of Net Profits and Net Losses, any items that are allocated pursuant to ‎Section 3.2 shall not be taken into account in computing Net Profits or Net Losses, but shall be determined by applying rules analogous to those set forth in paragraphs (1) through (6) above;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where appropriate, references to Net Profits or Net Losses shall refer to specific items of income, gain, loss, deduction, and credit comprising Net Profits or Net Losses.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Deductions</w:t>
      </w:r>
      <w:r>
        <w:rPr>
          <w:rFonts w:ascii="Times New Roman;Times;Serif" w:hAnsi="Times New Roman;Times;Serif"/>
          <w:b w:val="false"/>
          <w:i w:val="false"/>
          <w:caps w:val="false"/>
          <w:smallCaps w:val="false"/>
          <w:sz w:val="20"/>
        </w:rPr>
        <w:t>” has the meaning set forth in Treas. Reg. § 1.704-2(b)(1).</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Push Out Election</w:t>
      </w:r>
      <w:r>
        <w:rPr>
          <w:rFonts w:ascii="Times New Roman;Times;Serif" w:hAnsi="Times New Roman;Times;Serif"/>
          <w:b w:val="false"/>
          <w:i w:val="false"/>
          <w:caps w:val="false"/>
          <w:smallCaps w:val="false"/>
          <w:sz w:val="20"/>
        </w:rPr>
        <w:t>” means the election under Code section 6226 (or any similar provision of state or local law) to “push out” an adjustment to the Members or former Members, including filing IRS Form 8988 (</w:t>
      </w:r>
      <w:r>
        <w:rPr>
          <w:rFonts w:ascii="Times New Roman;Times;Serif" w:hAnsi="Times New Roman;Times;Serif"/>
          <w:b w:val="false"/>
          <w:i/>
          <w:caps w:val="false"/>
          <w:smallCaps w:val="false"/>
          <w:sz w:val="20"/>
        </w:rPr>
        <w:t>Election for Alternative to Payment of the Imputed Underpayment</w:t>
      </w:r>
      <w:r>
        <w:rPr>
          <w:rFonts w:ascii="Times New Roman;Times;Serif" w:hAnsi="Times New Roman;Times;Serif"/>
          <w:b w:val="false"/>
          <w:i w:val="false"/>
          <w:caps w:val="false"/>
          <w:smallCaps w:val="false"/>
          <w:sz w:val="20"/>
        </w:rPr>
        <w:t>), or any successor or similar form, and taking any other action necessary or appropriate to give effect to such election.</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means the Treasury regulations, including temporary regulations and, to the extent taxpayers are permitted to rely on them, proposed regulations, promulgated under the Code, as such regulations may be amended from time to time (including corresponding provisions of succeeding regulations). References to “Treas. Reg. §” are to the sections of the Regulations.</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Action</w:t>
      </w:r>
      <w:r>
        <w:rPr>
          <w:rFonts w:ascii="Times New Roman;Times;Serif" w:hAnsi="Times New Roman;Times;Serif"/>
          <w:b w:val="false"/>
          <w:i w:val="false"/>
          <w:caps w:val="false"/>
          <w:smallCaps w:val="false"/>
          <w:sz w:val="20"/>
        </w:rPr>
        <w:t>” means any tax-related action, decision, or determination by or with respect to the Company or any Subsidiary of the Company. Without limiting the generality of the preceding sentence, the following shall be Tax Actions: (a) any action, decision, or determination taken or made (i) pursuant to discretion granted to the Company or the Company under the terms of this Tax Annex, the Agreement (or any agreement related to the Company), (ii) by a Person in its capacity as the Tax Representative or Designated Individual, (iii) with respect to the conduct or settlement of any tax-related audit or proceeding, (iv) with respect to preparation and filing of any tax return of the Company or any subsidiary of the Company, (b) any modification to the allocations pursuant to ‎‎Section 3.2 or ‎Section 3.3, and (c) any determination made by the Company pursuant to (or other action taken in accordance with) Article VI of the Agreement or ‎Article II. For purposes of this definition, any failure to take any action, make any decision, or make any determination shall be treated as an action, decision, or determination, respectively.</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Item</w:t>
      </w:r>
      <w:r>
        <w:rPr>
          <w:rFonts w:ascii="Times New Roman;Times;Serif" w:hAnsi="Times New Roman;Times;Serif"/>
          <w:b w:val="false"/>
          <w:i w:val="false"/>
          <w:caps w:val="false"/>
          <w:smallCaps w:val="false"/>
          <w:sz w:val="20"/>
        </w:rPr>
        <w:t>” means each Company item of income, gain, loss, deduction, and credit.</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Representative</w:t>
      </w:r>
      <w:r>
        <w:rPr>
          <w:rFonts w:ascii="Times New Roman;Times;Serif" w:hAnsi="Times New Roman;Times;Serif"/>
          <w:b w:val="false"/>
          <w:i w:val="false"/>
          <w:caps w:val="false"/>
          <w:smallCaps w:val="false"/>
          <w:sz w:val="20"/>
        </w:rPr>
        <w:t>” means, as applicable, (a) the Member or other Person (including the Company) designated as the “partnership representative” of the Company under Code section 6223, (b) the Member or other Person serving in a similar capacity under any similar provisions of state, local, or non-U.S. Laws, in each case, acting solely at the direction of the Company to the maximum extent permitted under applicable Law, or (c) the Member designated under any provisions of state, local, or non-U.S. Laws as the “tax matters partner” for the Company (within the meaning of provisions of state, local, or non-U.S. Laws similar to Code section 6231(a)(7) (as in effect before 2018 and before amendment by Title XI of the Bipartisan Budget Act of 2015, H.R. 1314, Public Law No. 114-74)).</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any Transfer within the meaning of the Agreement and, for purposes of the provisions in this Tax Annex, includes the taking (or failure to take) any action that would result in any Unit being treated as owned, for U.S. federal income tax purposes, by any Person that is not the owner of the Units before such action (or failure).</w:t>
      </w:r>
    </w:p>
    <w:p>
      <w:pPr>
        <w:pStyle w:val="TextBody"/>
        <w:bidi w:val="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- 10 -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eh260778952_ex9901.htm"/>
      <w:bookmarkStart w:id="29" w:name="kseh260778952_ex9901"/>
      <w:bookmarkEnd w:id="28"/>
      <w:bookmarkEnd w:id="29"/>
      <w:r>
        <w:rPr>
          <w:rFonts w:ascii="Times New Roman;Times;Serif" w:hAnsi="Times New Roman;Times;Serif"/>
          <w:b/>
          <w:i w:val="false"/>
          <w:caps w:val="false"/>
          <w:smallCaps w:val="false"/>
          <w:sz w:val="20"/>
        </w:rPr>
        <w:t>EXHIBIT 99.1 </w:t>
      </w:r>
      <w:r>
        <w:br w:type="page"/>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G-III Apparel Group Signs Definitive Agreement with WHP Global for Marc Jacobs Brand </w:t>
      </w:r>
    </w:p>
    <w:tbl>
      <w:tblPr>
        <w:tblW w:w="5000" w:type="pct"/>
        <w:jc w:val="left"/>
        <w:tblInd w:w="0" w:type="dxa"/>
        <w:tblLayout w:type="fixed"/>
        <w:tblCellMar>
          <w:top w:w="0" w:type="dxa"/>
          <w:left w:w="0" w:type="dxa"/>
          <w:bottom w:w="0" w:type="dxa"/>
          <w:right w:w="0" w:type="dxa"/>
        </w:tblCellMar>
      </w:tblPr>
      <w:tblGrid>
        <w:gridCol w:w="61"/>
        <w:gridCol w:w="201"/>
        <w:gridCol w:w="9943"/>
      </w:tblGrid>
      <w:tr>
        <w:trPr/>
        <w:tc>
          <w:tcPr>
            <w:tcW w:w="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Symbol" w:hAnsi="Symbol"/>
              </w:rPr>
            </w:pPr>
            <w:r>
              <w:rPr>
                <w:rFonts w:ascii="Symbol" w:hAnsi="Symbol"/>
              </w:rPr>
              <w:t>·</w:t>
            </w:r>
          </w:p>
        </w:tc>
        <w:tc>
          <w:tcPr>
            <w:tcW w:w="994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Forms 50/50 Strategic Joint Venture for Marc Jacobs Brand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Partnership Combines G-III’s Proven Operating and Merchandising Capabilities with WHP Global’s Leading Brand Management Platform </w:t>
            </w:r>
          </w:p>
        </w:tc>
      </w:tr>
    </w:tbl>
    <w:tbl>
      <w:tblPr>
        <w:tblW w:w="5000" w:type="pct"/>
        <w:jc w:val="left"/>
        <w:tblInd w:w="0" w:type="dxa"/>
        <w:tblLayout w:type="fixed"/>
        <w:tblCellMar>
          <w:top w:w="0" w:type="dxa"/>
          <w:left w:w="0" w:type="dxa"/>
          <w:bottom w:w="0" w:type="dxa"/>
          <w:right w:w="0" w:type="dxa"/>
        </w:tblCellMar>
      </w:tblPr>
      <w:tblGrid>
        <w:gridCol w:w="39"/>
        <w:gridCol w:w="128"/>
        <w:gridCol w:w="10038"/>
      </w:tblGrid>
      <w:tr>
        <w:trPr/>
        <w:tc>
          <w:tcPr>
            <w:tcW w:w="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Adds Globally Recognized, Iconic Brand to G-III’s Portfolio, Strengthening its Growth Strategy</w:t>
            </w:r>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May 14, 2026 (GLOBE NEWSWIRE)</w:t>
      </w:r>
      <w:r>
        <w:rPr>
          <w:rFonts w:ascii="Times New Roman;Times;Serif" w:hAnsi="Times New Roman;Times;Serif"/>
          <w:b w:val="false"/>
          <w:i w:val="false"/>
          <w:caps w:val="false"/>
          <w:smallCaps w:val="false"/>
          <w:sz w:val="20"/>
        </w:rPr>
        <w:t xml:space="preserve"> — G-III Apparel Group, Ltd. (NasdaqGS: GIII) (“G-III” or the “Company”) today announced that it has entered into a definitive agreement with WHP Global to jointly own the Marc Jacobs brand’s intellectual property through a newly formed joint venture (“JV”). G-III will acquire and manage the global Marc Jacobs operating business, while WHP Global will manage the licensing operations.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1984, Marc Jacobs is a culture-defining brand recognized for its distinctive blend of high fashion and contemporary design. Built on the creative vision of its founder, the brand has established a strong international presence through four decades of consistent cultural influence and a distinct creative point of view. Today, Marc Jacobs operates a global retail footprint with company-operated stores worldwide and distributes products through its e-commerce platform as well as a diverse network of wholesale partners.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Morris Goldfarb, G-III’s Chairman and Chief Executive Officer</w:t>
      </w:r>
      <w:r>
        <w:rPr>
          <w:rFonts w:ascii="Times New Roman;Times;Serif" w:hAnsi="Times New Roman;Times;Serif"/>
          <w:b w:val="false"/>
          <w:i w:val="false"/>
          <w:caps w:val="false"/>
          <w:smallCaps w:val="false"/>
          <w:sz w:val="20"/>
        </w:rPr>
        <w:t>, said, “Marc Jacobs is one of the most influential names in fashion. This transaction underscores our long-standing commitment to building a diversified portfolio of iconic, globally relevant brands. LVMH has been an exceptional steward of the brand, and we look forward to working with the Marc Jacobs team to build on that strong foundation. With our portfolio of premium brands and backed by our powerful global platform, this opportunity accelerates our transformation efforts and positions us to drive long-term shareholder value.”</w:t>
      </w:r>
    </w:p>
    <w:p>
      <w:pPr>
        <w:pStyle w:val="TextBody"/>
        <w:bidi w:val="0"/>
        <w:spacing w:before="240" w:after="24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Details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G-III and WHP Global will form a 50/50 joint venture that will retain ownership of Marc Jacobs’ intellectual property that will be formed contemporaneously with WHP Global’s closing of its acquisition of Marc Jacobs. G-III will then acquire the Marc Jacobs operating business from the JV and enter into a long-term licensing agreement.</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G-III will fund its approximately $500 million investment using cash on hand and borrowings under its revolving credit facility. The transaction is expected to be dilutive during the first 12 months after closing, with accretion expected thereafter. Closing is subject to customary conditions, including regulatory approval, and is expected to occur in G-III’s fiscal third quarter of 2027.</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UBS serves as financial advisor to G-III, and Paul, Weiss, Rifkind, Wharton &amp; Garrison serves as legal advisor.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 serves as financial advisor to WHP Global and Gibson Dunn serves as legal advisor. Morgan Stanley Senior Funding, Inc. provided committed debt financing to support the acquisition.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G-III Apparel Group, Ltd.</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G-III Apparel Group, Ltd. is a global fashion leader with expertise in design, sourcing, distribution, and marketing. The Company owns and licenses a portfolio of more than 30 preeminent brands, each differentiated by unique brand propositions, product categories, and consumer touchpoints. G-III owns ten iconic brands, including DKNY, Donna Karan, Karl Lagerfeld, Sonia Rykiel, and Vilebrequin, and licenses over 20 of the most sought-after names in global fashion, including Calvin Klein, Tommy Hilfiger, Levi’s, Halston, Champion, Converse, Cole Haan, BCBG, French Connection, Starter as well as major sports leagues such as the NFL, NBA, NHL and MLB, among others.</w:t>
      </w:r>
    </w:p>
    <w:p>
      <w:pPr>
        <w:pStyle w:val="TextBody"/>
        <w:shd w:fill="FFFFFF" w:val="clear"/>
        <w:bidi w:val="0"/>
        <w:jc w:val="left"/>
        <w:rPr>
          <w:caps w:val="false"/>
          <w:smallCaps w:val="false"/>
        </w:rPr>
      </w:pPr>
      <w:r>
        <w:rPr>
          <w:caps w:val="false"/>
          <w:smallCaps w:val="false"/>
        </w:rPr>
        <w:t xml:space="preserve">  </w:t>
      </w:r>
    </w:p>
    <w:p>
      <w:pPr>
        <w:pStyle w:val="TextBody"/>
        <w:bidi w:val="0"/>
        <w:spacing w:before="0" w:after="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 Looking Statements</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This press release contains forward-looking statements. Statements that are not historical or current facts, including statements about beliefs and expectations, are “forward-looking statements” as that term is defined under the federal securities laws. Forward-looking statements are subject to risks, uncertainties and factors which include, but are not limited to, (i) risks relating to completing the proposed acquisition in the anticipated time frame, or at all; (ii) risks relating to the ability to realize the anticipated benefits of the proposed acquisition; (iii) risks relating to the receipt of regulatory approvals without unexpected delays or conditions and possibility of regulatory action; (iv) risks relating to significant costs related to the proposed acquisition; (v) the expected financial and operating performance and future opportunities following the consummation of the proposed acquisition; (vi) risks relating to the reliance on licensed product; (vii) reliance on foreign manufacturers; (viii) risk of doing business abroad; (ix) the current economic and credit environment risks; (x) the nature of the apparel industry, including changing customer demand and tastes; (xi) risks of operating a retail business; (xii) customer concentration; (xiii) seasonality; (xiv) customer acceptance of new products, (xv) the impact of competitive products and pricing, (xvi) dependence on existing management, (xvii) possible disruption from acquisitions, as well as other risks detailed in G-III's filings with the Securities and Exchange Commission. G-III assumes no obligation to update the information in this press release.</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8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Nick Bacchus</w:t>
        <w:br/>
        <w:t>SVP of Investor Relations and Treasurer</w:t>
        <w:br/>
      </w:r>
      <w:r>
        <w:rPr>
          <w:rFonts w:ascii="Times New Roman;Times;Serif" w:hAnsi="Times New Roman;Times;Serif"/>
          <w:b w:val="false"/>
          <w:i w:val="false"/>
          <w:caps w:val="false"/>
          <w:smallCaps w:val="false"/>
          <w:color w:val="467886"/>
          <w:sz w:val="20"/>
          <w:u w:val="single"/>
        </w:rPr>
        <w:t>IR@g-iii.com</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 McClain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Corporate Communications</w:t>
        <w:br/>
      </w:r>
      <w:r>
        <w:rPr>
          <w:rFonts w:ascii="Times New Roman;Times;Serif" w:hAnsi="Times New Roman;Times;Serif"/>
          <w:b w:val="false"/>
          <w:i w:val="false"/>
          <w:caps w:val="false"/>
          <w:smallCaps w:val="false"/>
          <w:color w:val="467886"/>
          <w:sz w:val="20"/>
          <w:u w:val="single"/>
        </w:rPr>
        <w:t>GIIICommunications@g-iii.com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62107</Words>
  <Characters>326710</Characters>
  <CharactersWithSpaces>392022</CharactersWithSpaces>
  <Paragraphs>2361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