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giii-20260430x10q.htm"/>
        <w:bookmarkStart w:id="1" w:name="ksgiii202604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bookmarkStart w:id="2" w:name="_298dec03_d2cf_4669_82f5_340f01657435"/>
      <w:bookmarkEnd w:id="2"/>
      <w:r>
        <w:rPr>
          <w:rFonts w:ascii="Times New Roman;Times;serif" w:hAnsi="Times New Roman;Times;serif"/>
          <w:b/>
          <w:sz w:val="22"/>
        </w:rPr>
        <w:t>UNITED STATES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(Mark One)</w:t>
      </w:r>
    </w:p>
    <w:p>
      <w:pPr>
        <w:pStyle w:val="Normal"/>
        <w:bidi w:val="0"/>
        <w:spacing w:before="0" w:after="0"/>
        <w:jc w:val="left"/>
        <w:rPr>
          <w:sz w:val="4"/>
          <w:szCs w:val="4"/>
        </w:rPr>
      </w:pPr>
      <w:r>
        <w:rPr>
          <w:sz w:val="4"/>
          <w:szCs w:val="4"/>
        </w:rPr>
      </w:r>
      <w:bookmarkStart w:id="3" w:name="Tc_9GfcMROxfUuPuwQbTrN-VA_1_1"/>
      <w:bookmarkStart w:id="4" w:name="_67cce160_03ae_4838_aa3c_6a5691c43eca"/>
      <w:bookmarkStart w:id="5" w:name="Tc_9GfcMROxfUuPuwQbTrN-VA_1_1"/>
      <w:bookmarkStart w:id="6" w:name="_67cce160_03ae_4838_aa3c_6a5691c43eca"/>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2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April 30, 2026</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lineRule="atLeast" w:line="142" w:before="0" w:after="0"/>
        <w:ind w:left="0" w:right="0" w:hanging="0"/>
        <w:jc w:val="center"/>
        <w:rPr/>
      </w:pPr>
      <w:r>
        <w:rPr/>
        <w:t>​</w:t>
      </w:r>
    </w:p>
    <w:p>
      <w:pPr>
        <w:pStyle w:val="Normal"/>
        <w:bidi w:val="0"/>
        <w:spacing w:before="0" w:after="0"/>
        <w:jc w:val="left"/>
        <w:rPr>
          <w:sz w:val="4"/>
          <w:szCs w:val="4"/>
        </w:rPr>
      </w:pPr>
      <w:r>
        <w:rPr>
          <w:sz w:val="4"/>
          <w:szCs w:val="4"/>
        </w:rPr>
      </w:r>
      <w:bookmarkStart w:id="7" w:name="Tc_nacP9gaiSEyOt5wUsmHv3A_1_1"/>
      <w:bookmarkStart w:id="8" w:name="_48436b49_d26e_4082_874d_b993b378e2b0"/>
      <w:bookmarkStart w:id="9" w:name="Tc_nacP9gaiSEyOt5wUsmHv3A_1_1"/>
      <w:bookmarkStart w:id="10" w:name="_48436b49_d26e_4082_874d_b993b378e2b0"/>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2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lineRule="atLeast" w:line="142"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0-18183</w:t>
      </w:r>
    </w:p>
    <w:p>
      <w:pPr>
        <w:pStyle w:val="TextBody"/>
        <w:bidi w:val="0"/>
        <w:spacing w:before="0" w:after="0"/>
        <w:ind w:left="0" w:right="0" w:hanging="0"/>
        <w:jc w:val="center"/>
        <w:rPr/>
      </w:pPr>
      <w:r>
        <w:rPr/>
        <w:t> </w:t>
      </w:r>
      <w:r>
        <w:rPr>
          <w:rFonts w:ascii="Times New Roman;Times;serif" w:hAnsi="Times New Roman;Times;serif"/>
          <w:b/>
          <w:i w:val="false"/>
          <w:caps w:val="false"/>
          <w:smallCaps w:val="false"/>
          <w:sz w:val="40"/>
        </w:rPr>
        <w:t>G-III APPAREL GROUP, LTD</w:t>
      </w:r>
      <w:r>
        <w:rPr>
          <w:rFonts w:ascii="Times New Roman;Times;serif" w:hAnsi="Times New Roman;Times;serif"/>
          <w:b/>
          <w:sz w:val="40"/>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 </w:t>
      </w:r>
    </w:p>
    <w:p>
      <w:pPr>
        <w:pStyle w:val="TextBody"/>
        <w:bidi w:val="0"/>
        <w:spacing w:lineRule="atLeast" w:line="142" w:before="0" w:after="0"/>
        <w:ind w:left="0" w:right="0" w:hanging="0"/>
        <w:jc w:val="center"/>
        <w:rPr/>
      </w:pPr>
      <w:r>
        <w:rPr/>
        <w:t> </w:t>
      </w:r>
    </w:p>
    <w:p>
      <w:pPr>
        <w:pStyle w:val="Normal"/>
        <w:bidi w:val="0"/>
        <w:spacing w:before="0" w:after="0"/>
        <w:jc w:val="left"/>
        <w:rPr>
          <w:sz w:val="4"/>
          <w:szCs w:val="4"/>
        </w:rPr>
      </w:pPr>
      <w:r>
        <w:rPr>
          <w:sz w:val="4"/>
          <w:szCs w:val="4"/>
        </w:rPr>
      </w:r>
      <w:bookmarkStart w:id="11" w:name="Tc_Fe_2qFZvlkuXndrqe-_3aA_6_2"/>
      <w:bookmarkStart w:id="12" w:name="Tc_nDkI0pJwhkqWuH3dScVInQ_6_0"/>
      <w:bookmarkStart w:id="13" w:name="Tc_jIKBf3nQRE-CHVehCvXGNw_5_0"/>
      <w:bookmarkStart w:id="14" w:name="Tc_hPXdrGwSV0GsrRB-2xdMXQ_3_2"/>
      <w:bookmarkStart w:id="15" w:name="Tc_fKy5e336q0Cc2aZh1Ax2eg_3_0"/>
      <w:bookmarkStart w:id="16" w:name="Tc_QFciStF_rEapDbpWim-Z_g_2_2"/>
      <w:bookmarkStart w:id="17" w:name="Tc_6P9lW1x5z0e-zPr6uf2TcA_2_0"/>
      <w:bookmarkStart w:id="18" w:name="_bdf98a77_3046_446a_8415_191d22e3bbd2"/>
      <w:bookmarkStart w:id="19" w:name="Tc_Fe_2qFZvlkuXndrqe-_3aA_6_2"/>
      <w:bookmarkStart w:id="20" w:name="Tc_nDkI0pJwhkqWuH3dScVInQ_6_0"/>
      <w:bookmarkStart w:id="21" w:name="Tc_jIKBf3nQRE-CHVehCvXGNw_5_0"/>
      <w:bookmarkStart w:id="22" w:name="Tc_hPXdrGwSV0GsrRB-2xdMXQ_3_2"/>
      <w:bookmarkStart w:id="23" w:name="Tc_fKy5e336q0Cc2aZh1Ax2eg_3_0"/>
      <w:bookmarkStart w:id="24" w:name="Tc_QFciStF_rEapDbpWim-Z_g_2_2"/>
      <w:bookmarkStart w:id="25" w:name="Tc_6P9lW1x5z0e-zPr6uf2TcA_2_0"/>
      <w:bookmarkStart w:id="26" w:name="_bdf98a77_3046_446a_8415_191d22e3bbd2"/>
      <w:bookmarkEnd w:id="19"/>
      <w:bookmarkEnd w:id="20"/>
      <w:bookmarkEnd w:id="21"/>
      <w:bookmarkEnd w:id="22"/>
      <w:bookmarkEnd w:id="23"/>
      <w:bookmarkEnd w:id="24"/>
      <w:bookmarkEnd w:id="25"/>
      <w:bookmarkEnd w:id="26"/>
    </w:p>
    <w:tbl>
      <w:tblPr>
        <w:tblW w:w="5358" w:type="dxa"/>
        <w:jc w:val="left"/>
        <w:tblInd w:w="0" w:type="dxa"/>
        <w:tblLayout w:type="fixed"/>
        <w:tblCellMar>
          <w:top w:w="0" w:type="dxa"/>
          <w:left w:w="0" w:type="dxa"/>
          <w:bottom w:w="0" w:type="dxa"/>
          <w:right w:w="0" w:type="dxa"/>
        </w:tblCellMar>
      </w:tblPr>
      <w:tblGrid>
        <w:gridCol w:w="3451"/>
        <w:gridCol w:w="346"/>
        <w:gridCol w:w="156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46" w:type="dxa"/>
            <w:tcBorders/>
            <w:vAlign w:val="center"/>
          </w:tcPr>
          <w:p>
            <w:pPr>
              <w:pStyle w:val="TableContents"/>
              <w:bidi w:val="0"/>
              <w:spacing w:before="0" w:after="0"/>
              <w:ind w:left="0" w:right="0" w:hanging="0"/>
              <w:jc w:val="left"/>
              <w:rPr/>
            </w:pPr>
            <w:r>
              <w:rPr/>
              <w:t>  ​ ​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41-1590959</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451" w:type="dxa"/>
            <w:tcBorders/>
            <w:vAlign w:val="center"/>
          </w:tcPr>
          <w:p>
            <w:pPr>
              <w:pStyle w:val="TableContents"/>
              <w:bidi w:val="0"/>
              <w:spacing w:lineRule="atLeast" w:line="142" w:before="0" w:after="0"/>
              <w:ind w:left="0" w:right="0" w:hanging="0"/>
              <w:jc w:val="center"/>
              <w:rPr/>
            </w:pPr>
            <w:r>
              <w:rPr/>
              <w:t> </w:t>
            </w:r>
          </w:p>
        </w:tc>
        <w:tc>
          <w:tcPr>
            <w:tcW w:w="346" w:type="dxa"/>
            <w:tcBorders/>
            <w:vAlign w:val="center"/>
          </w:tcPr>
          <w:p>
            <w:pPr>
              <w:pStyle w:val="TableContents"/>
              <w:bidi w:val="0"/>
              <w:spacing w:lineRule="atLeast" w:line="142" w:before="0" w:after="0"/>
              <w:ind w:left="0" w:right="0" w:hanging="0"/>
              <w:jc w:val="left"/>
              <w:rPr/>
            </w:pPr>
            <w:r>
              <w:rPr/>
              <w:t> </w:t>
            </w:r>
          </w:p>
        </w:tc>
        <w:tc>
          <w:tcPr>
            <w:tcW w:w="1561" w:type="dxa"/>
            <w:tcBorders/>
            <w:vAlign w:val="center"/>
          </w:tcPr>
          <w:p>
            <w:pPr>
              <w:pStyle w:val="TableContents"/>
              <w:bidi w:val="0"/>
              <w:spacing w:lineRule="atLeast" w:line="142"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512 Seventh Avenue, New York, New York</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10018</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(212) 403-0500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27" w:name="Tc_RDRTKYbk-kqhQcCgY_z1QA_2_0"/>
      <w:bookmarkStart w:id="28" w:name="Tc_fFjFZGhc2kOh49YeGVHg5A_1_2"/>
      <w:bookmarkStart w:id="29" w:name="Tc_lU9lcHJLEEaSnrtf5RrKaQ_1_1"/>
      <w:bookmarkStart w:id="30" w:name="Tc_KYPFMuYJokSXw4suLFwydg_1_0"/>
      <w:bookmarkStart w:id="31" w:name="_d433f0cd_c7c5_4d94_a9bf_30e46fd249fa"/>
      <w:bookmarkStart w:id="32" w:name="Tc_RDRTKYbk-kqhQcCgY_z1QA_2_0"/>
      <w:bookmarkStart w:id="33" w:name="Tc_fFjFZGhc2kOh49YeGVHg5A_1_2"/>
      <w:bookmarkStart w:id="34" w:name="Tc_lU9lcHJLEEaSnrtf5RrKaQ_1_1"/>
      <w:bookmarkStart w:id="35" w:name="Tc_KYPFMuYJokSXw4suLFwydg_1_0"/>
      <w:bookmarkStart w:id="36" w:name="_d433f0cd_c7c5_4d94_a9bf_30e46fd249fa"/>
      <w:bookmarkEnd w:id="32"/>
      <w:bookmarkEnd w:id="33"/>
      <w:bookmarkEnd w:id="34"/>
      <w:bookmarkEnd w:id="35"/>
      <w:bookmarkEnd w:id="36"/>
    </w:p>
    <w:tbl>
      <w:tblPr>
        <w:tblW w:w="7713" w:type="dxa"/>
        <w:jc w:val="left"/>
        <w:tblInd w:w="0" w:type="dxa"/>
        <w:tblLayout w:type="fixed"/>
        <w:tblCellMar>
          <w:top w:w="0" w:type="dxa"/>
          <w:left w:w="0" w:type="dxa"/>
          <w:bottom w:w="0" w:type="dxa"/>
          <w:right w:w="0" w:type="dxa"/>
        </w:tblCellMar>
      </w:tblPr>
      <w:tblGrid>
        <w:gridCol w:w="3061"/>
        <w:gridCol w:w="1426"/>
        <w:gridCol w:w="3226"/>
      </w:tblGrid>
      <w:tr>
        <w:trPr/>
        <w:tc>
          <w:tcPr>
            <w:tcW w:w="3061"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3226" w:type="dxa"/>
            <w:tcBorders/>
            <w:vAlign w:val="center"/>
          </w:tcPr>
          <w:p>
            <w:pPr>
              <w:pStyle w:val="TableContents"/>
              <w:bidi w:val="0"/>
              <w:spacing w:before="0" w:after="0"/>
              <w:ind w:left="0" w:right="0" w:hanging="0"/>
              <w:jc w:val="left"/>
              <w:rPr/>
            </w:pPr>
            <w:r>
              <w:rPr/>
              <w:t>​</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$0.01 par value per share</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GIII</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w:t>
            </w:r>
          </w:p>
        </w:tc>
      </w:tr>
    </w:tbl>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tLeast" w:line="142" w:before="0" w:after="0"/>
        <w:ind w:left="0" w:right="0" w:hanging="0"/>
        <w:jc w:val="both"/>
        <w:rPr/>
      </w:pPr>
      <w:r>
        <w:rPr/>
        <w:t>​</w:t>
      </w:r>
    </w:p>
    <w:p>
      <w:pPr>
        <w:pStyle w:val="Normal"/>
        <w:bidi w:val="0"/>
        <w:spacing w:before="0" w:after="0"/>
        <w:jc w:val="left"/>
        <w:rPr>
          <w:sz w:val="4"/>
          <w:szCs w:val="4"/>
        </w:rPr>
      </w:pPr>
      <w:r>
        <w:rPr>
          <w:sz w:val="4"/>
          <w:szCs w:val="4"/>
        </w:rPr>
      </w:r>
      <w:bookmarkStart w:id="37" w:name="Tc_B6IJGbXYEU2xC-9ub3xmNw_3_0"/>
      <w:bookmarkStart w:id="38" w:name="Tc_lLqBbPht8EqDEDs07Yj63Q_2_2"/>
      <w:bookmarkStart w:id="39" w:name="Tc_PWeWRUHZt0yLXwYKE0yzlQ_2_1"/>
      <w:bookmarkStart w:id="40" w:name="Tc_BrDHSpTTgk-B5q7cKOHJXg_2_0"/>
      <w:bookmarkStart w:id="41" w:name="Tc_otafKE-qbk2V5eWlyHVP4Q_1_3"/>
      <w:bookmarkStart w:id="42" w:name="Tc_grbfZp59wkOen4OFJtpDmg_1_2"/>
      <w:bookmarkStart w:id="43" w:name="Tc_BpjJz46D2kiQFcNHUzRhWQ_1_1"/>
      <w:bookmarkStart w:id="44" w:name="_0d100095_6f82_4197_9134_342390c8ed5f"/>
      <w:bookmarkStart w:id="45" w:name="Tc_B6IJGbXYEU2xC-9ub3xmNw_3_0"/>
      <w:bookmarkStart w:id="46" w:name="Tc_lLqBbPht8EqDEDs07Yj63Q_2_2"/>
      <w:bookmarkStart w:id="47" w:name="Tc_PWeWRUHZt0yLXwYKE0yzlQ_2_1"/>
      <w:bookmarkStart w:id="48" w:name="Tc_BrDHSpTTgk-B5q7cKOHJXg_2_0"/>
      <w:bookmarkStart w:id="49" w:name="Tc_otafKE-qbk2V5eWlyHVP4Q_1_3"/>
      <w:bookmarkStart w:id="50" w:name="Tc_grbfZp59wkOen4OFJtpDmg_1_2"/>
      <w:bookmarkStart w:id="51" w:name="Tc_BpjJz46D2kiQFcNHUzRhWQ_1_1"/>
      <w:bookmarkStart w:id="52" w:name="_0d100095_6f82_4197_9134_342390c8ed5f"/>
      <w:bookmarkEnd w:id="45"/>
      <w:bookmarkEnd w:id="46"/>
      <w:bookmarkEnd w:id="47"/>
      <w:bookmarkEnd w:id="48"/>
      <w:bookmarkEnd w:id="49"/>
      <w:bookmarkEnd w:id="50"/>
      <w:bookmarkEnd w:id="51"/>
      <w:bookmarkEnd w:id="52"/>
    </w:p>
    <w:tbl>
      <w:tblPr>
        <w:tblW w:w="4759" w:type="dxa"/>
        <w:jc w:val="left"/>
        <w:tblInd w:w="0" w:type="dxa"/>
        <w:tblLayout w:type="fixed"/>
        <w:tblCellMar>
          <w:top w:w="0" w:type="dxa"/>
          <w:left w:w="0" w:type="dxa"/>
          <w:bottom w:w="0" w:type="dxa"/>
          <w:right w:w="0" w:type="dxa"/>
        </w:tblCellMar>
      </w:tblPr>
      <w:tblGrid>
        <w:gridCol w:w="2056"/>
        <w:gridCol w:w="316"/>
        <w:gridCol w:w="2026"/>
        <w:gridCol w:w="36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bl>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As of June 3, 2026, there were 42,190,573 shares of issuer’s common stock, par value $0.01 per share, outstanding.</w:t>
      </w:r>
    </w:p>
    <w:p>
      <w:pPr>
        <w:pStyle w:val="TextBody"/>
        <w:bidi w:val="0"/>
        <w:spacing w:lineRule="atLeast" w:line="142" w:before="0" w:after="0"/>
        <w:ind w:left="0" w:right="0" w:hanging="0"/>
        <w:jc w:val="both"/>
        <w:rPr/>
      </w:pPr>
      <w:r>
        <w:rPr/>
        <w:t>​</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TOC"/>
      <w:bookmarkStart w:id="54" w:name="_7ebcbaa2_2555_498e_b386_8059f4786b44"/>
      <w:bookmarkEnd w:id="53"/>
      <w:bookmarkEnd w:id="5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8237"/>
        <w:gridCol w:w="346"/>
        <w:gridCol w:w="8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3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 No.</w:t>
            </w:r>
          </w:p>
        </w:tc>
      </w:tr>
      <w:tr>
        <w:trPr/>
        <w:tc>
          <w:tcPr>
            <w:tcW w:w="811" w:type="dxa"/>
            <w:tcBorders/>
            <w:vAlign w:val="center"/>
          </w:tcPr>
          <w:p>
            <w:pPr>
              <w:pStyle w:val="TableContents"/>
              <w:bidi w:val="0"/>
              <w:spacing w:before="0" w:after="0"/>
              <w:ind w:left="0" w:right="0" w:hanging="0"/>
              <w:jc w:val="left"/>
              <w:rPr/>
            </w:pPr>
            <w:hyperlink w:anchor="PARTIFINANCIALINFORMATION_626175">
              <w:r>
                <w:rPr>
                  <w:rStyle w:val="InternetLink"/>
                  <w:rFonts w:ascii="Times New Roman;Times;serif" w:hAnsi="Times New Roman;Times;serif"/>
                  <w:b w:val="false"/>
                  <w:i w:val="false"/>
                  <w:caps w:val="false"/>
                  <w:smallCaps w:val="false"/>
                  <w:sz w:val="20"/>
                </w:rPr>
                <w:t>Part I</w:t>
              </w:r>
            </w:hyperlink>
          </w:p>
        </w:tc>
        <w:tc>
          <w:tcPr>
            <w:tcW w:w="8237" w:type="dxa"/>
            <w:tcBorders/>
            <w:vAlign w:val="center"/>
          </w:tcPr>
          <w:p>
            <w:pPr>
              <w:pStyle w:val="TableContents"/>
              <w:bidi w:val="0"/>
              <w:spacing w:before="0" w:after="0"/>
              <w:ind w:left="0" w:right="0" w:hanging="0"/>
              <w:jc w:val="left"/>
              <w:rPr/>
            </w:pPr>
            <w:hyperlink w:anchor="PARTIFINANCIALINFORMATION_626175">
              <w:r>
                <w:rPr>
                  <w:rStyle w:val="InternetLink"/>
                  <w:rFonts w:ascii="Times New Roman;Times;serif" w:hAnsi="Times New Roman;Times;serif"/>
                  <w:b w:val="false"/>
                  <w:i w:val="false"/>
                  <w:caps w:val="false"/>
                  <w:smallCaps w:val="false"/>
                  <w:sz w:val="20"/>
                </w:rPr>
                <w:t>FINANCIAL INFORMATION</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584850">
              <w:r>
                <w:rPr>
                  <w:rStyle w:val="InternetLink"/>
                  <w:rFonts w:ascii="Times New Roman;Times;serif" w:hAnsi="Times New Roman;Times;serif"/>
                  <w:b w:val="false"/>
                  <w:i w:val="false"/>
                  <w:caps w:val="false"/>
                  <w:smallCaps w:val="false"/>
                  <w:sz w:val="20"/>
                </w:rPr>
                <w:t>Item 1.</w:t>
              </w:r>
            </w:hyperlink>
          </w:p>
        </w:tc>
        <w:tc>
          <w:tcPr>
            <w:tcW w:w="8237" w:type="dxa"/>
            <w:tcBorders/>
            <w:vAlign w:val="center"/>
          </w:tcPr>
          <w:p>
            <w:pPr>
              <w:pStyle w:val="TableContents"/>
              <w:bidi w:val="0"/>
              <w:spacing w:before="0" w:after="0"/>
              <w:ind w:left="0" w:right="0" w:hanging="0"/>
              <w:jc w:val="left"/>
              <w:rPr/>
            </w:pPr>
            <w:hyperlink w:anchor="Item1FinancialStatements_584850">
              <w:r>
                <w:rPr>
                  <w:rStyle w:val="InternetLink"/>
                  <w:rFonts w:ascii="Times New Roman;Times;serif" w:hAnsi="Times New Roman;Times;serif"/>
                  <w:b w:val="false"/>
                  <w:i w:val="false"/>
                  <w:caps w:val="false"/>
                  <w:smallCaps w:val="false"/>
                  <w:sz w:val="20"/>
                </w:rPr>
                <w:t>Financial Statements</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37" w:type="dxa"/>
            <w:tcBorders/>
            <w:vAlign w:val="center"/>
          </w:tcPr>
          <w:p>
            <w:pPr>
              <w:pStyle w:val="TableContents"/>
              <w:bidi w:val="0"/>
              <w:spacing w:before="0" w:after="0"/>
              <w:ind w:left="0" w:right="0" w:hanging="0"/>
              <w:jc w:val="left"/>
              <w:rPr/>
            </w:pPr>
            <w:hyperlink w:anchor="BALANCESHEETS_VCW">
              <w:r>
                <w:rPr>
                  <w:rStyle w:val="InternetLink"/>
                  <w:rFonts w:ascii="Times New Roman;Times;serif" w:hAnsi="Times New Roman;Times;serif"/>
                  <w:b w:val="false"/>
                  <w:i w:val="false"/>
                  <w:caps w:val="false"/>
                  <w:smallCaps w:val="false"/>
                  <w:sz w:val="20"/>
                </w:rPr>
                <w:t>Condensed Consolidated Balance Sheets – April 30, 2026 (Unaudited), April 30, 2025 (Unaudited) and January 31, 2026</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37" w:type="dxa"/>
            <w:tcBorders/>
            <w:vAlign w:val="center"/>
          </w:tcPr>
          <w:p>
            <w:pPr>
              <w:pStyle w:val="TableContents"/>
              <w:bidi w:val="0"/>
              <w:spacing w:before="0" w:after="0"/>
              <w:ind w:left="0" w:right="0" w:hanging="0"/>
              <w:jc w:val="left"/>
              <w:rPr/>
            </w:pPr>
            <w:hyperlink w:anchor="IncomeStatement_VCW">
              <w:r>
                <w:rPr>
                  <w:rStyle w:val="InternetLink"/>
                  <w:rFonts w:ascii="Times New Roman;Times;serif" w:hAnsi="Times New Roman;Times;serif"/>
                  <w:b w:val="false"/>
                  <w:i w:val="false"/>
                  <w:caps w:val="false"/>
                  <w:smallCaps w:val="false"/>
                  <w:sz w:val="20"/>
                </w:rPr>
                <w:t>Condensed Consolidated Statements of Income and Comprehensive Income – For the Three Months Ended April 30, 2026 and 2025 (Unaudited)</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237" w:type="dxa"/>
            <w:tcBorders/>
            <w:vAlign w:val="center"/>
          </w:tcPr>
          <w:p>
            <w:pPr>
              <w:pStyle w:val="TableContents"/>
              <w:bidi w:val="0"/>
              <w:spacing w:before="0" w:after="0"/>
              <w:ind w:left="0" w:right="0" w:hanging="0"/>
              <w:jc w:val="left"/>
              <w:rPr/>
            </w:pPr>
            <w:hyperlink w:anchor="EquityStatement_VCW">
              <w:r>
                <w:rPr>
                  <w:rStyle w:val="InternetLink"/>
                  <w:rFonts w:ascii="Times New Roman;Times;serif" w:hAnsi="Times New Roman;Times;serif"/>
                  <w:b w:val="false"/>
                  <w:i w:val="false"/>
                  <w:caps w:val="false"/>
                  <w:smallCaps w:val="false"/>
                  <w:sz w:val="20"/>
                </w:rPr>
                <w:t>Condensed Consolidated Statements of Stockholders’ Equity – April 30, 2026 and April 30, 2025 (Unaudited)</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37" w:type="dxa"/>
            <w:tcBorders/>
            <w:vAlign w:val="center"/>
          </w:tcPr>
          <w:p>
            <w:pPr>
              <w:pStyle w:val="TableContents"/>
              <w:bidi w:val="0"/>
              <w:spacing w:before="0" w:after="0"/>
              <w:ind w:left="0" w:right="0" w:hanging="0"/>
              <w:jc w:val="left"/>
              <w:rPr/>
            </w:pPr>
            <w:hyperlink w:anchor="CashFlowStatement_VCW">
              <w:r>
                <w:rPr>
                  <w:rStyle w:val="InternetLink"/>
                  <w:rFonts w:ascii="Times New Roman;Times;serif" w:hAnsi="Times New Roman;Times;serif"/>
                  <w:b w:val="false"/>
                  <w:i w:val="false"/>
                  <w:caps w:val="false"/>
                  <w:smallCaps w:val="false"/>
                  <w:sz w:val="20"/>
                </w:rPr>
                <w:t>Condensed Consolidated Statements of Cash Flows – For the Three Months Ended April 30, 2026 and 2025 (Unaudited)</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37" w:type="dxa"/>
            <w:tcBorders/>
            <w:vAlign w:val="center"/>
          </w:tcPr>
          <w:p>
            <w:pPr>
              <w:pStyle w:val="TableContents"/>
              <w:bidi w:val="0"/>
              <w:spacing w:before="0" w:after="0"/>
              <w:ind w:left="0" w:right="0" w:hanging="0"/>
              <w:jc w:val="left"/>
              <w:rPr/>
            </w:pPr>
            <w:hyperlink w:anchor="NOTESTOCONDENSEDCONSOLIDATED_476308">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hyperlink w:anchor="Item2ManagementsDiscussion_401041">
              <w:r>
                <w:rPr>
                  <w:rStyle w:val="InternetLink"/>
                  <w:rFonts w:ascii="Times New Roman;Times;serif" w:hAnsi="Times New Roman;Times;serif"/>
                  <w:b w:val="false"/>
                  <w:i w:val="false"/>
                  <w:caps w:val="false"/>
                  <w:smallCaps w:val="false"/>
                  <w:sz w:val="20"/>
                </w:rPr>
                <w:t>Item 2.</w:t>
              </w:r>
            </w:hyperlink>
          </w:p>
        </w:tc>
        <w:tc>
          <w:tcPr>
            <w:tcW w:w="8237" w:type="dxa"/>
            <w:tcBorders/>
            <w:vAlign w:val="center"/>
          </w:tcPr>
          <w:p>
            <w:pPr>
              <w:pStyle w:val="TableContents"/>
              <w:bidi w:val="0"/>
              <w:spacing w:before="0" w:after="0"/>
              <w:ind w:left="0" w:right="0" w:hanging="0"/>
              <w:jc w:val="left"/>
              <w:rPr/>
            </w:pPr>
            <w:hyperlink w:anchor="Item2ManagementsDiscussion_40104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11" w:type="dxa"/>
            <w:tcBorders/>
            <w:vAlign w:val="center"/>
          </w:tcPr>
          <w:p>
            <w:pPr>
              <w:pStyle w:val="TableContents"/>
              <w:bidi w:val="0"/>
              <w:spacing w:before="0" w:after="0"/>
              <w:ind w:left="0" w:right="0" w:hanging="0"/>
              <w:jc w:val="left"/>
              <w:rPr/>
            </w:pPr>
            <w:hyperlink w:anchor="Item3Quantitative_475780">
              <w:r>
                <w:rPr>
                  <w:rStyle w:val="InternetLink"/>
                  <w:rFonts w:ascii="Times New Roman;Times;serif" w:hAnsi="Times New Roman;Times;serif"/>
                  <w:b w:val="false"/>
                  <w:i w:val="false"/>
                  <w:caps w:val="false"/>
                  <w:smallCaps w:val="false"/>
                  <w:sz w:val="20"/>
                </w:rPr>
                <w:t>Item 3.</w:t>
              </w:r>
            </w:hyperlink>
          </w:p>
        </w:tc>
        <w:tc>
          <w:tcPr>
            <w:tcW w:w="8237" w:type="dxa"/>
            <w:tcBorders/>
            <w:vAlign w:val="center"/>
          </w:tcPr>
          <w:p>
            <w:pPr>
              <w:pStyle w:val="TableContents"/>
              <w:bidi w:val="0"/>
              <w:spacing w:before="0" w:after="0"/>
              <w:ind w:left="0" w:right="0" w:hanging="0"/>
              <w:jc w:val="left"/>
              <w:rPr/>
            </w:pPr>
            <w:hyperlink w:anchor="Item3Quantitative_475780">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hyperlink w:anchor="Item4ControlsandProcedures_978659">
              <w:r>
                <w:rPr>
                  <w:rStyle w:val="InternetLink"/>
                  <w:rFonts w:ascii="Times New Roman;Times;serif" w:hAnsi="Times New Roman;Times;serif"/>
                  <w:b w:val="false"/>
                  <w:i w:val="false"/>
                  <w:caps w:val="false"/>
                  <w:smallCaps w:val="false"/>
                  <w:sz w:val="20"/>
                </w:rPr>
                <w:t>Item 4.</w:t>
              </w:r>
            </w:hyperlink>
          </w:p>
        </w:tc>
        <w:tc>
          <w:tcPr>
            <w:tcW w:w="8237" w:type="dxa"/>
            <w:tcBorders/>
            <w:vAlign w:val="center"/>
          </w:tcPr>
          <w:p>
            <w:pPr>
              <w:pStyle w:val="TableContents"/>
              <w:bidi w:val="0"/>
              <w:spacing w:before="0" w:after="0"/>
              <w:ind w:left="0" w:right="0" w:hanging="0"/>
              <w:jc w:val="left"/>
              <w:rPr/>
            </w:pPr>
            <w:hyperlink w:anchor="Item4ControlsandProcedures_978659">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r>
              <w:rPr/>
              <w:t>​</w:t>
            </w:r>
          </w:p>
        </w:tc>
        <w:tc>
          <w:tcPr>
            <w:tcW w:w="82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PARTIIOTHERINFORMATION_14841">
              <w:r>
                <w:rPr>
                  <w:rStyle w:val="InternetLink"/>
                  <w:rFonts w:ascii="Times New Roman;Times;serif" w:hAnsi="Times New Roman;Times;serif"/>
                  <w:b w:val="false"/>
                  <w:i w:val="false"/>
                  <w:caps w:val="false"/>
                  <w:smallCaps w:val="false"/>
                  <w:sz w:val="20"/>
                </w:rPr>
                <w:t>Part II</w:t>
              </w:r>
            </w:hyperlink>
          </w:p>
        </w:tc>
        <w:tc>
          <w:tcPr>
            <w:tcW w:w="8237" w:type="dxa"/>
            <w:tcBorders/>
            <w:vAlign w:val="center"/>
          </w:tcPr>
          <w:p>
            <w:pPr>
              <w:pStyle w:val="TableContents"/>
              <w:bidi w:val="0"/>
              <w:spacing w:before="0" w:after="0"/>
              <w:ind w:left="0" w:right="0" w:hanging="0"/>
              <w:jc w:val="left"/>
              <w:rPr/>
            </w:pPr>
            <w:hyperlink w:anchor="PARTIIOTHERINFORMATION_14841">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ARiskFactors_273079">
              <w:r>
                <w:rPr>
                  <w:rStyle w:val="InternetLink"/>
                  <w:rFonts w:ascii="Times New Roman;Times;serif" w:hAnsi="Times New Roman;Times;serif"/>
                  <w:b w:val="false"/>
                  <w:i w:val="false"/>
                  <w:caps w:val="false"/>
                  <w:smallCaps w:val="false"/>
                  <w:sz w:val="20"/>
                </w:rPr>
                <w:t>Item 1A.</w:t>
              </w:r>
            </w:hyperlink>
          </w:p>
        </w:tc>
        <w:tc>
          <w:tcPr>
            <w:tcW w:w="8237" w:type="dxa"/>
            <w:tcBorders/>
            <w:vAlign w:val="center"/>
          </w:tcPr>
          <w:p>
            <w:pPr>
              <w:pStyle w:val="TableContents"/>
              <w:bidi w:val="0"/>
              <w:spacing w:before="0" w:after="0"/>
              <w:ind w:left="0" w:right="0" w:hanging="0"/>
              <w:jc w:val="left"/>
              <w:rPr/>
            </w:pPr>
            <w:hyperlink w:anchor="Item1ARiskFactors_273079">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left"/>
              <w:rPr/>
            </w:pPr>
            <w:hyperlink w:anchor="Item5OtherInformation_516384">
              <w:r>
                <w:rPr>
                  <w:rStyle w:val="InternetLink"/>
                  <w:rFonts w:ascii="Times New Roman;Times;serif" w:hAnsi="Times New Roman;Times;serif"/>
                  <w:b w:val="false"/>
                  <w:i w:val="false"/>
                  <w:caps w:val="false"/>
                  <w:smallCaps w:val="false"/>
                  <w:sz w:val="20"/>
                </w:rPr>
                <w:t>Item 5.</w:t>
              </w:r>
            </w:hyperlink>
          </w:p>
        </w:tc>
        <w:tc>
          <w:tcPr>
            <w:tcW w:w="8237" w:type="dxa"/>
            <w:tcBorders/>
            <w:vAlign w:val="center"/>
          </w:tcPr>
          <w:p>
            <w:pPr>
              <w:pStyle w:val="TableContents"/>
              <w:bidi w:val="0"/>
              <w:spacing w:before="0" w:after="0"/>
              <w:ind w:left="0" w:right="0" w:hanging="0"/>
              <w:jc w:val="left"/>
              <w:rPr/>
            </w:pPr>
            <w:hyperlink w:anchor="Item5OtherInformation_516384">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b w:val="false"/>
                  <w:i w:val="false"/>
                  <w:caps w:val="false"/>
                  <w:smallCaps w:val="false"/>
                  <w:sz w:val="20"/>
                </w:rPr>
                <w:t>Item 6.</w:t>
              </w:r>
            </w:hyperlink>
          </w:p>
        </w:tc>
        <w:tc>
          <w:tcPr>
            <w:tcW w:w="8237"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b/>
          <w:sz w:val="20"/>
        </w:rPr>
      </w:pPr>
      <w:bookmarkStart w:id="55" w:name="PARTIFINANCIALINFORMATION_626175"/>
      <w:bookmarkEnd w:id="55"/>
      <w:r>
        <w:rPr>
          <w:rFonts w:ascii="Times New Roman;Times;serif" w:hAnsi="Times New Roman;Times;serif"/>
          <w:b/>
          <w:sz w:val="20"/>
        </w:rPr>
        <w:t>PART I – FINANCIAL INFORMATION</w:t>
      </w:r>
    </w:p>
    <w:p>
      <w:pPr>
        <w:pStyle w:val="TextBody"/>
        <w:bidi w:val="0"/>
        <w:spacing w:before="0" w:after="60"/>
        <w:ind w:left="0" w:right="0" w:hanging="0"/>
        <w:jc w:val="left"/>
        <w:rPr>
          <w:rFonts w:ascii="Times New Roman;Times;serif" w:hAnsi="Times New Roman;Times;serif"/>
          <w:b/>
          <w:sz w:val="20"/>
        </w:rPr>
      </w:pPr>
      <w:bookmarkStart w:id="56" w:name="Item1FinancialStatements_584850"/>
      <w:bookmarkEnd w:id="56"/>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bookmarkStart w:id="57" w:name="_e2ded5fe_11d2_419e_8dec_244dc6f2fa98"/>
      <w:bookmarkEnd w:id="57"/>
      <w:r>
        <w:rPr>
          <w:rFonts w:ascii="Times New Roman;Times;serif" w:hAnsi="Times New Roman;Times;serif"/>
          <w:b/>
          <w:sz w:val="20"/>
        </w:rPr>
        <w:t>G-III APPAREL GROUP, LTD. AND SUBSIDIARIES</w:t>
      </w:r>
    </w:p>
    <w:p>
      <w:pPr>
        <w:pStyle w:val="TextBody"/>
        <w:bidi w:val="0"/>
        <w:spacing w:before="0" w:after="60"/>
        <w:ind w:left="0" w:right="0" w:hanging="0"/>
        <w:jc w:val="center"/>
        <w:rPr>
          <w:rFonts w:ascii="Times New Roman;Times;serif" w:hAnsi="Times New Roman;Times;serif"/>
          <w:b/>
          <w:sz w:val="20"/>
        </w:rPr>
      </w:pPr>
      <w:bookmarkStart w:id="58" w:name="BALANCESHEETS_VCW"/>
      <w:bookmarkEnd w:id="58"/>
      <w:r>
        <w:rPr>
          <w:rFonts w:ascii="Times New Roman;Times;serif" w:hAnsi="Times New Roman;Times;serif"/>
          <w:b/>
          <w:sz w:val="20"/>
        </w:rPr>
        <w:t>CONDENSED CONSOLIDATED BALANCE SHEETS</w:t>
      </w:r>
    </w:p>
    <w:p>
      <w:pPr>
        <w:pStyle w:val="Normal"/>
        <w:bidi w:val="0"/>
        <w:spacing w:before="0" w:after="0"/>
        <w:jc w:val="left"/>
        <w:rPr>
          <w:sz w:val="4"/>
          <w:szCs w:val="4"/>
        </w:rPr>
      </w:pPr>
      <w:r>
        <w:rPr>
          <w:sz w:val="4"/>
          <w:szCs w:val="4"/>
        </w:rPr>
      </w:r>
      <w:bookmarkStart w:id="59" w:name="Tc_mKpZ11T8mEKLEciPa2Jujg_45_8"/>
      <w:bookmarkStart w:id="60" w:name="Tc_LI7iBfflVkaFNdb4P1gbwA_45_5"/>
      <w:bookmarkStart w:id="61" w:name="Tc_KjBqESLilUKLUQnhMZP2fg_45_2"/>
      <w:bookmarkStart w:id="62" w:name="Tc_m3u_URDmwkCdv6-iac8msQ_45_0"/>
      <w:bookmarkStart w:id="63" w:name="Tc_Z_8gApCZTEaSpgDsbb3TZQ_44_0"/>
      <w:bookmarkStart w:id="64" w:name="Tc_bJJky67D-kK7GBiOpZEUdg_43_0"/>
      <w:bookmarkStart w:id="65" w:name="Tc_u7LbUaYGIUarL8J-JLyEUg_42_0"/>
      <w:bookmarkStart w:id="66" w:name="Tc_SKtz0x8Zgke3qkMdil00Ew_41_0"/>
      <w:bookmarkStart w:id="67" w:name="Tc_GL1QJBZpwEK0c4jDRrLgHw_40_0"/>
      <w:bookmarkStart w:id="68" w:name="Tc_Tij-bgTCY0ifjAZOnSqsWw_39_0"/>
      <w:bookmarkStart w:id="69" w:name="Tc_TM-GjmC05Ua-3cF3o05KGw_38_0"/>
      <w:bookmarkStart w:id="70" w:name="Tc_AIFRcwqNYEKgJPPxtvcLhA_37_0"/>
      <w:bookmarkStart w:id="71" w:name="Tc_Nz7-nTBJoUSLRIeGZt3fDA_35_0"/>
      <w:bookmarkStart w:id="72" w:name="Tc_8iFB6JvodkqixcOAmAortg_34_0"/>
      <w:bookmarkStart w:id="73" w:name="Tc_2Ymh8-e0zk-IONn1LxgQkA_33_0"/>
      <w:bookmarkStart w:id="74" w:name="Tc_B9_x-96b3km6FfvDPhj-Fw_32_0"/>
      <w:bookmarkStart w:id="75" w:name="Tc_gv5PNM6K80-8o9qPMH3rGw_31_0"/>
      <w:bookmarkStart w:id="76" w:name="Tc_ZP8l0QiDS0qt3JULhjDPyw_30_0"/>
      <w:bookmarkStart w:id="77" w:name="Tc_HnFxOsl4jk2x88pqWTPMLA_29_0"/>
      <w:bookmarkStart w:id="78" w:name="Tc_IoBO1bFhQUWkyTnJiJunog_28_0"/>
      <w:bookmarkStart w:id="79" w:name="Tc_9PQIdjThH0e9acz3bE51_A_27_0"/>
      <w:bookmarkStart w:id="80" w:name="Tc_BNuF4ij_LkiRiAL1MX6G6w_26_0"/>
      <w:bookmarkStart w:id="81" w:name="Tc_4qr6UhvVsEib5qAirqsCgQ_25_0"/>
      <w:bookmarkStart w:id="82" w:name="Tc_kxcXO6W8GkaWhFLpO_7oeQ_24_0"/>
      <w:bookmarkStart w:id="83" w:name="Tc_m2L3PiUAOUKKlNngGO_IzA_23_8"/>
      <w:bookmarkStart w:id="84" w:name="Tc_TucTIIZi-kyZrxG6OHwWog_23_5"/>
      <w:bookmarkStart w:id="85" w:name="Tc_BKrtYwBEYkipT0aGJb3wLg_23_2"/>
      <w:bookmarkStart w:id="86" w:name="Tc_G1Vb4F-OVE25GVdZ7zoc-Q_23_0"/>
      <w:bookmarkStart w:id="87" w:name="Tc_cgRzaOShO0OeIvAMBiYf8Q_22_0"/>
      <w:bookmarkStart w:id="88" w:name="Tc_Db8yGY5NrkiG3KgBFvTbNg_21_0"/>
      <w:bookmarkStart w:id="89" w:name="Tc_nbhCJNxJ40GEz5NjhzYkuQ_20_8"/>
      <w:bookmarkStart w:id="90" w:name="Tc_IdZ9h48CX0SQ3-2Pl9OuEQ_20_5"/>
      <w:bookmarkStart w:id="91" w:name="Tc_oJLe0BNBoESOCJvkYwZsfg_20_2"/>
      <w:bookmarkStart w:id="92" w:name="Tc_ECi_BnwlC0yRg9hs1BUwsA_20_0"/>
      <w:bookmarkStart w:id="93" w:name="Tc_O5itnwUZ5UOypCtS8RrXVg_19_0"/>
      <w:bookmarkStart w:id="94" w:name="Tc_I1uvLRmyS0ud9ljKIQ2c2w_18_0"/>
      <w:bookmarkStart w:id="95" w:name="Tc_s4UbJI8ek0uL9m6X7u_wwg_17_0"/>
      <w:bookmarkStart w:id="96" w:name="Tc_MPm2Qf7ZgkC1v0UzR9HRrQ_16_0"/>
      <w:bookmarkStart w:id="97" w:name="Tc_dUtBLsZqPUOWN5Jq9GZMmQ_15_0"/>
      <w:bookmarkStart w:id="98" w:name="Tc_EJtZJKDLCk6l5ZwQWdtzzA_14_0"/>
      <w:bookmarkStart w:id="99" w:name="Tc_YKUUDRYSNUSYSpyg9wGouA_13_0"/>
      <w:bookmarkStart w:id="100" w:name="Tc_K0_lJ012AUCqY9oz5EIz4g_12_0"/>
      <w:bookmarkStart w:id="101" w:name="Tc_hj2iJoC2LkacyzOZi85srg_11_0"/>
      <w:bookmarkStart w:id="102" w:name="Tc_MCbxFPfi90Wsr1hbU-sUQw_10_0"/>
      <w:bookmarkStart w:id="103" w:name="Tc_TIG6fOTMokGP9m6WC3W1-A_9_0"/>
      <w:bookmarkStart w:id="104" w:name="Tc_urk7qhu1TU-7qZePTZKS-Q_8_0"/>
      <w:bookmarkStart w:id="105" w:name="Tc_hQPtYCZ6oUyd9E7Znx0b4A_7_8"/>
      <w:bookmarkStart w:id="106" w:name="Tc_FA3xPh3EC0uQieXiaQq6Wg_7_5"/>
      <w:bookmarkStart w:id="107" w:name="Tc_FuSsewTDuEqWFx60fl1fZA_7_2"/>
      <w:bookmarkStart w:id="108" w:name="Tc__kCnr7yh30OaC8eFiXFb6A_7_0"/>
      <w:bookmarkStart w:id="109" w:name="Tc_OPd_oDTWqEa0oLWcncPa6A_6_0"/>
      <w:bookmarkStart w:id="110" w:name="Tc_316KjXoIwkmMpTTWn01i6Q_5_0"/>
      <w:bookmarkStart w:id="111" w:name="Tc_UI8BEnyYDkamz8LoT8fWVQ_4_2"/>
      <w:bookmarkStart w:id="112" w:name="Tc_IV8JSAWcek6Ml3JOfuF-QQ_3_5"/>
      <w:bookmarkStart w:id="113" w:name="Tc_EShEiLmzkUG9ZEm-FAH65Q_3_2"/>
      <w:bookmarkStart w:id="114" w:name="Tc_SwKstp28pUefIkIMk1QtCA_2_8"/>
      <w:bookmarkStart w:id="115" w:name="Tc_ItmAWqiJb0SQz-CONTVouw_2_5"/>
      <w:bookmarkStart w:id="116" w:name="Tc_dQ4HIbhIY0ursh-BEfq6cA_2_2"/>
      <w:bookmarkStart w:id="117" w:name="Tc_4DeVaQ3NJkyWo_EIn_Zifw_1_8"/>
      <w:bookmarkStart w:id="118" w:name="Tc_BzVUuev0r0Cvxw1fIXFrVA_1_5"/>
      <w:bookmarkStart w:id="119" w:name="Tc_QUz8XzqlLU2fKkRTenNMpQ_1_2"/>
      <w:bookmarkStart w:id="120" w:name="_75933c3a_a737_49d3_b87b_fe535410b0f6"/>
      <w:bookmarkStart w:id="121" w:name="Tc_mKpZ11T8mEKLEciPa2Jujg_45_8"/>
      <w:bookmarkStart w:id="122" w:name="Tc_LI7iBfflVkaFNdb4P1gbwA_45_5"/>
      <w:bookmarkStart w:id="123" w:name="Tc_KjBqESLilUKLUQnhMZP2fg_45_2"/>
      <w:bookmarkStart w:id="124" w:name="Tc_m3u_URDmwkCdv6-iac8msQ_45_0"/>
      <w:bookmarkStart w:id="125" w:name="Tc_Z_8gApCZTEaSpgDsbb3TZQ_44_0"/>
      <w:bookmarkStart w:id="126" w:name="Tc_bJJky67D-kK7GBiOpZEUdg_43_0"/>
      <w:bookmarkStart w:id="127" w:name="Tc_u7LbUaYGIUarL8J-JLyEUg_42_0"/>
      <w:bookmarkStart w:id="128" w:name="Tc_SKtz0x8Zgke3qkMdil00Ew_41_0"/>
      <w:bookmarkStart w:id="129" w:name="Tc_GL1QJBZpwEK0c4jDRrLgHw_40_0"/>
      <w:bookmarkStart w:id="130" w:name="Tc_Tij-bgTCY0ifjAZOnSqsWw_39_0"/>
      <w:bookmarkStart w:id="131" w:name="Tc_TM-GjmC05Ua-3cF3o05KGw_38_0"/>
      <w:bookmarkStart w:id="132" w:name="Tc_AIFRcwqNYEKgJPPxtvcLhA_37_0"/>
      <w:bookmarkStart w:id="133" w:name="Tc_Nz7-nTBJoUSLRIeGZt3fDA_35_0"/>
      <w:bookmarkStart w:id="134" w:name="Tc_8iFB6JvodkqixcOAmAortg_34_0"/>
      <w:bookmarkStart w:id="135" w:name="Tc_2Ymh8-e0zk-IONn1LxgQkA_33_0"/>
      <w:bookmarkStart w:id="136" w:name="Tc_B9_x-96b3km6FfvDPhj-Fw_32_0"/>
      <w:bookmarkStart w:id="137" w:name="Tc_gv5PNM6K80-8o9qPMH3rGw_31_0"/>
      <w:bookmarkStart w:id="138" w:name="Tc_ZP8l0QiDS0qt3JULhjDPyw_30_0"/>
      <w:bookmarkStart w:id="139" w:name="Tc_HnFxOsl4jk2x88pqWTPMLA_29_0"/>
      <w:bookmarkStart w:id="140" w:name="Tc_IoBO1bFhQUWkyTnJiJunog_28_0"/>
      <w:bookmarkStart w:id="141" w:name="Tc_9PQIdjThH0e9acz3bE51_A_27_0"/>
      <w:bookmarkStart w:id="142" w:name="Tc_BNuF4ij_LkiRiAL1MX6G6w_26_0"/>
      <w:bookmarkStart w:id="143" w:name="Tc_4qr6UhvVsEib5qAirqsCgQ_25_0"/>
      <w:bookmarkStart w:id="144" w:name="Tc_kxcXO6W8GkaWhFLpO_7oeQ_24_0"/>
      <w:bookmarkStart w:id="145" w:name="Tc_m2L3PiUAOUKKlNngGO_IzA_23_8"/>
      <w:bookmarkStart w:id="146" w:name="Tc_TucTIIZi-kyZrxG6OHwWog_23_5"/>
      <w:bookmarkStart w:id="147" w:name="Tc_BKrtYwBEYkipT0aGJb3wLg_23_2"/>
      <w:bookmarkStart w:id="148" w:name="Tc_G1Vb4F-OVE25GVdZ7zoc-Q_23_0"/>
      <w:bookmarkStart w:id="149" w:name="Tc_cgRzaOShO0OeIvAMBiYf8Q_22_0"/>
      <w:bookmarkStart w:id="150" w:name="Tc_Db8yGY5NrkiG3KgBFvTbNg_21_0"/>
      <w:bookmarkStart w:id="151" w:name="Tc_nbhCJNxJ40GEz5NjhzYkuQ_20_8"/>
      <w:bookmarkStart w:id="152" w:name="Tc_IdZ9h48CX0SQ3-2Pl9OuEQ_20_5"/>
      <w:bookmarkStart w:id="153" w:name="Tc_oJLe0BNBoESOCJvkYwZsfg_20_2"/>
      <w:bookmarkStart w:id="154" w:name="Tc_ECi_BnwlC0yRg9hs1BUwsA_20_0"/>
      <w:bookmarkStart w:id="155" w:name="Tc_O5itnwUZ5UOypCtS8RrXVg_19_0"/>
      <w:bookmarkStart w:id="156" w:name="Tc_I1uvLRmyS0ud9ljKIQ2c2w_18_0"/>
      <w:bookmarkStart w:id="157" w:name="Tc_s4UbJI8ek0uL9m6X7u_wwg_17_0"/>
      <w:bookmarkStart w:id="158" w:name="Tc_MPm2Qf7ZgkC1v0UzR9HRrQ_16_0"/>
      <w:bookmarkStart w:id="159" w:name="Tc_dUtBLsZqPUOWN5Jq9GZMmQ_15_0"/>
      <w:bookmarkStart w:id="160" w:name="Tc_EJtZJKDLCk6l5ZwQWdtzzA_14_0"/>
      <w:bookmarkStart w:id="161" w:name="Tc_YKUUDRYSNUSYSpyg9wGouA_13_0"/>
      <w:bookmarkStart w:id="162" w:name="Tc_K0_lJ012AUCqY9oz5EIz4g_12_0"/>
      <w:bookmarkStart w:id="163" w:name="Tc_hj2iJoC2LkacyzOZi85srg_11_0"/>
      <w:bookmarkStart w:id="164" w:name="Tc_MCbxFPfi90Wsr1hbU-sUQw_10_0"/>
      <w:bookmarkStart w:id="165" w:name="Tc_TIG6fOTMokGP9m6WC3W1-A_9_0"/>
      <w:bookmarkStart w:id="166" w:name="Tc_urk7qhu1TU-7qZePTZKS-Q_8_0"/>
      <w:bookmarkStart w:id="167" w:name="Tc_hQPtYCZ6oUyd9E7Znx0b4A_7_8"/>
      <w:bookmarkStart w:id="168" w:name="Tc_FA3xPh3EC0uQieXiaQq6Wg_7_5"/>
      <w:bookmarkStart w:id="169" w:name="Tc_FuSsewTDuEqWFx60fl1fZA_7_2"/>
      <w:bookmarkStart w:id="170" w:name="Tc__kCnr7yh30OaC8eFiXFb6A_7_0"/>
      <w:bookmarkStart w:id="171" w:name="Tc_OPd_oDTWqEa0oLWcncPa6A_6_0"/>
      <w:bookmarkStart w:id="172" w:name="Tc_316KjXoIwkmMpTTWn01i6Q_5_0"/>
      <w:bookmarkStart w:id="173" w:name="Tc_UI8BEnyYDkamz8LoT8fWVQ_4_2"/>
      <w:bookmarkStart w:id="174" w:name="Tc_IV8JSAWcek6Ml3JOfuF-QQ_3_5"/>
      <w:bookmarkStart w:id="175" w:name="Tc_EShEiLmzkUG9ZEm-FAH65Q_3_2"/>
      <w:bookmarkStart w:id="176" w:name="Tc_SwKstp28pUefIkIMk1QtCA_2_8"/>
      <w:bookmarkStart w:id="177" w:name="Tc_ItmAWqiJb0SQz-CONTVouw_2_5"/>
      <w:bookmarkStart w:id="178" w:name="Tc_dQ4HIbhIY0ursh-BEfq6cA_2_2"/>
      <w:bookmarkStart w:id="179" w:name="Tc_4DeVaQ3NJkyWo_EIn_Zifw_1_8"/>
      <w:bookmarkStart w:id="180" w:name="Tc_BzVUuev0r0Cvxw1fIXFrVA_1_5"/>
      <w:bookmarkStart w:id="181" w:name="Tc_QUz8XzqlLU2fKkRTenNMpQ_1_2"/>
      <w:bookmarkStart w:id="182" w:name="_75933c3a_a737_49d3_b87b_fe535410b0f6"/>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tbl>
      <w:tblPr>
        <w:tblW w:w="10205" w:type="dxa"/>
        <w:jc w:val="left"/>
        <w:tblInd w:w="0" w:type="dxa"/>
        <w:tblLayout w:type="fixed"/>
        <w:tblCellMar>
          <w:top w:w="0" w:type="dxa"/>
          <w:left w:w="0" w:type="dxa"/>
          <w:bottom w:w="0" w:type="dxa"/>
          <w:right w:w="0" w:type="dxa"/>
        </w:tblCellMar>
      </w:tblPr>
      <w:tblGrid>
        <w:gridCol w:w="5636"/>
        <w:gridCol w:w="346"/>
        <w:gridCol w:w="211"/>
        <w:gridCol w:w="931"/>
        <w:gridCol w:w="346"/>
        <w:gridCol w:w="211"/>
        <w:gridCol w:w="931"/>
        <w:gridCol w:w="346"/>
        <w:gridCol w:w="211"/>
        <w:gridCol w:w="1036"/>
      </w:tblGrid>
      <w:tr>
        <w:trPr/>
        <w:tc>
          <w:tcPr>
            <w:tcW w:w="5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578860" cy="175260"/>
                      <wp:effectExtent l="0" t="0" r="0" b="0"/>
                      <wp:wrapNone/>
                      <wp:docPr id="1" name="Frame1"/>
                      <a:graphic xmlns:a="http://schemas.openxmlformats.org/drawingml/2006/main">
                        <a:graphicData uri="http://schemas.microsoft.com/office/word/2010/wordprocessingShape">
                          <wps:wsp>
                            <wps:cNvSpPr txBox="1"/>
                            <wps:spPr>
                              <a:xfrm>
                                <a:off x="0" y="0"/>
                                <a:ext cx="357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91185" cy="175260"/>
                      <wp:effectExtent l="0" t="0" r="0" b="0"/>
                      <wp:wrapNone/>
                      <wp:docPr id="4" name="Frame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91185" cy="175260"/>
                      <wp:effectExtent l="0" t="0" r="0" b="0"/>
                      <wp:wrapNone/>
                      <wp:docPr id="7" name="Frame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57860" cy="175260"/>
                      <wp:effectExtent l="0" t="0" r="0" b="0"/>
                      <wp:wrapNone/>
                      <wp:docPr id="10" name="Frame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April 30, </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April 30, </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r>
      <w:tr>
        <w:trPr/>
        <w:tc>
          <w:tcPr>
            <w:tcW w:w="5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5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2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394,220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257,785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406,662</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Accounts receivable, net of allowance for doubtful accounts of $18,749, $10,189</w:t>
            </w:r>
            <w:r>
              <w:rPr>
                <w:rFonts w:ascii="Times New Roman;Times;serif" w:hAnsi="Times New Roman;Times;serif"/>
                <w:sz w:val="18"/>
              </w:rPr>
              <w:t xml:space="preserve"> </w:t>
            </w:r>
            <w:r>
              <w:rPr>
                <w:rFonts w:ascii="Times New Roman;Times;serif" w:hAnsi="Times New Roman;Times;serif"/>
                <w:sz w:val="19"/>
              </w:rPr>
              <w:t>and $19,038, respectively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432,855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481,056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537,045</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417,856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456,482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460,029</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Prepaid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9,087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12,288</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Prepaid expenses and other current assets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191,512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50,711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53,023</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Total current assets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1,445,530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1,251,065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1,469,047</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Investments in unconsolidated affiliates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108,289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111,182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110,226</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79,167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72,819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78,042</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Operating lease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263,276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253,884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257,619</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assets,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23,156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66,307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23,903</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intangibles,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24,493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25,564</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income tax assets,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7,201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15,482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7,510</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Trademarks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633,873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618,659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638,909</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2,584,985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2,415,873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2,610,820</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portion of notes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11,044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11,959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7,104</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192,283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200,721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264,005</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117,266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100,486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138,493</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Customer refund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65,778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59,811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76,308</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54,380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49,687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52,244</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Income tax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13,862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10,189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7,135</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376</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Total current liabilities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454,988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433,556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545,665</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Notes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4,363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4,638</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income tax liabilities,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60,227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50,121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61,387</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Noncurrent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223,778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220,235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220,713</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17,504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21,084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18,094</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760,860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731,779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850,497</w:t>
            </w:r>
          </w:p>
        </w:tc>
      </w:tr>
      <w:tr>
        <w:trPr/>
        <w:tc>
          <w:tcPr>
            <w:tcW w:w="5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Preferred stock; 1,000</w:t>
            </w:r>
            <w:r>
              <w:rPr>
                <w:rFonts w:ascii="Times New Roman;Times;serif" w:hAnsi="Times New Roman;Times;serif"/>
                <w:sz w:val="18"/>
              </w:rPr>
              <w:t xml:space="preserve"> </w:t>
            </w:r>
            <w:r>
              <w:rPr>
                <w:rFonts w:ascii="Times New Roman;Times;serif" w:hAnsi="Times New Roman;Times;serif"/>
                <w:sz w:val="19"/>
              </w:rPr>
              <w:t>shares authorized; no</w:t>
            </w:r>
            <w:r>
              <w:rPr>
                <w:rFonts w:ascii="Times New Roman;Times;serif" w:hAnsi="Times New Roman;Times;serif"/>
                <w:sz w:val="18"/>
              </w:rPr>
              <w:t xml:space="preserve"> </w:t>
            </w:r>
            <w:r>
              <w:rPr>
                <w:rFonts w:ascii="Times New Roman;Times;serif" w:hAnsi="Times New Roman;Times;serif"/>
                <w:sz w:val="19"/>
              </w:rPr>
              <w:t>shares issued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Common stock - $0.01</w:t>
            </w:r>
            <w:r>
              <w:rPr>
                <w:rFonts w:ascii="Times New Roman;Times;serif" w:hAnsi="Times New Roman;Times;serif"/>
                <w:sz w:val="18"/>
              </w:rPr>
              <w:t xml:space="preserve"> </w:t>
            </w:r>
            <w:r>
              <w:rPr>
                <w:rFonts w:ascii="Times New Roman;Times;serif" w:hAnsi="Times New Roman;Times;serif"/>
                <w:sz w:val="19"/>
              </w:rPr>
              <w:t>par value; 120,000</w:t>
            </w:r>
            <w:r>
              <w:rPr>
                <w:rFonts w:ascii="Times New Roman;Times;serif" w:hAnsi="Times New Roman;Times;serif"/>
                <w:sz w:val="18"/>
              </w:rPr>
              <w:t xml:space="preserve"> </w:t>
            </w:r>
            <w:r>
              <w:rPr>
                <w:rFonts w:ascii="Times New Roman;Times;serif" w:hAnsi="Times New Roman;Times;serif"/>
                <w:sz w:val="19"/>
              </w:rPr>
              <w:t>shares authorized; 49,396, 49,396</w:t>
            </w:r>
            <w:r>
              <w:rPr>
                <w:rFonts w:ascii="Times New Roman;Times;serif" w:hAnsi="Times New Roman;Times;serif"/>
                <w:sz w:val="18"/>
              </w:rPr>
              <w:t xml:space="preserve"> </w:t>
            </w:r>
            <w:r>
              <w:rPr>
                <w:rFonts w:ascii="Times New Roman;Times;serif" w:hAnsi="Times New Roman;Times;serif"/>
                <w:sz w:val="19"/>
              </w:rPr>
              <w:t>and 49,396</w:t>
            </w:r>
            <w:r>
              <w:rPr>
                <w:rFonts w:ascii="Times New Roman;Times;serif" w:hAnsi="Times New Roman;Times;serif"/>
                <w:sz w:val="18"/>
              </w:rPr>
              <w:t xml:space="preserve"> </w:t>
            </w:r>
            <w:r>
              <w:rPr>
                <w:rFonts w:ascii="Times New Roman;Times;serif" w:hAnsi="Times New Roman;Times;serif"/>
                <w:sz w:val="19"/>
              </w:rPr>
              <w:t>shares issued,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Additional paid-in capital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485,780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463,225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476,005</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Accumulated 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15,605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(9,402)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23,920</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1,479,127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1,361,437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1,416,812</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Common stock held in treasury, at cost - 7,205, 6,102</w:t>
            </w:r>
            <w:r>
              <w:rPr>
                <w:rFonts w:ascii="Times New Roman;Times;serif" w:hAnsi="Times New Roman;Times;serif"/>
                <w:sz w:val="18"/>
              </w:rPr>
              <w:t xml:space="preserve"> </w:t>
            </w:r>
            <w:r>
              <w:rPr>
                <w:rFonts w:ascii="Times New Roman;Times;serif" w:hAnsi="Times New Roman;Times;serif"/>
                <w:sz w:val="19"/>
              </w:rPr>
              <w:t>and 7,206</w:t>
            </w:r>
            <w:r>
              <w:rPr>
                <w:rFonts w:ascii="Times New Roman;Times;serif" w:hAnsi="Times New Roman;Times;serif"/>
                <w:sz w:val="18"/>
              </w:rPr>
              <w:t xml:space="preserve"> </w:t>
            </w:r>
            <w:r>
              <w:rPr>
                <w:rFonts w:ascii="Times New Roman;Times;serif" w:hAnsi="Times New Roman;Times;serif"/>
                <w:sz w:val="19"/>
              </w:rPr>
              <w:t>shares,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(156,651)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(131,430)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(156,678)</w:t>
            </w:r>
          </w:p>
        </w:tc>
      </w:tr>
      <w:tr>
        <w:trPr/>
        <w:tc>
          <w:tcPr>
            <w:tcW w:w="563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1,824,125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1,684,094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1,760,323</w:t>
            </w:r>
          </w:p>
        </w:tc>
      </w:tr>
      <w:tr>
        <w:trPr/>
        <w:tc>
          <w:tcPr>
            <w:tcW w:w="563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2,584,985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2,415,873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2,610,820</w:t>
            </w:r>
          </w:p>
        </w:tc>
      </w:tr>
    </w:tbl>
    <w:p>
      <w:pPr>
        <w:pStyle w:val="TextBody"/>
        <w:bidi w:val="0"/>
        <w:spacing w:before="60" w:after="0"/>
        <w:ind w:left="0" w:right="0" w:hanging="0"/>
        <w:jc w:val="center"/>
        <w:rPr>
          <w:rFonts w:ascii="Times New Roman;Times;serif" w:hAnsi="Times New Roman;Times;serif"/>
          <w:sz w:val="18"/>
        </w:rPr>
      </w:pPr>
      <w:r>
        <w:rPr>
          <w:rFonts w:ascii="Times New Roman;Times;serif" w:hAnsi="Times New Roman;Times;serif"/>
          <w:i/>
          <w:sz w:val="18"/>
        </w:rPr>
        <w:t>The accompanying notes are an integral part of these statements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3" w:name="_f7adc269_d67f_4c77_89b2_8d92a6116619"/>
      <w:bookmarkEnd w:id="183"/>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bookmarkStart w:id="184" w:name="IncomeStatement_VCW"/>
      <w:bookmarkStart w:id="185" w:name="COMPREHENSIVELOSS_858937"/>
      <w:bookmarkEnd w:id="184"/>
      <w:bookmarkEnd w:id="185"/>
      <w:r>
        <w:rPr>
          <w:rFonts w:ascii="Times New Roman;Times;serif" w:hAnsi="Times New Roman;Times;serif"/>
          <w:b/>
          <w:sz w:val="20"/>
        </w:rPr>
        <w:t xml:space="preserve">CONDENSED CONSOLIDATED STATEMENTS OF INCOME AND COMPREHENSIVE INCOME </w:t>
      </w:r>
    </w:p>
    <w:p>
      <w:pPr>
        <w:pStyle w:val="Normal"/>
        <w:bidi w:val="0"/>
        <w:spacing w:before="0" w:after="0"/>
        <w:jc w:val="left"/>
        <w:rPr>
          <w:sz w:val="4"/>
          <w:szCs w:val="4"/>
        </w:rPr>
      </w:pPr>
      <w:r>
        <w:rPr>
          <w:sz w:val="4"/>
          <w:szCs w:val="4"/>
        </w:rPr>
      </w:r>
      <w:bookmarkStart w:id="186" w:name="Tc_QJt2OfSfW0S0466U-4NPuA_31_5"/>
      <w:bookmarkStart w:id="187" w:name="Tc_-7guC2nLekuEn8xR8jbtUg_31_2"/>
      <w:bookmarkStart w:id="188" w:name="Tc_JBXzpIDoOES6ELBSa4FHhA_31_0"/>
      <w:bookmarkStart w:id="189" w:name="Tc_Ac5X_GYUC0iVC64ijLfs7Q_30_0"/>
      <w:bookmarkStart w:id="190" w:name="Tc_kJ66lXpKzUOap0R0tX1-PA_29_0"/>
      <w:bookmarkStart w:id="191" w:name="Tc_AFlbAdLinkW_13T2svj85w_28_0"/>
      <w:bookmarkStart w:id="192" w:name="Tc_CQRejIpHfkW4kwKqgqv-WQ_27_5"/>
      <w:bookmarkStart w:id="193" w:name="Tc_kqJjwFZrqkSlk6wuQzvKXg_27_2"/>
      <w:bookmarkStart w:id="194" w:name="Tc_a3FwEoOl60m9DK8HOOHYEA_27_0"/>
      <w:bookmarkStart w:id="195" w:name="Tc_UdWGbZXMOkilf-Ox37EB8g_25_0"/>
      <w:bookmarkStart w:id="196" w:name="Tc_W-StYK2DtkCqnbfC6fKt9g_24_5"/>
      <w:bookmarkStart w:id="197" w:name="Tc_eg7E2jF71kGY35C713qn2w_24_2"/>
      <w:bookmarkStart w:id="198" w:name="Tc_UYutkfSEfUiW06ne27Gw9g_24_0"/>
      <w:bookmarkStart w:id="199" w:name="Tc_39GQC4VhmEyxcWZECvk-lA_23_0"/>
      <w:bookmarkStart w:id="200" w:name="Tc_K1Cngx4TY02717o-hqpGRg_21_0"/>
      <w:bookmarkStart w:id="201" w:name="Tc_x_WDF3YWn0W9koPtUMWPwA_20_5"/>
      <w:bookmarkStart w:id="202" w:name="Tc_3GaScNZUG0W2JZcmUznweg_20_2"/>
      <w:bookmarkStart w:id="203" w:name="Tc_6DszeTmbXUO6OzM2WWvy_A_20_0"/>
      <w:bookmarkStart w:id="204" w:name="Tc_BFkx8T_SYkWUFA77HBjcvg_19_0"/>
      <w:bookmarkStart w:id="205" w:name="Tc__WDqha6ubEWIPTsAlNtLmg_18_0"/>
      <w:bookmarkStart w:id="206" w:name="Tc_yeT5jro6ckOAzTX3vDaqnQ_15_5"/>
      <w:bookmarkStart w:id="207" w:name="Tc_XIaNDEIiKka6wcWMgPMyKA_15_2"/>
      <w:bookmarkStart w:id="208" w:name="Tc_Vb3RY8TOnEujn1Ddtc8ppA_15_0"/>
      <w:bookmarkStart w:id="209" w:name="Tc_pj_6gQhcYkeElkKRHTQ9KQ_14_0"/>
      <w:bookmarkStart w:id="210" w:name="Tc_4plmHM_6qUah-zons41GqA_13_0"/>
      <w:bookmarkStart w:id="211" w:name="Tc_edXRHPFI-kuXqeNJ3GkzfQ_12_0"/>
      <w:bookmarkStart w:id="212" w:name="Tc_OfhXlmZ83EqN8fc9rQVNOQ_11_0"/>
      <w:bookmarkStart w:id="213" w:name="Tc_zkDVvtdV_k6IHdMrqs2nRg_10_0"/>
      <w:bookmarkStart w:id="214" w:name="Tc_Zsj-lxnWH0WWT-FZFJ3g0g_9_0"/>
      <w:bookmarkStart w:id="215" w:name="Tc_p1zheRbgt0qH7XZLK8WTdA_8_0"/>
      <w:bookmarkStart w:id="216" w:name="Tc_6N5K25DWpUeH6ngE5MuT0A_7_0"/>
      <w:bookmarkStart w:id="217" w:name="Tc_d3nskZ_QI0i6yiuxlombVA_6_0"/>
      <w:bookmarkStart w:id="218" w:name="Tc_VTsd0jQng02IyKgi0uhe-w_5_5"/>
      <w:bookmarkStart w:id="219" w:name="Tc_lBDOWe33O0ehwi_SUUnOeQ_5_2"/>
      <w:bookmarkStart w:id="220" w:name="Tc_SkpMfmo6AEaWds-G05o9yw_5_0"/>
      <w:bookmarkStart w:id="221" w:name="Tc_GrMzhl5vgE2Z3gkFlz1VDQ_4_2"/>
      <w:bookmarkStart w:id="222" w:name="Tc_5fwak7Qoy0il6oKV_obTpw_3_2"/>
      <w:bookmarkStart w:id="223" w:name="Tc_obVvlHKkW02cnH5AyTSD6Q_2_5"/>
      <w:bookmarkStart w:id="224" w:name="Tc_wB2FUuMhL0CnwgUYnRnJdQ_2_2"/>
      <w:bookmarkStart w:id="225" w:name="Tc_1ogmF_PHHE-wm7ub3PQ26g_1_2"/>
      <w:bookmarkStart w:id="226" w:name="_6c539662_6db4_4445_af8f_c0abfa4b34a3"/>
      <w:bookmarkStart w:id="227" w:name="Tc_QJt2OfSfW0S0466U-4NPuA_31_5"/>
      <w:bookmarkStart w:id="228" w:name="Tc_-7guC2nLekuEn8xR8jbtUg_31_2"/>
      <w:bookmarkStart w:id="229" w:name="Tc_JBXzpIDoOES6ELBSa4FHhA_31_0"/>
      <w:bookmarkStart w:id="230" w:name="Tc_Ac5X_GYUC0iVC64ijLfs7Q_30_0"/>
      <w:bookmarkStart w:id="231" w:name="Tc_kJ66lXpKzUOap0R0tX1-PA_29_0"/>
      <w:bookmarkStart w:id="232" w:name="Tc_AFlbAdLinkW_13T2svj85w_28_0"/>
      <w:bookmarkStart w:id="233" w:name="Tc_CQRejIpHfkW4kwKqgqv-WQ_27_5"/>
      <w:bookmarkStart w:id="234" w:name="Tc_kqJjwFZrqkSlk6wuQzvKXg_27_2"/>
      <w:bookmarkStart w:id="235" w:name="Tc_a3FwEoOl60m9DK8HOOHYEA_27_0"/>
      <w:bookmarkStart w:id="236" w:name="Tc_UdWGbZXMOkilf-Ox37EB8g_25_0"/>
      <w:bookmarkStart w:id="237" w:name="Tc_W-StYK2DtkCqnbfC6fKt9g_24_5"/>
      <w:bookmarkStart w:id="238" w:name="Tc_eg7E2jF71kGY35C713qn2w_24_2"/>
      <w:bookmarkStart w:id="239" w:name="Tc_UYutkfSEfUiW06ne27Gw9g_24_0"/>
      <w:bookmarkStart w:id="240" w:name="Tc_39GQC4VhmEyxcWZECvk-lA_23_0"/>
      <w:bookmarkStart w:id="241" w:name="Tc_K1Cngx4TY02717o-hqpGRg_21_0"/>
      <w:bookmarkStart w:id="242" w:name="Tc_x_WDF3YWn0W9koPtUMWPwA_20_5"/>
      <w:bookmarkStart w:id="243" w:name="Tc_3GaScNZUG0W2JZcmUznweg_20_2"/>
      <w:bookmarkStart w:id="244" w:name="Tc_6DszeTmbXUO6OzM2WWvy_A_20_0"/>
      <w:bookmarkStart w:id="245" w:name="Tc_BFkx8T_SYkWUFA77HBjcvg_19_0"/>
      <w:bookmarkStart w:id="246" w:name="Tc__WDqha6ubEWIPTsAlNtLmg_18_0"/>
      <w:bookmarkStart w:id="247" w:name="Tc_yeT5jro6ckOAzTX3vDaqnQ_15_5"/>
      <w:bookmarkStart w:id="248" w:name="Tc_XIaNDEIiKka6wcWMgPMyKA_15_2"/>
      <w:bookmarkStart w:id="249" w:name="Tc_Vb3RY8TOnEujn1Ddtc8ppA_15_0"/>
      <w:bookmarkStart w:id="250" w:name="Tc_pj_6gQhcYkeElkKRHTQ9KQ_14_0"/>
      <w:bookmarkStart w:id="251" w:name="Tc_4plmHM_6qUah-zons41GqA_13_0"/>
      <w:bookmarkStart w:id="252" w:name="Tc_edXRHPFI-kuXqeNJ3GkzfQ_12_0"/>
      <w:bookmarkStart w:id="253" w:name="Tc_OfhXlmZ83EqN8fc9rQVNOQ_11_0"/>
      <w:bookmarkStart w:id="254" w:name="Tc_zkDVvtdV_k6IHdMrqs2nRg_10_0"/>
      <w:bookmarkStart w:id="255" w:name="Tc_Zsj-lxnWH0WWT-FZFJ3g0g_9_0"/>
      <w:bookmarkStart w:id="256" w:name="Tc_p1zheRbgt0qH7XZLK8WTdA_8_0"/>
      <w:bookmarkStart w:id="257" w:name="Tc_6N5K25DWpUeH6ngE5MuT0A_7_0"/>
      <w:bookmarkStart w:id="258" w:name="Tc_d3nskZ_QI0i6yiuxlombVA_6_0"/>
      <w:bookmarkStart w:id="259" w:name="Tc_VTsd0jQng02IyKgi0uhe-w_5_5"/>
      <w:bookmarkStart w:id="260" w:name="Tc_lBDOWe33O0ehwi_SUUnOeQ_5_2"/>
      <w:bookmarkStart w:id="261" w:name="Tc_SkpMfmo6AEaWds-G05o9yw_5_0"/>
      <w:bookmarkStart w:id="262" w:name="Tc_GrMzhl5vgE2Z3gkFlz1VDQ_4_2"/>
      <w:bookmarkStart w:id="263" w:name="Tc_5fwak7Qoy0il6oKV_obTpw_3_2"/>
      <w:bookmarkStart w:id="264" w:name="Tc_obVvlHKkW02cnH5AyTSD6Q_2_5"/>
      <w:bookmarkStart w:id="265" w:name="Tc_wB2FUuMhL0CnwgUYnRnJdQ_2_2"/>
      <w:bookmarkStart w:id="266" w:name="Tc_1ogmF_PHHE-wm7ub3PQ26g_1_2"/>
      <w:bookmarkStart w:id="267" w:name="_6c539662_6db4_4445_af8f_c0abfa4b34a3"/>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tbl>
      <w:tblPr>
        <w:tblW w:w="7248" w:type="dxa"/>
        <w:jc w:val="left"/>
        <w:tblInd w:w="0" w:type="dxa"/>
        <w:tblLayout w:type="fixed"/>
        <w:tblCellMar>
          <w:top w:w="0" w:type="dxa"/>
          <w:left w:w="0" w:type="dxa"/>
          <w:bottom w:w="0" w:type="dxa"/>
          <w:right w:w="0" w:type="dxa"/>
        </w:tblCellMar>
      </w:tblPr>
      <w:tblGrid>
        <w:gridCol w:w="4021"/>
        <w:gridCol w:w="109"/>
        <w:gridCol w:w="276"/>
        <w:gridCol w:w="1025"/>
        <w:gridCol w:w="453"/>
        <w:gridCol w:w="276"/>
        <w:gridCol w:w="1088"/>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53335" cy="175260"/>
                      <wp:effectExtent l="0" t="0" r="0" b="0"/>
                      <wp:wrapNone/>
                      <wp:docPr id="11" name="Frame11"/>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75260" cy="175260"/>
                      <wp:effectExtent l="0" t="0" r="0" b="0"/>
                      <wp:wrapNone/>
                      <wp:docPr id="13" name="Frame13"/>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0875" cy="175260"/>
                      <wp:effectExtent l="0" t="0" r="0" b="0"/>
                      <wp:wrapNone/>
                      <wp:docPr id="14" name="Frame14"/>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87655" cy="175260"/>
                      <wp:effectExtent l="0" t="0" r="0" b="0"/>
                      <wp:wrapNone/>
                      <wp:docPr id="15" name="Frame15"/>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75260" cy="175260"/>
                      <wp:effectExtent l="0" t="0" r="0" b="0"/>
                      <wp:wrapNone/>
                      <wp:docPr id="16" name="Frame16"/>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0880" cy="175260"/>
                      <wp:effectExtent l="0" t="0" r="0" b="0"/>
                      <wp:wrapNone/>
                      <wp:docPr id="17" name="Frame17"/>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April 30, </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3" w:type="dxa"/>
            <w:tcBorders/>
            <w:vAlign w:val="center"/>
          </w:tcPr>
          <w:p>
            <w:pPr>
              <w:pStyle w:val="TableContents"/>
              <w:bidi w:val="0"/>
              <w:spacing w:before="0" w:after="0"/>
              <w:ind w:left="0" w:right="0" w:hanging="0"/>
              <w:jc w:val="left"/>
              <w:rPr/>
            </w:pPr>
            <w:r>
              <w:rPr/>
              <w:t>  ​ ​ ​</w:t>
            </w:r>
          </w:p>
        </w:tc>
        <w:tc>
          <w:tcPr>
            <w:tcW w:w="1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4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1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1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sales</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535,962</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583,609</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Cost of goods sold</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188,216</w:t>
            </w:r>
          </w:p>
        </w:tc>
        <w:tc>
          <w:tcPr>
            <w:tcW w:w="453"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337,065</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347,746</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246,544</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255,323</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231,495</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7,188</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6,573</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profit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85,235</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8,476</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(802)</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3,462</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and financing charges, net</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1,174</w:t>
            </w:r>
          </w:p>
        </w:tc>
        <w:tc>
          <w:tcPr>
            <w:tcW w:w="453"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(461)</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Income before income taxes </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85,607</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11,477</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Income tax expense</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19,073</w:t>
            </w:r>
          </w:p>
        </w:tc>
        <w:tc>
          <w:tcPr>
            <w:tcW w:w="453"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3,718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66,534</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7,759</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left"/>
              <w:rPr/>
            </w:pPr>
            <w:r>
              <w:rPr/>
              <w:t>​</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left"/>
              <w:rPr/>
            </w:pPr>
            <w:r>
              <w:rPr/>
              <w:t>​</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INCOME PER COMMON SHARE:</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left"/>
              <w:rPr/>
            </w:pPr>
            <w:r>
              <w:rPr/>
              <w:t>​</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left"/>
              <w:rPr/>
            </w:pPr>
            <w:r>
              <w:rPr/>
              <w:t>​</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per common share</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1.58</w:t>
            </w:r>
          </w:p>
        </w:tc>
        <w:tc>
          <w:tcPr>
            <w:tcW w:w="453"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Weighted average number of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42,189</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43,748</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left"/>
              <w:rPr/>
            </w:pPr>
            <w:r>
              <w:rPr/>
              <w:t>​</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left"/>
              <w:rPr/>
            </w:pPr>
            <w:r>
              <w:rPr/>
              <w:t>​</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per common share</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w:t>
            </w:r>
          </w:p>
        </w:tc>
        <w:tc>
          <w:tcPr>
            <w:tcW w:w="453"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0.17</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Weighted average number of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44,394</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45,385</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left"/>
              <w:rPr/>
            </w:pPr>
            <w:r>
              <w:rPr/>
              <w:t>​</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66,534</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7,759</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left"/>
              <w:rPr/>
            </w:pPr>
            <w:r>
              <w:rPr/>
              <w:t>​</w:t>
            </w:r>
          </w:p>
        </w:tc>
        <w:tc>
          <w:tcPr>
            <w:tcW w:w="453"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Foreign currency translation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(8,315)</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16,117</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(8,315)</w:t>
            </w:r>
          </w:p>
        </w:tc>
        <w:tc>
          <w:tcPr>
            <w:tcW w:w="453"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16,117</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58,219</w:t>
            </w:r>
          </w:p>
        </w:tc>
        <w:tc>
          <w:tcPr>
            <w:tcW w:w="453"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8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23,876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8" w:name="_f038b1ff_4b05_4ca4_96f3_6e72711b9e00"/>
      <w:bookmarkEnd w:id="268"/>
      <w:r>
        <w:rPr>
          <w:rFonts w:ascii="Times New Roman;Times;serif" w:hAnsi="Times New Roman;Times;serif"/>
          <w:b/>
          <w:sz w:val="20"/>
        </w:rPr>
        <w:t>G-III APPAREL GROUP, LTD. AND SUBSIDIARIES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69" w:name="EquityStatement_VCW"/>
      <w:bookmarkEnd w:id="269"/>
      <w:r>
        <w:rPr>
          <w:rFonts w:ascii="Times New Roman;Times;serif" w:hAnsi="Times New Roman;Times;serif"/>
          <w:b/>
          <w:sz w:val="20"/>
        </w:rPr>
        <w:t>CONDENSED CONSOLIDATED STATEMENTS OF STOCKHOLDERS’ EQUITY</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70" w:name="Tc_yt490fVOEEWpWGR3pJmnbg_24_20"/>
      <w:bookmarkStart w:id="271" w:name="Tc_fd1rvzsCAkeLi9S_N7lecg_24_17"/>
      <w:bookmarkStart w:id="272" w:name="Tc_4fxJHrqeHEK11mkIXoFxTw_24_12"/>
      <w:bookmarkStart w:id="273" w:name="Tc_Zs4kpjZfyk2-rkVg27p3cw_24_9"/>
      <w:bookmarkStart w:id="274" w:name="Tc_7mTk0mQvV0SNVKh9R-ZLTg_24_6"/>
      <w:bookmarkStart w:id="275" w:name="Tc_EnDvOmXJMkaleKki2ztvdg_24_3"/>
      <w:bookmarkStart w:id="276" w:name="Tc_PhU57UWFyE2a52D2hLlX6w_24_0"/>
      <w:bookmarkStart w:id="277" w:name="Tc_LtyBEJlBvk-hWYq2vcd_tQ_23_18"/>
      <w:bookmarkStart w:id="278" w:name="Tc_D1gzOn1oPkWkGvyuxGoHVQ_23_15"/>
      <w:bookmarkStart w:id="279" w:name="Tc_MRFDC-ThKUq9I_dfihtGvw_23_10"/>
      <w:bookmarkStart w:id="280" w:name="Tc_iN28iI8d6EOv7SW8bAHoNw_23_7"/>
      <w:bookmarkStart w:id="281" w:name="Tc_yDhR7gDnu0CJw0kg9y6YhQ_23_4"/>
      <w:bookmarkStart w:id="282" w:name="Tc_FeaswkmysEqKVUAkmj9wmg_23_1"/>
      <w:bookmarkStart w:id="283" w:name="Tc_diUXeDhNB0a3ieUr-FaZcA_23_0"/>
      <w:bookmarkStart w:id="284" w:name="Tc_VQFqY-Y8902o8s2GpkMSew_22_15"/>
      <w:bookmarkStart w:id="285" w:name="Tc_6CJVs6lnJ0uHNFoPPrzPwQ_22_13"/>
      <w:bookmarkStart w:id="286" w:name="Tc_G04bvQ6cHUOfA0KAgXS79Q_22_10"/>
      <w:bookmarkStart w:id="287" w:name="Tc_pklQc1VtZUOKxv7bSnW6PA_22_7"/>
      <w:bookmarkStart w:id="288" w:name="Tc_6TsiEAW_jkmNop2CnQSiyg_22_4"/>
      <w:bookmarkStart w:id="289" w:name="Tc_zajH8UB-1kO90HcIy2GEHg_22_1"/>
      <w:bookmarkStart w:id="290" w:name="Tc_DNWF5gr11EiM00J5hTDifw_22_0"/>
      <w:bookmarkStart w:id="291" w:name="Tc_RPwTrqvODE2WETLVZ8S4Ng_21_13"/>
      <w:bookmarkStart w:id="292" w:name="Tc_P83HJKQGQ0e-9wbVHsFjzQ_21_10"/>
      <w:bookmarkStart w:id="293" w:name="Tc_x_J59VViykSMyyTy02vN9A_21_7"/>
      <w:bookmarkStart w:id="294" w:name="Tc_pIjb_PCi-0u4oguX75jSyw_21_4"/>
      <w:bookmarkStart w:id="295" w:name="Tc_xGf-wnfHVUeyjA_rrL2c2w_21_1"/>
      <w:bookmarkStart w:id="296" w:name="Tc_mVWML3XMZk6EizwmUhX0lw_21_0"/>
      <w:bookmarkStart w:id="297" w:name="Tc_2cq6q68yl0S1oCbE0gQbTg_20_18"/>
      <w:bookmarkStart w:id="298" w:name="Tc_pb1TSzFkeEWsAuAkDOblUA_20_15"/>
      <w:bookmarkStart w:id="299" w:name="Tc_RRTdxFVU9EmryqUk1YO5cw_20_13"/>
      <w:bookmarkStart w:id="300" w:name="Tc_agszLKDfqEGFOkw_3RsIRw_20_7"/>
      <w:bookmarkStart w:id="301" w:name="Tc_BiyAGt25l0e9t3Q-oxwopw_20_4"/>
      <w:bookmarkStart w:id="302" w:name="Tc_Tzo-orQjuUmWlbKUVb9I_g_20_1"/>
      <w:bookmarkStart w:id="303" w:name="Tc_d66oOTWLX0WhS4JkYxUQuw_20_0"/>
      <w:bookmarkStart w:id="304" w:name="Tc_ihGa3WZYxkmRHytrQybZGQ_19_18"/>
      <w:bookmarkStart w:id="305" w:name="Tc_lDwHCNiAi02_LbjwJ7xfSQ_19_15"/>
      <w:bookmarkStart w:id="306" w:name="Tc_9c1Lpdtfmk-jge8UZPABvg_19_13"/>
      <w:bookmarkStart w:id="307" w:name="Tc_Cd_W3rMZpU-C6fQSKe45dQ_19_10"/>
      <w:bookmarkStart w:id="308" w:name="Tc_ntqlvp8pRUeIXgHDcJMa5A_19_4"/>
      <w:bookmarkStart w:id="309" w:name="Tc_K7597MIdo0e_dh74rCUkkw_19_1"/>
      <w:bookmarkStart w:id="310" w:name="Tc_M6AHw9MC_Eyea1w3ptxBCA_19_0"/>
      <w:bookmarkStart w:id="311" w:name="Tc_6AiTuNPdekS0FRTeT_CBWw_18_18"/>
      <w:bookmarkStart w:id="312" w:name="Tc__ojSU8vOTEeS7H-_Ztd-wQ_18_15"/>
      <w:bookmarkStart w:id="313" w:name="Tc_AdpbO4rTGU69tlo1Yu-psg_18_13"/>
      <w:bookmarkStart w:id="314" w:name="Tc_8349nSJLnkCT9-DMm_qZHQ_18_10"/>
      <w:bookmarkStart w:id="315" w:name="Tc_V04zXAtEw0uOfP4-gGuGJA_18_4"/>
      <w:bookmarkStart w:id="316" w:name="Tc_aN3oerWL802LGzRTNKNjTA_18_1"/>
      <w:bookmarkStart w:id="317" w:name="Tc_P0NgEl9Qg0Smk5s7hU_VPg_18_0"/>
      <w:bookmarkStart w:id="318" w:name="Tc_XmIbnRyun0GRUyxRikPuEg_17_21"/>
      <w:bookmarkStart w:id="319" w:name="Tc_RlRsd-GwU0SXqRyX0grSJA_17_13"/>
      <w:bookmarkStart w:id="320" w:name="Tc_-QKqmf0fXk-e6k_sOAx-Mg_17_10"/>
      <w:bookmarkStart w:id="321" w:name="Tc_3KAXoNUzz0-rB8XQ2nUoGg_17_4"/>
      <w:bookmarkStart w:id="322" w:name="Tc_GLp4n80880azeVr6QcNawg_17_1"/>
      <w:bookmarkStart w:id="323" w:name="Tc_vOCsGqaD50OEqo-6Vm_Q8A_17_0"/>
      <w:bookmarkStart w:id="324" w:name="Tc_QjTcImgUjU-mD17Gy1xrnQ_16_20"/>
      <w:bookmarkStart w:id="325" w:name="Tc_MKp6goGgAkSLI2RhVmTqCA_16_17"/>
      <w:bookmarkStart w:id="326" w:name="Tc_YYWtPt8WH0el5tFAw_p2ZA_16_12"/>
      <w:bookmarkStart w:id="327" w:name="Tc_fUjAnRrm1UeYFEqBNQh8qg_16_9"/>
      <w:bookmarkStart w:id="328" w:name="Tc_9zyvQHVjIUma44_qFpWB7Q_16_6"/>
      <w:bookmarkStart w:id="329" w:name="Tc_juqqMNYrjUqSk6AqNyx5YA_16_3"/>
      <w:bookmarkStart w:id="330" w:name="Tc_F36LTXhWjkWQ2anJjybHcQ_16_0"/>
      <w:bookmarkStart w:id="331" w:name="Tc_zWKPE_Dcf0-mgjwLNpnZ0Q_14_20"/>
      <w:bookmarkStart w:id="332" w:name="Tc_5OAcAf4OkkKXqXXm6MJJ4Q_14_17"/>
      <w:bookmarkStart w:id="333" w:name="Tc_wGgiCtu3a0S2M4HmGRvsGA_14_12"/>
      <w:bookmarkStart w:id="334" w:name="Tc_7-AaVzy6AE295i5hKYPOdA_14_9"/>
      <w:bookmarkStart w:id="335" w:name="Tc_yzErMW27GEG4TVohRL_2HQ_14_6"/>
      <w:bookmarkStart w:id="336" w:name="Tc_26EzY2jCFUmgdwjHdlg2lg_14_3"/>
      <w:bookmarkStart w:id="337" w:name="Tc_xpUz4SJ7Fkq3Vt7RHxAWww_14_0"/>
      <w:bookmarkStart w:id="338" w:name="Tc_BfPl5Ol_l02Tzdr8dvnkig_13_18"/>
      <w:bookmarkStart w:id="339" w:name="Tc_8--UIV7-qkqwk2NUbR_kzA_13_15"/>
      <w:bookmarkStart w:id="340" w:name="Tc_-DgMAN7ywUa0fqrQF9CvWQ_13_10"/>
      <w:bookmarkStart w:id="341" w:name="Tc_vKDjq1rB90q9OFofTWUD0g_13_7"/>
      <w:bookmarkStart w:id="342" w:name="Tc_UGGWQin7ikClH_qnIty04w_13_4"/>
      <w:bookmarkStart w:id="343" w:name="Tc_fAUtNb_3ZU-KZTLcO4HjAw_13_1"/>
      <w:bookmarkStart w:id="344" w:name="Tc_LlLs4Et2kUmp0ktM4s-8UA_13_0"/>
      <w:bookmarkStart w:id="345" w:name="Tc_ribYo4PiykKH9A7WyFK44A_12_18"/>
      <w:bookmarkStart w:id="346" w:name="Tc_deRdBRMhg0OZgv14LnrN5w_12_15"/>
      <w:bookmarkStart w:id="347" w:name="Tc_d3NHhSuGQkuAhQgpY1FNeg_12_10"/>
      <w:bookmarkStart w:id="348" w:name="Tc_NhCsBrqTYky7xUmfvuo6UQ_12_7"/>
      <w:bookmarkStart w:id="349" w:name="Tc_1j6Kdy7B2UOiEf7LrtfQWA_12_4"/>
      <w:bookmarkStart w:id="350" w:name="Tc_G-ZzDnCHokSuoPiEOT5WxA_12_1"/>
      <w:bookmarkStart w:id="351" w:name="Tc_uc7pyDGK20-E6nphZawaBw_12_0"/>
      <w:bookmarkStart w:id="352" w:name="Tc_Y0HIGS0u0EOwS-Xa3bb4Yw_11_18"/>
      <w:bookmarkStart w:id="353" w:name="Tc_YxpnaQ_R-ESNwvF4n8U2zA_11_15"/>
      <w:bookmarkStart w:id="354" w:name="Tc_WG5fZM04GUKCPmSTBNN8Cg_11_13"/>
      <w:bookmarkStart w:id="355" w:name="Tc_4EP-EruD0kicXCejRDOggQ_11_7"/>
      <w:bookmarkStart w:id="356" w:name="Tc_soXsnKE_1UqlrgZqSkWjUg_11_4"/>
      <w:bookmarkStart w:id="357" w:name="Tc_zIMvNgsw1EOnRf8wbuokWA_11_1"/>
      <w:bookmarkStart w:id="358" w:name="Tc_cPpma-LcUkup3tHlaU908g_11_0"/>
      <w:bookmarkStart w:id="359" w:name="Tc_229EbjyUoE6x0af_asL24A_10_18"/>
      <w:bookmarkStart w:id="360" w:name="Tc_yi0ga33KYU6JcsCkBVYFLQ_10_15"/>
      <w:bookmarkStart w:id="361" w:name="Tc_zZ94_8ADwkKE4WH8swFR7w_10_13"/>
      <w:bookmarkStart w:id="362" w:name="Tc_eiem-mVVGUawQjb4TdNzQg_10_10"/>
      <w:bookmarkStart w:id="363" w:name="Tc_URVmjAr0M0ODbWnjmKJvIA_10_4"/>
      <w:bookmarkStart w:id="364" w:name="Tc_enImeWkq-0u1xMhDm6SGew_10_1"/>
      <w:bookmarkStart w:id="365" w:name="Tc_PA5Qu27JC0ilQRq9kUsDkQ_10_0"/>
      <w:bookmarkStart w:id="366" w:name="Tc_lLzneaCmIE-IZCEJRp_6EQ_9_13"/>
      <w:bookmarkStart w:id="367" w:name="Tc_lVzAm1g0sUWBqDl9UzybLg_9_10"/>
      <w:bookmarkStart w:id="368" w:name="Tc_h0_0ikWPV0CWpp2VjsNPiQ_9_4"/>
      <w:bookmarkStart w:id="369" w:name="Tc_6cvoRmD1NEiKPnjP0lP6nA_9_1"/>
      <w:bookmarkStart w:id="370" w:name="Tc_nZ2lgr8hkk6wnDVnJqKlZg_9_0"/>
      <w:bookmarkStart w:id="371" w:name="Tc_gGVrOhSsxEO78vohGOiOuA_8_20"/>
      <w:bookmarkStart w:id="372" w:name="Tc_VOFGGhVWV0yYJ1HxQFmdog_8_17"/>
      <w:bookmarkStart w:id="373" w:name="Tc_fDcly-iAyUOkpAcXVjEEKQ_8_12"/>
      <w:bookmarkStart w:id="374" w:name="Tc_wpvUV8_rG0CR0ninbXDXuA_8_9"/>
      <w:bookmarkStart w:id="375" w:name="Tc__VNqkVNKvU-rxKP0JKoknA_8_6"/>
      <w:bookmarkStart w:id="376" w:name="Tc_Nq4N2muQvE6x6MVKDETSqg_8_3"/>
      <w:bookmarkStart w:id="377" w:name="Tc_93RsmK9p8EqkkXMv3b0DNg_8_0"/>
      <w:bookmarkStart w:id="378" w:name="Tc_I7pgnvZCikeDRnvx3Gejuw_7_1"/>
      <w:bookmarkStart w:id="379" w:name="Tc_Rw3uJ0omk02SbRM_kz80Qw_6_1"/>
      <w:bookmarkStart w:id="380" w:name="Tc_RQjxouZK8UySWwdRNuAEjw_5_20"/>
      <w:bookmarkStart w:id="381" w:name="Tc_SoTB8BttsEuczmR9xkHpag_5_17"/>
      <w:bookmarkStart w:id="382" w:name="Tc_DirB9hOKhEG5NShkv5PeyA_5_15"/>
      <w:bookmarkStart w:id="383" w:name="Tc_-0ZoftoB306G8LKqBOMUsg_5_12"/>
      <w:bookmarkStart w:id="384" w:name="Tc_5bWVObGQIEuwtGb6nvvQVA_5_9"/>
      <w:bookmarkStart w:id="385" w:name="Tc_DxtxIaWH2Um0tsbhExS0FQ_5_6"/>
      <w:bookmarkStart w:id="386" w:name="Tc_QP_6k0zEkk67mM3EpWg-jw_5_3"/>
      <w:bookmarkStart w:id="387" w:name="Tc_7SZd3W-JJk6_AjABQkoAxg_5_1"/>
      <w:bookmarkStart w:id="388" w:name="Tc_TjSQBRRKikmoFd7LI5ThVA_4_15"/>
      <w:bookmarkStart w:id="389" w:name="Tc_JOwZ-6wHC0C5DN2i3KSszw_4_12"/>
      <w:bookmarkStart w:id="390" w:name="Tc_fgITRnFMMkyCS5PnwdvOBg_4_9"/>
      <w:bookmarkStart w:id="391" w:name="Tc_rJRD34tZzEOQNteZB9WmTg_4_6"/>
      <w:bookmarkStart w:id="392" w:name="Tc_fyzVQJlDk0Ck_AAikY5pig_4_1"/>
      <w:bookmarkStart w:id="393" w:name="Tc_se2PD6wldk6r2aPByvojoA_3_15"/>
      <w:bookmarkStart w:id="394" w:name="Tc_V-kl5dPAOEmttJ47RsB74Q_3_9"/>
      <w:bookmarkStart w:id="395" w:name="Tc_KfC47KCoNU22h-VAeqV42w_3_6"/>
      <w:bookmarkStart w:id="396" w:name="Tc_f-T4GCJbukaTqj43cpU0vg_2_9"/>
      <w:bookmarkStart w:id="397" w:name="_46fa6cd3_7018_4c8b_8257_b36805887862"/>
      <w:bookmarkStart w:id="398" w:name="Tc_yt490fVOEEWpWGR3pJmnbg_24_20"/>
      <w:bookmarkStart w:id="399" w:name="Tc_fd1rvzsCAkeLi9S_N7lecg_24_17"/>
      <w:bookmarkStart w:id="400" w:name="Tc_4fxJHrqeHEK11mkIXoFxTw_24_12"/>
      <w:bookmarkStart w:id="401" w:name="Tc_Zs4kpjZfyk2-rkVg27p3cw_24_9"/>
      <w:bookmarkStart w:id="402" w:name="Tc_7mTk0mQvV0SNVKh9R-ZLTg_24_6"/>
      <w:bookmarkStart w:id="403" w:name="Tc_EnDvOmXJMkaleKki2ztvdg_24_3"/>
      <w:bookmarkStart w:id="404" w:name="Tc_PhU57UWFyE2a52D2hLlX6w_24_0"/>
      <w:bookmarkStart w:id="405" w:name="Tc_LtyBEJlBvk-hWYq2vcd_tQ_23_18"/>
      <w:bookmarkStart w:id="406" w:name="Tc_D1gzOn1oPkWkGvyuxGoHVQ_23_15"/>
      <w:bookmarkStart w:id="407" w:name="Tc_MRFDC-ThKUq9I_dfihtGvw_23_10"/>
      <w:bookmarkStart w:id="408" w:name="Tc_iN28iI8d6EOv7SW8bAHoNw_23_7"/>
      <w:bookmarkStart w:id="409" w:name="Tc_yDhR7gDnu0CJw0kg9y6YhQ_23_4"/>
      <w:bookmarkStart w:id="410" w:name="Tc_FeaswkmysEqKVUAkmj9wmg_23_1"/>
      <w:bookmarkStart w:id="411" w:name="Tc_diUXeDhNB0a3ieUr-FaZcA_23_0"/>
      <w:bookmarkStart w:id="412" w:name="Tc_VQFqY-Y8902o8s2GpkMSew_22_15"/>
      <w:bookmarkStart w:id="413" w:name="Tc_6CJVs6lnJ0uHNFoPPrzPwQ_22_13"/>
      <w:bookmarkStart w:id="414" w:name="Tc_G04bvQ6cHUOfA0KAgXS79Q_22_10"/>
      <w:bookmarkStart w:id="415" w:name="Tc_pklQc1VtZUOKxv7bSnW6PA_22_7"/>
      <w:bookmarkStart w:id="416" w:name="Tc_6TsiEAW_jkmNop2CnQSiyg_22_4"/>
      <w:bookmarkStart w:id="417" w:name="Tc_zajH8UB-1kO90HcIy2GEHg_22_1"/>
      <w:bookmarkStart w:id="418" w:name="Tc_DNWF5gr11EiM00J5hTDifw_22_0"/>
      <w:bookmarkStart w:id="419" w:name="Tc_RPwTrqvODE2WETLVZ8S4Ng_21_13"/>
      <w:bookmarkStart w:id="420" w:name="Tc_P83HJKQGQ0e-9wbVHsFjzQ_21_10"/>
      <w:bookmarkStart w:id="421" w:name="Tc_x_J59VViykSMyyTy02vN9A_21_7"/>
      <w:bookmarkStart w:id="422" w:name="Tc_pIjb_PCi-0u4oguX75jSyw_21_4"/>
      <w:bookmarkStart w:id="423" w:name="Tc_xGf-wnfHVUeyjA_rrL2c2w_21_1"/>
      <w:bookmarkStart w:id="424" w:name="Tc_mVWML3XMZk6EizwmUhX0lw_21_0"/>
      <w:bookmarkStart w:id="425" w:name="Tc_2cq6q68yl0S1oCbE0gQbTg_20_18"/>
      <w:bookmarkStart w:id="426" w:name="Tc_pb1TSzFkeEWsAuAkDOblUA_20_15"/>
      <w:bookmarkStart w:id="427" w:name="Tc_RRTdxFVU9EmryqUk1YO5cw_20_13"/>
      <w:bookmarkStart w:id="428" w:name="Tc_agszLKDfqEGFOkw_3RsIRw_20_7"/>
      <w:bookmarkStart w:id="429" w:name="Tc_BiyAGt25l0e9t3Q-oxwopw_20_4"/>
      <w:bookmarkStart w:id="430" w:name="Tc_Tzo-orQjuUmWlbKUVb9I_g_20_1"/>
      <w:bookmarkStart w:id="431" w:name="Tc_d66oOTWLX0WhS4JkYxUQuw_20_0"/>
      <w:bookmarkStart w:id="432" w:name="Tc_ihGa3WZYxkmRHytrQybZGQ_19_18"/>
      <w:bookmarkStart w:id="433" w:name="Tc_lDwHCNiAi02_LbjwJ7xfSQ_19_15"/>
      <w:bookmarkStart w:id="434" w:name="Tc_9c1Lpdtfmk-jge8UZPABvg_19_13"/>
      <w:bookmarkStart w:id="435" w:name="Tc_Cd_W3rMZpU-C6fQSKe45dQ_19_10"/>
      <w:bookmarkStart w:id="436" w:name="Tc_ntqlvp8pRUeIXgHDcJMa5A_19_4"/>
      <w:bookmarkStart w:id="437" w:name="Tc_K7597MIdo0e_dh74rCUkkw_19_1"/>
      <w:bookmarkStart w:id="438" w:name="Tc_M6AHw9MC_Eyea1w3ptxBCA_19_0"/>
      <w:bookmarkStart w:id="439" w:name="Tc_6AiTuNPdekS0FRTeT_CBWw_18_18"/>
      <w:bookmarkStart w:id="440" w:name="Tc__ojSU8vOTEeS7H-_Ztd-wQ_18_15"/>
      <w:bookmarkStart w:id="441" w:name="Tc_AdpbO4rTGU69tlo1Yu-psg_18_13"/>
      <w:bookmarkStart w:id="442" w:name="Tc_8349nSJLnkCT9-DMm_qZHQ_18_10"/>
      <w:bookmarkStart w:id="443" w:name="Tc_V04zXAtEw0uOfP4-gGuGJA_18_4"/>
      <w:bookmarkStart w:id="444" w:name="Tc_aN3oerWL802LGzRTNKNjTA_18_1"/>
      <w:bookmarkStart w:id="445" w:name="Tc_P0NgEl9Qg0Smk5s7hU_VPg_18_0"/>
      <w:bookmarkStart w:id="446" w:name="Tc_XmIbnRyun0GRUyxRikPuEg_17_21"/>
      <w:bookmarkStart w:id="447" w:name="Tc_RlRsd-GwU0SXqRyX0grSJA_17_13"/>
      <w:bookmarkStart w:id="448" w:name="Tc_-QKqmf0fXk-e6k_sOAx-Mg_17_10"/>
      <w:bookmarkStart w:id="449" w:name="Tc_3KAXoNUzz0-rB8XQ2nUoGg_17_4"/>
      <w:bookmarkStart w:id="450" w:name="Tc_GLp4n80880azeVr6QcNawg_17_1"/>
      <w:bookmarkStart w:id="451" w:name="Tc_vOCsGqaD50OEqo-6Vm_Q8A_17_0"/>
      <w:bookmarkStart w:id="452" w:name="Tc_QjTcImgUjU-mD17Gy1xrnQ_16_20"/>
      <w:bookmarkStart w:id="453" w:name="Tc_MKp6goGgAkSLI2RhVmTqCA_16_17"/>
      <w:bookmarkStart w:id="454" w:name="Tc_YYWtPt8WH0el5tFAw_p2ZA_16_12"/>
      <w:bookmarkStart w:id="455" w:name="Tc_fUjAnRrm1UeYFEqBNQh8qg_16_9"/>
      <w:bookmarkStart w:id="456" w:name="Tc_9zyvQHVjIUma44_qFpWB7Q_16_6"/>
      <w:bookmarkStart w:id="457" w:name="Tc_juqqMNYrjUqSk6AqNyx5YA_16_3"/>
      <w:bookmarkStart w:id="458" w:name="Tc_F36LTXhWjkWQ2anJjybHcQ_16_0"/>
      <w:bookmarkStart w:id="459" w:name="Tc_zWKPE_Dcf0-mgjwLNpnZ0Q_14_20"/>
      <w:bookmarkStart w:id="460" w:name="Tc_5OAcAf4OkkKXqXXm6MJJ4Q_14_17"/>
      <w:bookmarkStart w:id="461" w:name="Tc_wGgiCtu3a0S2M4HmGRvsGA_14_12"/>
      <w:bookmarkStart w:id="462" w:name="Tc_7-AaVzy6AE295i5hKYPOdA_14_9"/>
      <w:bookmarkStart w:id="463" w:name="Tc_yzErMW27GEG4TVohRL_2HQ_14_6"/>
      <w:bookmarkStart w:id="464" w:name="Tc_26EzY2jCFUmgdwjHdlg2lg_14_3"/>
      <w:bookmarkStart w:id="465" w:name="Tc_xpUz4SJ7Fkq3Vt7RHxAWww_14_0"/>
      <w:bookmarkStart w:id="466" w:name="Tc_BfPl5Ol_l02Tzdr8dvnkig_13_18"/>
      <w:bookmarkStart w:id="467" w:name="Tc_8--UIV7-qkqwk2NUbR_kzA_13_15"/>
      <w:bookmarkStart w:id="468" w:name="Tc_-DgMAN7ywUa0fqrQF9CvWQ_13_10"/>
      <w:bookmarkStart w:id="469" w:name="Tc_vKDjq1rB90q9OFofTWUD0g_13_7"/>
      <w:bookmarkStart w:id="470" w:name="Tc_UGGWQin7ikClH_qnIty04w_13_4"/>
      <w:bookmarkStart w:id="471" w:name="Tc_fAUtNb_3ZU-KZTLcO4HjAw_13_1"/>
      <w:bookmarkStart w:id="472" w:name="Tc_LlLs4Et2kUmp0ktM4s-8UA_13_0"/>
      <w:bookmarkStart w:id="473" w:name="Tc_ribYo4PiykKH9A7WyFK44A_12_18"/>
      <w:bookmarkStart w:id="474" w:name="Tc_deRdBRMhg0OZgv14LnrN5w_12_15"/>
      <w:bookmarkStart w:id="475" w:name="Tc_d3NHhSuGQkuAhQgpY1FNeg_12_10"/>
      <w:bookmarkStart w:id="476" w:name="Tc_NhCsBrqTYky7xUmfvuo6UQ_12_7"/>
      <w:bookmarkStart w:id="477" w:name="Tc_1j6Kdy7B2UOiEf7LrtfQWA_12_4"/>
      <w:bookmarkStart w:id="478" w:name="Tc_G-ZzDnCHokSuoPiEOT5WxA_12_1"/>
      <w:bookmarkStart w:id="479" w:name="Tc_uc7pyDGK20-E6nphZawaBw_12_0"/>
      <w:bookmarkStart w:id="480" w:name="Tc_Y0HIGS0u0EOwS-Xa3bb4Yw_11_18"/>
      <w:bookmarkStart w:id="481" w:name="Tc_YxpnaQ_R-ESNwvF4n8U2zA_11_15"/>
      <w:bookmarkStart w:id="482" w:name="Tc_WG5fZM04GUKCPmSTBNN8Cg_11_13"/>
      <w:bookmarkStart w:id="483" w:name="Tc_4EP-EruD0kicXCejRDOggQ_11_7"/>
      <w:bookmarkStart w:id="484" w:name="Tc_soXsnKE_1UqlrgZqSkWjUg_11_4"/>
      <w:bookmarkStart w:id="485" w:name="Tc_zIMvNgsw1EOnRf8wbuokWA_11_1"/>
      <w:bookmarkStart w:id="486" w:name="Tc_cPpma-LcUkup3tHlaU908g_11_0"/>
      <w:bookmarkStart w:id="487" w:name="Tc_229EbjyUoE6x0af_asL24A_10_18"/>
      <w:bookmarkStart w:id="488" w:name="Tc_yi0ga33KYU6JcsCkBVYFLQ_10_15"/>
      <w:bookmarkStart w:id="489" w:name="Tc_zZ94_8ADwkKE4WH8swFR7w_10_13"/>
      <w:bookmarkStart w:id="490" w:name="Tc_eiem-mVVGUawQjb4TdNzQg_10_10"/>
      <w:bookmarkStart w:id="491" w:name="Tc_URVmjAr0M0ODbWnjmKJvIA_10_4"/>
      <w:bookmarkStart w:id="492" w:name="Tc_enImeWkq-0u1xMhDm6SGew_10_1"/>
      <w:bookmarkStart w:id="493" w:name="Tc_PA5Qu27JC0ilQRq9kUsDkQ_10_0"/>
      <w:bookmarkStart w:id="494" w:name="Tc_lLzneaCmIE-IZCEJRp_6EQ_9_13"/>
      <w:bookmarkStart w:id="495" w:name="Tc_lVzAm1g0sUWBqDl9UzybLg_9_10"/>
      <w:bookmarkStart w:id="496" w:name="Tc_h0_0ikWPV0CWpp2VjsNPiQ_9_4"/>
      <w:bookmarkStart w:id="497" w:name="Tc_6cvoRmD1NEiKPnjP0lP6nA_9_1"/>
      <w:bookmarkStart w:id="498" w:name="Tc_nZ2lgr8hkk6wnDVnJqKlZg_9_0"/>
      <w:bookmarkStart w:id="499" w:name="Tc_gGVrOhSsxEO78vohGOiOuA_8_20"/>
      <w:bookmarkStart w:id="500" w:name="Tc_VOFGGhVWV0yYJ1HxQFmdog_8_17"/>
      <w:bookmarkStart w:id="501" w:name="Tc_fDcly-iAyUOkpAcXVjEEKQ_8_12"/>
      <w:bookmarkStart w:id="502" w:name="Tc_wpvUV8_rG0CR0ninbXDXuA_8_9"/>
      <w:bookmarkStart w:id="503" w:name="Tc__VNqkVNKvU-rxKP0JKoknA_8_6"/>
      <w:bookmarkStart w:id="504" w:name="Tc_Nq4N2muQvE6x6MVKDETSqg_8_3"/>
      <w:bookmarkStart w:id="505" w:name="Tc_93RsmK9p8EqkkXMv3b0DNg_8_0"/>
      <w:bookmarkStart w:id="506" w:name="Tc_I7pgnvZCikeDRnvx3Gejuw_7_1"/>
      <w:bookmarkStart w:id="507" w:name="Tc_Rw3uJ0omk02SbRM_kz80Qw_6_1"/>
      <w:bookmarkStart w:id="508" w:name="Tc_RQjxouZK8UySWwdRNuAEjw_5_20"/>
      <w:bookmarkStart w:id="509" w:name="Tc_SoTB8BttsEuczmR9xkHpag_5_17"/>
      <w:bookmarkStart w:id="510" w:name="Tc_DirB9hOKhEG5NShkv5PeyA_5_15"/>
      <w:bookmarkStart w:id="511" w:name="Tc_-0ZoftoB306G8LKqBOMUsg_5_12"/>
      <w:bookmarkStart w:id="512" w:name="Tc_5bWVObGQIEuwtGb6nvvQVA_5_9"/>
      <w:bookmarkStart w:id="513" w:name="Tc_DxtxIaWH2Um0tsbhExS0FQ_5_6"/>
      <w:bookmarkStart w:id="514" w:name="Tc_QP_6k0zEkk67mM3EpWg-jw_5_3"/>
      <w:bookmarkStart w:id="515" w:name="Tc_7SZd3W-JJk6_AjABQkoAxg_5_1"/>
      <w:bookmarkStart w:id="516" w:name="Tc_TjSQBRRKikmoFd7LI5ThVA_4_15"/>
      <w:bookmarkStart w:id="517" w:name="Tc_JOwZ-6wHC0C5DN2i3KSszw_4_12"/>
      <w:bookmarkStart w:id="518" w:name="Tc_fgITRnFMMkyCS5PnwdvOBg_4_9"/>
      <w:bookmarkStart w:id="519" w:name="Tc_rJRD34tZzEOQNteZB9WmTg_4_6"/>
      <w:bookmarkStart w:id="520" w:name="Tc_fyzVQJlDk0Ck_AAikY5pig_4_1"/>
      <w:bookmarkStart w:id="521" w:name="Tc_se2PD6wldk6r2aPByvojoA_3_15"/>
      <w:bookmarkStart w:id="522" w:name="Tc_V-kl5dPAOEmttJ47RsB74Q_3_9"/>
      <w:bookmarkStart w:id="523" w:name="Tc_KfC47KCoNU22h-VAeqV42w_3_6"/>
      <w:bookmarkStart w:id="524" w:name="Tc_f-T4GCJbukaTqj43cpU0vg_2_9"/>
      <w:bookmarkStart w:id="525" w:name="_46fa6cd3_7018_4c8b_8257_b36805887862"/>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tbl>
      <w:tblPr>
        <w:tblW w:w="10211" w:type="dxa"/>
        <w:jc w:val="left"/>
        <w:tblInd w:w="0" w:type="dxa"/>
        <w:tblLayout w:type="fixed"/>
        <w:tblCellMar>
          <w:top w:w="0" w:type="dxa"/>
          <w:left w:w="0" w:type="dxa"/>
          <w:bottom w:w="0" w:type="dxa"/>
          <w:right w:w="0" w:type="dxa"/>
        </w:tblCellMar>
      </w:tblPr>
      <w:tblGrid>
        <w:gridCol w:w="1186"/>
        <w:gridCol w:w="601"/>
        <w:gridCol w:w="109"/>
        <w:gridCol w:w="236"/>
        <w:gridCol w:w="455"/>
        <w:gridCol w:w="346"/>
        <w:gridCol w:w="196"/>
        <w:gridCol w:w="691"/>
        <w:gridCol w:w="346"/>
        <w:gridCol w:w="277"/>
        <w:gridCol w:w="939"/>
        <w:gridCol w:w="346"/>
        <w:gridCol w:w="196"/>
        <w:gridCol w:w="826"/>
        <w:gridCol w:w="346"/>
        <w:gridCol w:w="586"/>
        <w:gridCol w:w="109"/>
        <w:gridCol w:w="196"/>
        <w:gridCol w:w="751"/>
        <w:gridCol w:w="346"/>
        <w:gridCol w:w="196"/>
        <w:gridCol w:w="931"/>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53110" cy="175260"/>
                      <wp:effectExtent l="0" t="0" r="0" b="0"/>
                      <wp:wrapNone/>
                      <wp:docPr id="18" name="Frame1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81635" cy="175260"/>
                      <wp:effectExtent l="0" t="0" r="0" b="0"/>
                      <wp:wrapNone/>
                      <wp:docPr id="19" name="Frame1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9860" cy="175260"/>
                      <wp:effectExtent l="0" t="0" r="0" b="0"/>
                      <wp:wrapNone/>
                      <wp:docPr id="21" name="Frame2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88925" cy="175260"/>
                      <wp:effectExtent l="0" t="0" r="0" b="0"/>
                      <wp:wrapNone/>
                      <wp:docPr id="22" name="Frame22"/>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4" name="Frame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38785" cy="175260"/>
                      <wp:effectExtent l="0" t="0" r="0" b="0"/>
                      <wp:wrapNone/>
                      <wp:docPr id="25" name="Frame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75895" cy="175260"/>
                      <wp:effectExtent l="0" t="0" r="0" b="0"/>
                      <wp:wrapNone/>
                      <wp:docPr id="27" name="Frame2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96265" cy="175260"/>
                      <wp:effectExtent l="0" t="0" r="0" b="0"/>
                      <wp:wrapNone/>
                      <wp:docPr id="28" name="Frame28"/>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24510" cy="175260"/>
                      <wp:effectExtent l="0" t="0" r="0" b="0"/>
                      <wp:wrapNone/>
                      <wp:docPr id="31" name="Frame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72110" cy="175260"/>
                      <wp:effectExtent l="0" t="0" r="0" b="0"/>
                      <wp:wrapNone/>
                      <wp:docPr id="33" name="Frame3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4460" cy="175260"/>
                      <wp:effectExtent l="0" t="0" r="0" b="0"/>
                      <wp:wrapNone/>
                      <wp:docPr id="35" name="Frame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76885" cy="175260"/>
                      <wp:effectExtent l="0" t="0" r="0" b="0"/>
                      <wp:wrapNone/>
                      <wp:docPr id="36" name="Frame3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91185" cy="175260"/>
                      <wp:effectExtent l="0" t="0" r="0" b="0"/>
                      <wp:wrapNone/>
                      <wp:docPr id="39" name="Frame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18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118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42"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vAlign w:val="center"/>
          </w:tcPr>
          <w:p>
            <w:pPr>
              <w:pStyle w:val="TableContents"/>
              <w:bidi w:val="0"/>
              <w:spacing w:before="0" w:after="1"/>
              <w:ind w:left="0" w:right="0" w:hanging="0"/>
              <w:jc w:val="center"/>
              <w:rPr/>
            </w:pPr>
            <w:r>
              <w:rPr/>
              <w:t>​</w:t>
            </w:r>
          </w:p>
        </w:tc>
      </w:tr>
      <w:tr>
        <w:trPr/>
        <w:tc>
          <w:tcPr>
            <w:tcW w:w="1186" w:type="dxa"/>
            <w:tcBorders/>
            <w:vAlign w:val="center"/>
          </w:tcPr>
          <w:p>
            <w:pPr>
              <w:pStyle w:val="TableContents"/>
              <w:bidi w:val="0"/>
              <w:spacing w:before="0" w:after="1"/>
              <w:ind w:left="0" w:right="0" w:hanging="0"/>
              <w:jc w:val="left"/>
              <w:rPr/>
            </w:pPr>
            <w:r>
              <w:rPr/>
              <w:t>​</w:t>
            </w:r>
          </w:p>
        </w:tc>
        <w:tc>
          <w:tcPr>
            <w:tcW w:w="140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left"/>
              <w:rPr/>
            </w:pPr>
            <w:r>
              <w:rPr/>
              <w:t>​</w:t>
            </w:r>
          </w:p>
        </w:tc>
        <w:tc>
          <w:tcPr>
            <w:tcW w:w="164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Held In Treasury</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vAlign w:val="center"/>
          </w:tcPr>
          <w:p>
            <w:pPr>
              <w:pStyle w:val="TableContents"/>
              <w:bidi w:val="0"/>
              <w:spacing w:before="0" w:after="1"/>
              <w:ind w:left="0" w:right="0" w:hanging="0"/>
              <w:jc w:val="center"/>
              <w:rPr/>
            </w:pPr>
            <w:r>
              <w:rPr/>
              <w:t>​</w:t>
            </w:r>
          </w:p>
        </w:tc>
      </w:tr>
      <w:tr>
        <w:trPr/>
        <w:tc>
          <w:tcPr>
            <w:tcW w:w="1186"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Income (Loss) </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11" w:type="dxa"/>
            <w:gridSpan w:val="22"/>
            <w:tcBorders/>
            <w:vAlign w:val="center"/>
          </w:tcPr>
          <w:p>
            <w:pPr>
              <w:pStyle w:val="TableContents"/>
              <w:bidi w:val="0"/>
              <w:spacing w:before="0" w:after="283"/>
              <w:ind w:left="0" w:right="0" w:hanging="0"/>
              <w:jc w:val="left"/>
              <w:rPr>
                <w:sz w:val="4"/>
                <w:szCs w:val="4"/>
              </w:rPr>
            </w:pPr>
            <w:r>
              <w:rPr>
                <w:sz w:val="4"/>
                <w:szCs w:val="4"/>
              </w:rPr>
            </w:r>
          </w:p>
        </w:tc>
      </w:tr>
      <w:tr>
        <w:trPr/>
        <w:tc>
          <w:tcPr>
            <w:tcW w:w="1186" w:type="dxa"/>
            <w:tcBorders/>
            <w:vAlign w:val="center"/>
          </w:tcPr>
          <w:p>
            <w:pPr>
              <w:pStyle w:val="TableContents"/>
              <w:bidi w:val="0"/>
              <w:spacing w:before="0" w:after="1"/>
              <w:ind w:left="0" w:right="0" w:hanging="0"/>
              <w:jc w:val="left"/>
              <w:rPr/>
            </w:pPr>
            <w:r>
              <w:rPr/>
              <w:t>​</w:t>
            </w:r>
          </w:p>
        </w:tc>
        <w:tc>
          <w:tcPr>
            <w:tcW w:w="9025" w:type="dxa"/>
            <w:gridSpan w:val="2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186" w:type="dxa"/>
            <w:tcBorders/>
            <w:vAlign w:val="center"/>
          </w:tcPr>
          <w:p>
            <w:pPr>
              <w:pStyle w:val="TableContents"/>
              <w:bidi w:val="0"/>
              <w:spacing w:before="0" w:after="1"/>
              <w:ind w:left="0" w:right="0" w:hanging="0"/>
              <w:jc w:val="left"/>
              <w:rPr/>
            </w:pPr>
            <w:r>
              <w:rPr/>
              <w:t>​</w:t>
            </w:r>
          </w:p>
        </w:tc>
        <w:tc>
          <w:tcPr>
            <w:tcW w:w="9025" w:type="dxa"/>
            <w:gridSpan w:val="2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January 31, 2026</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49,396</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476,005</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1,416,812</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7,206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(156,678)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1,760,323</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awards vested, net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9,841</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9,841</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loss, net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(8,315)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(8,315)</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declared on common stock ($0.10 per share)</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(4,219)</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(4,219)</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66,534</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66,534</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April 30, 2026</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49,396</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485,780</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1,479,127</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7,205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(156,651)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1,824,125</w:t>
            </w:r>
          </w:p>
        </w:tc>
      </w:tr>
      <w:tr>
        <w:trPr/>
        <w:tc>
          <w:tcPr>
            <w:tcW w:w="118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January 31, 2025</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49,396</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467,692</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1,353,678</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(116,634)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1,679,481</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awards vested, net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(5,043)</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5,043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5,520</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5,520</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Taxes paid for net share settlements</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(4,944)</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(4,944)</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net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16,117</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Repurchases of common stock</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(19,701)</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Excise tax on stock repurchases</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7,759</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7,759</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April 30, 2025</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49,396</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463,225</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1,361,437</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6,102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(131,430)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1,684,094</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26" w:name="_3b45f547_4cd0_4654_89e0_4a62f8743f8b"/>
      <w:bookmarkEnd w:id="526"/>
      <w:r>
        <w:rPr>
          <w:rFonts w:ascii="Times New Roman;Times;serif" w:hAnsi="Times New Roman;Times;serif"/>
          <w:b/>
          <w:sz w:val="20"/>
        </w:rPr>
        <w:t>G-III APPAREL GROUP, LTD. AND SUBSIDIARIES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527" w:name="CashFlowStatement_VCW"/>
      <w:bookmarkEnd w:id="527"/>
      <w:r>
        <w:rPr>
          <w:rFonts w:ascii="Times New Roman;Times;serif" w:hAnsi="Times New Roman;Times;serif"/>
          <w:b/>
          <w:sz w:val="20"/>
        </w:rPr>
        <w:t>CONDENSED CONSOLIDATED STATEMENTS OF CASH FLOWS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28" w:name="Tc_F6gmhMtk6Eet2O0yoEJBng_48_5"/>
      <w:bookmarkStart w:id="529" w:name="Tc_frPlTciW8U-nTdIk1Dgcmw_48_3"/>
      <w:bookmarkStart w:id="530" w:name="Tc_KLMNnQB7Y0GVzxAfBo4tLw_48_2"/>
      <w:bookmarkStart w:id="531" w:name="Tc_HdmJQUzwE0-Rpq_17_KaLQ_48_0"/>
      <w:bookmarkStart w:id="532" w:name="Tc_OA4YAR7CuE6XGsa7tqLlUQ_47_5"/>
      <w:bookmarkStart w:id="533" w:name="Tc_hdZCWZuSn0qjePLLjT-3Aw_47_2"/>
      <w:bookmarkStart w:id="534" w:name="Tc_TABop6vnukOc8-BnIcP7gw_47_0"/>
      <w:bookmarkStart w:id="535" w:name="Tc_03hh1xghWkeA6wwVxqwCLA_46_5"/>
      <w:bookmarkStart w:id="536" w:name="Tc_jwfPmjx2dU2JsH7FkqyNSA_46_2"/>
      <w:bookmarkStart w:id="537" w:name="Tc_7Z0gYa74HEyd0U9IHnBCfQ_46_0"/>
      <w:bookmarkStart w:id="538" w:name="Tc_nQO9PdpIHkOHd-ebpVhhMA_45_0"/>
      <w:bookmarkStart w:id="539" w:name="Tc_eSQ6VGB8KE2r3gXbIJKbKg_44_0"/>
      <w:bookmarkStart w:id="540" w:name="Tc_2vCNxPWcvEKdoTH-C_gS9Q_42_5"/>
      <w:bookmarkStart w:id="541" w:name="Tc_8W4PtT1amkirdNRs0O7Uhg_42_2"/>
      <w:bookmarkStart w:id="542" w:name="Tc_sbB6okUjeEuv8Hzi1ImTIA_42_0"/>
      <w:bookmarkStart w:id="543" w:name="Tc_t_CpVodgq0uEK2S0mBBGlA_41_0"/>
      <w:bookmarkStart w:id="544" w:name="Tc_xF2mRXmbqkCPdK-APonEjg_40_0"/>
      <w:bookmarkStart w:id="545" w:name="Tc_h1O5q02tL0KEoH12crGeeQ_39_0"/>
      <w:bookmarkStart w:id="546" w:name="Tc_zy0gthavck-lJIxA0gvFlA_37_0"/>
      <w:bookmarkStart w:id="547" w:name="Tc_OJuzCnReKEqdfYcDJHYiwg_36_3"/>
      <w:bookmarkStart w:id="548" w:name="Tc_w_00eNYIv0mFigFjBr7iEQ_36_0"/>
      <w:bookmarkStart w:id="549" w:name="Tc_4CfuoE5gXka8GAV-wQyXDA_35_3"/>
      <w:bookmarkStart w:id="550" w:name="Tc_jMoC9j3ZCkiSlSORe1th8w_35_0"/>
      <w:bookmarkStart w:id="551" w:name="Tc_wLi3au0MuUqusD7OB23Ibg_34_6"/>
      <w:bookmarkStart w:id="552" w:name="Tc_ifyezAOs30a-3sMzQdDu4g_34_0"/>
      <w:bookmarkStart w:id="553" w:name="Tc_bse9fV_QQku8KvUzXEtLlQ_33_0"/>
      <w:bookmarkStart w:id="554" w:name="Tc_7TMMa0KvCUSgIfauLfmpQQ_32_0"/>
      <w:bookmarkStart w:id="555" w:name="Tc_hOWxXx8vGUK5pJaHlnkU4w_31_0"/>
      <w:bookmarkStart w:id="556" w:name="Tc_6PdsRu0ieEuKPjq_Gjd2eQ_29_0"/>
      <w:bookmarkStart w:id="557" w:name="Tc_omHnwRa40k2imUH31hNStg_28_0"/>
      <w:bookmarkStart w:id="558" w:name="Tc_SbErQ5LOUEGdQlONLPnUgQ_27_3"/>
      <w:bookmarkStart w:id="559" w:name="Tc_xCPWwm_0kkeTpTJFKnGJWQ_27_0"/>
      <w:bookmarkStart w:id="560" w:name="Tc_EOk1-LCqEEmF4Eoz82Q1FA_26_3"/>
      <w:bookmarkStart w:id="561" w:name="Tc_EF9Jm3IRukSAExBhCpIBDA_26_0"/>
      <w:bookmarkStart w:id="562" w:name="Tc_aPczW0CwEUypzUwpLlhDdA_25_0"/>
      <w:bookmarkStart w:id="563" w:name="Tc_E_B8fmXQkU61UoGD8AjM3g_23_0"/>
      <w:bookmarkStart w:id="564" w:name="Tc_fB6WkF2cC0OPAXTUsUz_og_22_0"/>
      <w:bookmarkStart w:id="565" w:name="Tc_QtNW6LlQDE2XhJerljh9sg_21_0"/>
      <w:bookmarkStart w:id="566" w:name="Tc_YcWMEFcchkKjzxOxGnwvHA_20_0"/>
      <w:bookmarkStart w:id="567" w:name="Tc_fOL6SZIOJ0S2ghMaMXmmmg_19_0"/>
      <w:bookmarkStart w:id="568" w:name="Tc_bjFFzSw7RE-2zgiDvtlPqA_18_0"/>
      <w:bookmarkStart w:id="569" w:name="Tc_jW2yANS2j0ahWkCoGRahSg_17_0"/>
      <w:bookmarkStart w:id="570" w:name="Tc_3FyBCzaeXE6zWqhZzM0LoA_16_0"/>
      <w:bookmarkStart w:id="571" w:name="Tc_zAJrkMibOEGsEiYmMlOVdA_15_0"/>
      <w:bookmarkStart w:id="572" w:name="Tc_RQnRTqcWgEmU3ueR6fq7wA_14_0"/>
      <w:bookmarkStart w:id="573" w:name="Tc_75WUmz4RM0iVZs_Raa5-ew_13_0"/>
      <w:bookmarkStart w:id="574" w:name="Tc_PXw35nzgIUi3jTtn6dwjVA_12_0"/>
      <w:bookmarkStart w:id="575" w:name="Tc_9TC2frQgE0SCZbGzj0Lwbg_11_0"/>
      <w:bookmarkStart w:id="576" w:name="Tc_yGhB-xCRVkyJqsDy1eDuRw_10_0"/>
      <w:bookmarkStart w:id="577" w:name="Tc_LpJIF4mrsEGBhRqp3DyVzw_9_0"/>
      <w:bookmarkStart w:id="578" w:name="Tc_8Z1T60jTBEmoVm5o6kYpEA_8_0"/>
      <w:bookmarkStart w:id="579" w:name="Tc_QuzR9iTsEEGG9vcvPQUp0w_7_0"/>
      <w:bookmarkStart w:id="580" w:name="Tc_TVavULxItU65o_awJYLrcw_6_0"/>
      <w:bookmarkStart w:id="581" w:name="Tc_Bskm9KitcEan4naOEXU_kQ_5_5"/>
      <w:bookmarkStart w:id="582" w:name="Tc_AOG3pmLuEUu2pDiZZElxWA_5_2"/>
      <w:bookmarkStart w:id="583" w:name="Tc_-BGYFH2SSESlIJWLVw8bvQ_5_0"/>
      <w:bookmarkStart w:id="584" w:name="Tc_G5MdrNVEJ0uO5ltcXo6zGQ_4_0"/>
      <w:bookmarkStart w:id="585" w:name="Tc_RjqYCgoWW0e1KUDtyESaiw_3_2"/>
      <w:bookmarkStart w:id="586" w:name="Tc_F_K5Vxoe3UuFSprOrwAbyQ_2_5"/>
      <w:bookmarkStart w:id="587" w:name="Tc_8h_K47se4U2yXZvdDOjGSg_2_2"/>
      <w:bookmarkStart w:id="588" w:name="Tc_iIGyeSq_ckOBduqq27yPYg_1_2"/>
      <w:bookmarkStart w:id="589" w:name="_1659caa9_adec_45cd_9b1e_2d0752426e2c"/>
      <w:bookmarkStart w:id="590" w:name="Tc_F6gmhMtk6Eet2O0yoEJBng_48_5"/>
      <w:bookmarkStart w:id="591" w:name="Tc_frPlTciW8U-nTdIk1Dgcmw_48_3"/>
      <w:bookmarkStart w:id="592" w:name="Tc_KLMNnQB7Y0GVzxAfBo4tLw_48_2"/>
      <w:bookmarkStart w:id="593" w:name="Tc_HdmJQUzwE0-Rpq_17_KaLQ_48_0"/>
      <w:bookmarkStart w:id="594" w:name="Tc_OA4YAR7CuE6XGsa7tqLlUQ_47_5"/>
      <w:bookmarkStart w:id="595" w:name="Tc_hdZCWZuSn0qjePLLjT-3Aw_47_2"/>
      <w:bookmarkStart w:id="596" w:name="Tc_TABop6vnukOc8-BnIcP7gw_47_0"/>
      <w:bookmarkStart w:id="597" w:name="Tc_03hh1xghWkeA6wwVxqwCLA_46_5"/>
      <w:bookmarkStart w:id="598" w:name="Tc_jwfPmjx2dU2JsH7FkqyNSA_46_2"/>
      <w:bookmarkStart w:id="599" w:name="Tc_7Z0gYa74HEyd0U9IHnBCfQ_46_0"/>
      <w:bookmarkStart w:id="600" w:name="Tc_nQO9PdpIHkOHd-ebpVhhMA_45_0"/>
      <w:bookmarkStart w:id="601" w:name="Tc_eSQ6VGB8KE2r3gXbIJKbKg_44_0"/>
      <w:bookmarkStart w:id="602" w:name="Tc_2vCNxPWcvEKdoTH-C_gS9Q_42_5"/>
      <w:bookmarkStart w:id="603" w:name="Tc_8W4PtT1amkirdNRs0O7Uhg_42_2"/>
      <w:bookmarkStart w:id="604" w:name="Tc_sbB6okUjeEuv8Hzi1ImTIA_42_0"/>
      <w:bookmarkStart w:id="605" w:name="Tc_t_CpVodgq0uEK2S0mBBGlA_41_0"/>
      <w:bookmarkStart w:id="606" w:name="Tc_xF2mRXmbqkCPdK-APonEjg_40_0"/>
      <w:bookmarkStart w:id="607" w:name="Tc_h1O5q02tL0KEoH12crGeeQ_39_0"/>
      <w:bookmarkStart w:id="608" w:name="Tc_zy0gthavck-lJIxA0gvFlA_37_0"/>
      <w:bookmarkStart w:id="609" w:name="Tc_OJuzCnReKEqdfYcDJHYiwg_36_3"/>
      <w:bookmarkStart w:id="610" w:name="Tc_w_00eNYIv0mFigFjBr7iEQ_36_0"/>
      <w:bookmarkStart w:id="611" w:name="Tc_4CfuoE5gXka8GAV-wQyXDA_35_3"/>
      <w:bookmarkStart w:id="612" w:name="Tc_jMoC9j3ZCkiSlSORe1th8w_35_0"/>
      <w:bookmarkStart w:id="613" w:name="Tc_wLi3au0MuUqusD7OB23Ibg_34_6"/>
      <w:bookmarkStart w:id="614" w:name="Tc_ifyezAOs30a-3sMzQdDu4g_34_0"/>
      <w:bookmarkStart w:id="615" w:name="Tc_bse9fV_QQku8KvUzXEtLlQ_33_0"/>
      <w:bookmarkStart w:id="616" w:name="Tc_7TMMa0KvCUSgIfauLfmpQQ_32_0"/>
      <w:bookmarkStart w:id="617" w:name="Tc_hOWxXx8vGUK5pJaHlnkU4w_31_0"/>
      <w:bookmarkStart w:id="618" w:name="Tc_6PdsRu0ieEuKPjq_Gjd2eQ_29_0"/>
      <w:bookmarkStart w:id="619" w:name="Tc_omHnwRa40k2imUH31hNStg_28_0"/>
      <w:bookmarkStart w:id="620" w:name="Tc_SbErQ5LOUEGdQlONLPnUgQ_27_3"/>
      <w:bookmarkStart w:id="621" w:name="Tc_xCPWwm_0kkeTpTJFKnGJWQ_27_0"/>
      <w:bookmarkStart w:id="622" w:name="Tc_EOk1-LCqEEmF4Eoz82Q1FA_26_3"/>
      <w:bookmarkStart w:id="623" w:name="Tc_EF9Jm3IRukSAExBhCpIBDA_26_0"/>
      <w:bookmarkStart w:id="624" w:name="Tc_aPczW0CwEUypzUwpLlhDdA_25_0"/>
      <w:bookmarkStart w:id="625" w:name="Tc_E_B8fmXQkU61UoGD8AjM3g_23_0"/>
      <w:bookmarkStart w:id="626" w:name="Tc_fB6WkF2cC0OPAXTUsUz_og_22_0"/>
      <w:bookmarkStart w:id="627" w:name="Tc_QtNW6LlQDE2XhJerljh9sg_21_0"/>
      <w:bookmarkStart w:id="628" w:name="Tc_YcWMEFcchkKjzxOxGnwvHA_20_0"/>
      <w:bookmarkStart w:id="629" w:name="Tc_fOL6SZIOJ0S2ghMaMXmmmg_19_0"/>
      <w:bookmarkStart w:id="630" w:name="Tc_bjFFzSw7RE-2zgiDvtlPqA_18_0"/>
      <w:bookmarkStart w:id="631" w:name="Tc_jW2yANS2j0ahWkCoGRahSg_17_0"/>
      <w:bookmarkStart w:id="632" w:name="Tc_3FyBCzaeXE6zWqhZzM0LoA_16_0"/>
      <w:bookmarkStart w:id="633" w:name="Tc_zAJrkMibOEGsEiYmMlOVdA_15_0"/>
      <w:bookmarkStart w:id="634" w:name="Tc_RQnRTqcWgEmU3ueR6fq7wA_14_0"/>
      <w:bookmarkStart w:id="635" w:name="Tc_75WUmz4RM0iVZs_Raa5-ew_13_0"/>
      <w:bookmarkStart w:id="636" w:name="Tc_PXw35nzgIUi3jTtn6dwjVA_12_0"/>
      <w:bookmarkStart w:id="637" w:name="Tc_9TC2frQgE0SCZbGzj0Lwbg_11_0"/>
      <w:bookmarkStart w:id="638" w:name="Tc_yGhB-xCRVkyJqsDy1eDuRw_10_0"/>
      <w:bookmarkStart w:id="639" w:name="Tc_LpJIF4mrsEGBhRqp3DyVzw_9_0"/>
      <w:bookmarkStart w:id="640" w:name="Tc_8Z1T60jTBEmoVm5o6kYpEA_8_0"/>
      <w:bookmarkStart w:id="641" w:name="Tc_QuzR9iTsEEGG9vcvPQUp0w_7_0"/>
      <w:bookmarkStart w:id="642" w:name="Tc_TVavULxItU65o_awJYLrcw_6_0"/>
      <w:bookmarkStart w:id="643" w:name="Tc_Bskm9KitcEan4naOEXU_kQ_5_5"/>
      <w:bookmarkStart w:id="644" w:name="Tc_AOG3pmLuEUu2pDiZZElxWA_5_2"/>
      <w:bookmarkStart w:id="645" w:name="Tc_-BGYFH2SSESlIJWLVw8bvQ_5_0"/>
      <w:bookmarkStart w:id="646" w:name="Tc_G5MdrNVEJ0uO5ltcXo6zGQ_4_0"/>
      <w:bookmarkStart w:id="647" w:name="Tc_RjqYCgoWW0e1KUDtyESaiw_3_2"/>
      <w:bookmarkStart w:id="648" w:name="Tc_F_K5Vxoe3UuFSprOrwAbyQ_2_5"/>
      <w:bookmarkStart w:id="649" w:name="Tc_8h_K47se4U2yXZvdDOjGSg_2_2"/>
      <w:bookmarkStart w:id="650" w:name="Tc_iIGyeSq_ckOBduqq27yPYg_1_2"/>
      <w:bookmarkStart w:id="651" w:name="_1659caa9_adec_45cd_9b1e_2d0752426e2c"/>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tbl>
      <w:tblPr>
        <w:tblW w:w="9196" w:type="dxa"/>
        <w:jc w:val="left"/>
        <w:tblInd w:w="0" w:type="dxa"/>
        <w:tblLayout w:type="fixed"/>
        <w:tblCellMar>
          <w:top w:w="0" w:type="dxa"/>
          <w:left w:w="0" w:type="dxa"/>
          <w:bottom w:w="0" w:type="dxa"/>
          <w:right w:w="0" w:type="dxa"/>
        </w:tblCellMar>
      </w:tblPr>
      <w:tblGrid>
        <w:gridCol w:w="6466"/>
        <w:gridCol w:w="346"/>
        <w:gridCol w:w="202"/>
        <w:gridCol w:w="835"/>
        <w:gridCol w:w="356"/>
        <w:gridCol w:w="202"/>
        <w:gridCol w:w="789"/>
      </w:tblGrid>
      <w:tr>
        <w:trPr/>
        <w:tc>
          <w:tcPr>
            <w:tcW w:w="6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105910" cy="175260"/>
                      <wp:effectExtent l="0" t="0" r="0" b="0"/>
                      <wp:wrapNone/>
                      <wp:docPr id="40" name="Frame40"/>
                      <a:graphic xmlns:a="http://schemas.openxmlformats.org/drawingml/2006/main">
                        <a:graphicData uri="http://schemas.microsoft.com/office/word/2010/wordprocessingShape">
                          <wps:wsp>
                            <wps:cNvSpPr txBox="1"/>
                            <wps:spPr>
                              <a:xfrm>
                                <a:off x="0" y="0"/>
                                <a:ext cx="410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8270" cy="175260"/>
                      <wp:effectExtent l="0" t="0" r="0" b="0"/>
                      <wp:wrapNone/>
                      <wp:docPr id="41" name="Frame41"/>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30225" cy="175260"/>
                      <wp:effectExtent l="0" t="0" r="0" b="0"/>
                      <wp:wrapNone/>
                      <wp:docPr id="42" name="Frame42"/>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26060" cy="175260"/>
                      <wp:effectExtent l="0" t="0" r="0" b="0"/>
                      <wp:wrapNone/>
                      <wp:docPr id="43" name="Frame43"/>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8270" cy="175260"/>
                      <wp:effectExtent l="0" t="0" r="0" b="0"/>
                      <wp:wrapNone/>
                      <wp:docPr id="44" name="Frame44"/>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01015" cy="175260"/>
                      <wp:effectExtent l="0" t="0" r="0" b="0"/>
                      <wp:wrapNone/>
                      <wp:docPr id="45" name="Frame45"/>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April 30, </w: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19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66,534</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7,759</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7,188</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6,573</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disposal of fixed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operating lease costs</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14,449</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14,002</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gain in unconsolidated affiliates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(1,590)</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9,841</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5,520</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financing charges and debt discount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(852)</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1,995</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104,190</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143,696</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42,173</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21,604</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net</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9,928</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(3,041)</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(138,734)</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(1,576)</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net</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Customer refund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(10,530)</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(20,174)</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(14,898)</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(14,345)</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(92,031)</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(67,627)</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operating activities</w:t>
            </w:r>
          </w:p>
        </w:tc>
        <w:tc>
          <w:tcPr>
            <w:tcW w:w="34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(1,971)</w:t>
            </w:r>
          </w:p>
        </w:tc>
        <w:tc>
          <w:tcPr>
            <w:tcW w:w="35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93,798</w:t>
            </w:r>
          </w:p>
        </w:tc>
      </w:tr>
      <w:tr>
        <w:trPr/>
        <w:tc>
          <w:tcPr>
            <w:tcW w:w="6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assets initial direct costs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in equity interest of private company</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(732)</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(8,455)</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(8,075)</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(8,455)</w:t>
            </w:r>
          </w:p>
        </w:tc>
        <w:tc>
          <w:tcPr>
            <w:tcW w:w="35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(8,825)</w:t>
            </w:r>
          </w:p>
        </w:tc>
      </w:tr>
      <w:tr>
        <w:trPr/>
        <w:tc>
          <w:tcPr>
            <w:tcW w:w="6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center"/>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center"/>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borrowings - foreign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(176,042)</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(32,441)</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borrowings - foreign facilities</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180,018</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44,453</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 on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(4,219)</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treasury shares</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(19,701)</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Taxes paid for net share settlements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(4,944)</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w:t>
            </w:r>
          </w:p>
        </w:tc>
        <w:tc>
          <w:tcPr>
            <w:tcW w:w="35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(12,633)</w:t>
            </w:r>
          </w:p>
        </w:tc>
      </w:tr>
      <w:tr>
        <w:trPr/>
        <w:tc>
          <w:tcPr>
            <w:tcW w:w="6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(1,773)</w:t>
            </w:r>
          </w:p>
        </w:tc>
        <w:tc>
          <w:tcPr>
            <w:tcW w:w="35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4,005</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(12,442)</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76,345</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at beginning of period</w:t>
            </w:r>
          </w:p>
        </w:tc>
        <w:tc>
          <w:tcPr>
            <w:tcW w:w="34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406,662</w:t>
            </w:r>
          </w:p>
        </w:tc>
        <w:tc>
          <w:tcPr>
            <w:tcW w:w="35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181,440</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394,220</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257,785</w: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center"/>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disclosures of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payments:</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net</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793</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978</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payments, net</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8,698</w:t>
            </w:r>
          </w:p>
        </w:tc>
        <w:tc>
          <w:tcPr>
            <w:tcW w:w="35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6,471</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Excise tax liability related to stock repurchases</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9"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138</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The accompanying notes are an integral part of these statements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652" w:name="_91749e3d_a37f_4abf_9db5_4b80977c143a"/>
      <w:bookmarkEnd w:id="652"/>
      <w:r>
        <w:rPr>
          <w:rFonts w:ascii="Times New Roman;Times;serif" w:hAnsi="Times New Roman;Times;serif"/>
          <w:b/>
          <w:sz w:val="20"/>
        </w:rPr>
        <w:t>G-III APPAREL GROUP, LTD. AND SUBSIDIARIES</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653" w:name="NOTESTOCONDENSEDCONSOLIDATED_476308"/>
      <w:bookmarkEnd w:id="653"/>
      <w:r>
        <w:rPr>
          <w:rFonts w:ascii="Times New Roman;Times;serif" w:hAnsi="Times New Roman;Times;serif"/>
          <w:b/>
          <w:sz w:val="20"/>
        </w:rPr>
        <w:t>NOTES TO CONDENSED CONSOLIDATED FINANCIAL STATEMENTS</w:t>
      </w:r>
    </w:p>
    <w:p>
      <w:pPr>
        <w:pStyle w:val="TextBody"/>
        <w:bidi w:val="0"/>
        <w:spacing w:before="0" w:after="0"/>
        <w:ind w:left="0" w:right="0" w:hanging="0"/>
        <w:jc w:val="left"/>
        <w:rPr>
          <w:rFonts w:ascii="Times New Roman;Times;serif" w:hAnsi="Times New Roman;Times;serif"/>
          <w:b/>
          <w:sz w:val="20"/>
        </w:rPr>
      </w:pPr>
      <w:bookmarkStart w:id="654" w:name="_Hlk167112945"/>
      <w:bookmarkStart w:id="655" w:name="_Hlk167111465"/>
      <w:bookmarkEnd w:id="654"/>
      <w:bookmarkEnd w:id="655"/>
      <w:r>
        <w:rPr>
          <w:rFonts w:ascii="Times New Roman;Times;serif" w:hAnsi="Times New Roman;Times;serif"/>
          <w:b/>
          <w:sz w:val="20"/>
        </w:rPr>
        <w:t xml:space="preserve">NOTE 1 – BASIS OF PRESENTATION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used in these financial statements, the term “Company” or “G-III” refers to G-III Apparel Group, Ltd. and its subsidiaries. The Company designs, sources, distributes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consolidates the accounts of its wholly-owned and majority-owned subsidiaries. AWWG Investments B.V. (“AWWG”) is a Dutch corporation that is 18.7% owned by the Company and is accounted for under the equity method of accounting. All material intercompany balances and transactions have been eliminated.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Karl Lagerfeld Holding B.V. (“KLH”), a Dutch limited liability company that is wholly-owned by the Company, Vilebrequin International SA (“Vilebrequin”), a Swiss corporation that is wholly-owned by the Company, certain other subsidiaries of the Company and AWWG report results on a calendar year basis rather than on the January 31 fiscal year basis used by the Company. Accordingly, the results of KLH, Vilebrequin, certain other subsidiaries of the Company and AWWG are included in the financial statements for the quarter ended or ending closest to the Company’s fiscal quarter end. For example, with respect to the Company’s results for the three-month period ended April 30, 2026, the results of KLH, Vilebrequin, certain other subsidiaries of the Company and AWWG are included for the three-month period ended March 31, 2026. The Company’s retail operations segment reports on a 52/53 week fiscal year. For fiscal 2027 and 2026, the three-month periods for the retail operations segment were each 13-week periods, respectively, and ended on May 2, 2026 and May 3, 2025, respectively.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results for the three months ended April 30, 2026 are not necessarily indicative of the results expected for the entire fiscal year, given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financial statements should be read in conjunction with the financial statements and notes included in the Company’s Annual Report on Form 10-K for the fiscal year ended January 31, 2026 filed with the Securities and Exchange Commission (the “SEC”).</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Assets and liabilities of the Company’s foreign operations, where the functional currency is not the U.S. dollar (reporting currency), are translated from the foreign currency into U.S. dollars at period-end rates, while income and expenses are translated at the weighted-average exchange rates for the period. The related translation adjustments are reflected as a foreign currency translation adjustment in accumulated other comprehensive income (loss) within stockholders’ equity.</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656" w:name="Tc_Z00thr3ip0Wwou_L4qcK9g_20_8"/>
      <w:bookmarkStart w:id="657" w:name="Tc_hEtzApkpvEKirZecOcR1Qg_20_5"/>
      <w:bookmarkStart w:id="658" w:name="Tc_q6yHdoKr3EK_9jIv_-R71w_20_2"/>
      <w:bookmarkStart w:id="659" w:name="Tc_rbSf6XH3c0GEs8rzJlA_Kw_20_0"/>
      <w:bookmarkStart w:id="660" w:name="Tc_qfKp19XvM0C4ZJ0zfPk7vw_19_0"/>
      <w:bookmarkStart w:id="661" w:name="Tc_WhDv-qM7PUWU4PBpt_prJA_18_8"/>
      <w:bookmarkStart w:id="662" w:name="Tc_eeRqXsDnaECe7nlic-r3Pg_18_5"/>
      <w:bookmarkStart w:id="663" w:name="Tc_xJIU6YgLKEa2Zq31dxYJfQ_18_2"/>
      <w:bookmarkStart w:id="664" w:name="Tc_bwY3nLy8L0Oi9bX_2yzBhA_18_0"/>
      <w:bookmarkStart w:id="665" w:name="Tc_W4KShYaF2keNFdJxQdyL8A_17_2"/>
      <w:bookmarkStart w:id="666" w:name="Tc_wJ_t8CjDSEy9WviWDoPElg_16_8"/>
      <w:bookmarkStart w:id="667" w:name="Tc_ebkPHtprOUeyYRXss7JmYg_16_5"/>
      <w:bookmarkStart w:id="668" w:name="Tc_PWzwhO0bJkuDOFqAgAOP7w_16_2"/>
      <w:bookmarkStart w:id="669" w:name="Tc_JPWAIxFKfkqkQUoKPK-uog_15_2"/>
      <w:bookmarkStart w:id="670" w:name="Tc_o7mt4E0HYE23NqAi1mXQ3w_13_8"/>
      <w:bookmarkStart w:id="671" w:name="Tc_EvGpLrayU0-7yE6S9oGYIg_13_5"/>
      <w:bookmarkStart w:id="672" w:name="Tc_k0kqUa_tlEaXQh9Y5gHyTw_13_2"/>
      <w:bookmarkStart w:id="673" w:name="Tc_1eJbSm4Oh0OlbT1R7N18aA_13_0"/>
      <w:bookmarkStart w:id="674" w:name="Tc_gm5keC6UNEe5-Pjcb3NSyw_12_0"/>
      <w:bookmarkStart w:id="675" w:name="Tc_a0QfSJMCIkmWHb0fyhbNLA_11_8"/>
      <w:bookmarkStart w:id="676" w:name="Tc_M8zHUnAPA0mnzzSgXnW0xg_11_5"/>
      <w:bookmarkStart w:id="677" w:name="Tc_hCaui1Y7BUqU9vrQEG1BQA_11_2"/>
      <w:bookmarkStart w:id="678" w:name="Tc_jGuvHtug6U6KoEEiRaXxpw_11_0"/>
      <w:bookmarkStart w:id="679" w:name="Tc_PLTZNFQUP0-caP3ZfOCZ7w_10_2"/>
      <w:bookmarkStart w:id="680" w:name="Tc_tg7RCUD8bESUSR5ZPSux9A_9_8"/>
      <w:bookmarkStart w:id="681" w:name="Tc_ZS7GyOz9QkWdXisSuGgJLQ_9_5"/>
      <w:bookmarkStart w:id="682" w:name="Tc_Wq-K0bWdDEOQMxoDI9gT1w_9_2"/>
      <w:bookmarkStart w:id="683" w:name="Tc_V3RE0s8s8USbr4rAr4r2zg_8_2"/>
      <w:bookmarkStart w:id="684" w:name="Tc_fZpMF8cVz0y5_maXjIWl3w_6_8"/>
      <w:bookmarkStart w:id="685" w:name="Tc_X5b8lhIJbEWoFCTNUsrsag_6_5"/>
      <w:bookmarkStart w:id="686" w:name="Tc_CLtn8qaUBUS8MP4zzJn1Fg_6_2"/>
      <w:bookmarkStart w:id="687" w:name="Tc_3RYLCU7zfUCfbIkOJjKYtQ_6_0"/>
      <w:bookmarkStart w:id="688" w:name="Tc_w5tl4U2t7kCSS_d95hk98Q_5_0"/>
      <w:bookmarkStart w:id="689" w:name="Tc__SFFzt4alEe9O7i-AjzY7g_4_8"/>
      <w:bookmarkStart w:id="690" w:name="Tc_N_L_0SkdXUKMmkswdFJIhA_4_5"/>
      <w:bookmarkStart w:id="691" w:name="Tc_MOnaWVDAQki_WfXf7UAqTA_4_2"/>
      <w:bookmarkStart w:id="692" w:name="Tc_wF-jHFi6k02DO47UyjbgMg_4_0"/>
      <w:bookmarkStart w:id="693" w:name="Tc_fMdnsRB4Fkur6iJVlStuYw_3_2"/>
      <w:bookmarkStart w:id="694" w:name="Tc_ca7rQbhRwEGlyxsjP2bx6w_2_8"/>
      <w:bookmarkStart w:id="695" w:name="Tc_myX2Wta7WUuPRZawFFeWvw_2_5"/>
      <w:bookmarkStart w:id="696" w:name="Tc_nGUZTMNRdkG-MZ46aoKOPw_2_2"/>
      <w:bookmarkStart w:id="697" w:name="Tc_4gxSBN6CK0a6QAOPrFz6UA_1_2"/>
      <w:bookmarkStart w:id="698" w:name="_Hlk167111481"/>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Pr>
          <w:rFonts w:ascii="Times New Roman;Times;serif" w:hAnsi="Times New Roman;Times;serif"/>
          <w:b/>
          <w:sz w:val="20"/>
        </w:rPr>
        <w:t>NOTE 2 – ALLOWANCE FOR DOUBTFUL ACCOUNTS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60 days. Retail trade receivables primarily relate to amounts due from third-party credit card processors for the settlement of debit and credit card transactions and are typically collected within 3 to 5 days.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accounts receivable and allowance for doubtful accounts as of April 30, 2026, April 30, 2025 and January 31, 2026 were:</w:t>
      </w:r>
    </w:p>
    <w:p>
      <w:pPr>
        <w:pStyle w:val="TextBody"/>
        <w:bidi w:val="0"/>
        <w:spacing w:before="0" w:after="240"/>
        <w:ind w:left="0" w:right="0" w:hanging="0"/>
        <w:jc w:val="both"/>
        <w:rPr>
          <w:color w:val="212529"/>
        </w:rPr>
      </w:pPr>
      <w:r>
        <w:rPr>
          <w:color w:val="212529"/>
        </w:rPr>
        <w:t>​</w:t>
      </w:r>
    </w:p>
    <w:tbl>
      <w:tblPr>
        <w:tblW w:w="6700" w:type="dxa"/>
        <w:jc w:val="left"/>
        <w:tblInd w:w="0" w:type="dxa"/>
        <w:tblLayout w:type="fixed"/>
        <w:tblCellMar>
          <w:top w:w="0" w:type="dxa"/>
          <w:left w:w="0" w:type="dxa"/>
          <w:bottom w:w="0" w:type="dxa"/>
          <w:right w:w="0" w:type="dxa"/>
        </w:tblCellMar>
      </w:tblPr>
      <w:tblGrid>
        <w:gridCol w:w="2776"/>
        <w:gridCol w:w="346"/>
        <w:gridCol w:w="211"/>
        <w:gridCol w:w="796"/>
        <w:gridCol w:w="346"/>
        <w:gridCol w:w="211"/>
        <w:gridCol w:w="571"/>
        <w:gridCol w:w="346"/>
        <w:gridCol w:w="211"/>
        <w:gridCol w:w="88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762760" cy="175260"/>
                      <wp:effectExtent l="0" t="0" r="0" b="0"/>
                      <wp:wrapNone/>
                      <wp:docPr id="46" name="Frame46"/>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05460" cy="175260"/>
                      <wp:effectExtent l="0" t="0" r="0" b="0"/>
                      <wp:wrapNone/>
                      <wp:docPr id="49" name="Frame4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62585" cy="175260"/>
                      <wp:effectExtent l="0" t="0" r="0" b="0"/>
                      <wp:wrapNone/>
                      <wp:docPr id="52" name="Frame5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62610" cy="175260"/>
                      <wp:effectExtent l="0" t="0" r="0" b="0"/>
                      <wp:wrapNone/>
                      <wp:docPr id="55" name="Frame5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 2026</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70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450,311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451,604</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(18,749)</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431,630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432,855</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 2025</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70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490,136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491,245</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(10,189)</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480,015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481,056</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2026</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70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555,038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556,083</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(19,038)</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536,068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537,045</w:t>
            </w:r>
          </w:p>
        </w:tc>
      </w:tr>
    </w:tbl>
    <w:p>
      <w:pPr>
        <w:pStyle w:val="TextBody"/>
        <w:bidi w:val="0"/>
        <w:spacing w:before="0" w:after="240"/>
        <w:ind w:left="0" w:right="0" w:hanging="0"/>
        <w:jc w:val="both"/>
        <w:rPr>
          <w:color w:val="212529"/>
        </w:rPr>
      </w:pPr>
      <w:r>
        <w:rPr>
          <w:color w:val="212529"/>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699" w:name="Tc_zz6HhObp_E-x59njThnJ4g_16_8"/>
      <w:bookmarkStart w:id="700" w:name="Tc_3cBNFBDb4UG6bpTZmpDlXQ_16_5"/>
      <w:bookmarkStart w:id="701" w:name="Tc_KsuOUzSWgUmrFl8V5LJgFw_16_2"/>
      <w:bookmarkStart w:id="702" w:name="Tc_PJKH3tvFEkipMyXxkmzPTg_16_0"/>
      <w:bookmarkStart w:id="703" w:name="Tc_hGb9ddpVt0ycXkMFaUqTSg_15_6"/>
      <w:bookmarkStart w:id="704" w:name="Tc_9emqQ_pNf02JvijMjlOj8A_15_0"/>
      <w:bookmarkStart w:id="705" w:name="Tc_KTPRhVGHekaRgwLpHkUE7A_14_6"/>
      <w:bookmarkStart w:id="706" w:name="Tc_1KuH70DPvUqzUNFFQkrtAg_14_0"/>
      <w:bookmarkStart w:id="707" w:name="Tc_BI8tQP7SPkmHW4wUei638g_13_8"/>
      <w:bookmarkStart w:id="708" w:name="Tc_amMJO_YAbkm5Xy7Fmpc4iw_13_5"/>
      <w:bookmarkStart w:id="709" w:name="Tc_fTWqx_BDLECGiYvAhvxnHA_13_2"/>
      <w:bookmarkStart w:id="710" w:name="Tc_FefBHlMYTEa_FqgKTm7hQg_13_0"/>
      <w:bookmarkStart w:id="711" w:name="Tc_J1a_V9ANz0iUqSA77GVkbQ_11_8"/>
      <w:bookmarkStart w:id="712" w:name="Tc_OwZH9cPmYk-Z0cdWQN7WEw_11_5"/>
      <w:bookmarkStart w:id="713" w:name="Tc_dd4CC6HIfEGONCRyZHuIGA_11_2"/>
      <w:bookmarkStart w:id="714" w:name="Tc_xevdQbmELkWh8TiPgWC17A_11_0"/>
      <w:bookmarkStart w:id="715" w:name="Tc_tYQrVSlwrUusoAOl4EUTBA_10_9"/>
      <w:bookmarkStart w:id="716" w:name="Tc_XqaiVnVnb0OCpMDSr5bHaQ_10_6"/>
      <w:bookmarkStart w:id="717" w:name="Tc_kWuuX3K3w0KSuRP2XwmfAA_10_3"/>
      <w:bookmarkStart w:id="718" w:name="Tc_YklbkoGJEESSTH6Z6GAvVw_10_0"/>
      <w:bookmarkStart w:id="719" w:name="Tc_R1zpyhjIik6jQTpkrUAzcQ_9_6"/>
      <w:bookmarkStart w:id="720" w:name="Tc_DP-UUnRhTUilivZkdxYvfA_9_0"/>
      <w:bookmarkStart w:id="721" w:name="Tc_wMpv3UUFNUOR-g5AuS0l8w_8_8"/>
      <w:bookmarkStart w:id="722" w:name="Tc_euuG58e8dUSHaRUAao5DEg_8_5"/>
      <w:bookmarkStart w:id="723" w:name="Tc_FrbzCEShw0yPijeTyRyF6w_8_2"/>
      <w:bookmarkStart w:id="724" w:name="Tc_GDgcL1LNf0WZGPWPlpWnQA_8_0"/>
      <w:bookmarkStart w:id="725" w:name="Tc_smTjnBwm90OTdsHoGodEAA_6_8"/>
      <w:bookmarkStart w:id="726" w:name="Tc_twTsEfH6p0m-SjzAzdKJTA_6_5"/>
      <w:bookmarkStart w:id="727" w:name="Tc_bUS-wfQhtEaTBIeoB8szzQ_6_2"/>
      <w:bookmarkStart w:id="728" w:name="Tc_GvmjZyLa80i_59b7uqTdyw_6_0"/>
      <w:bookmarkStart w:id="729" w:name="Tc_YdlJgD_Z4Eqk6_QRvVZr2Q_5_6"/>
      <w:bookmarkStart w:id="730" w:name="Tc_TbcUCKqCqk6sC5s3KRuUNw_5_0"/>
      <w:bookmarkStart w:id="731" w:name="Tc_fcMi6SA6aE2JhMu-zrvCyw_4_6"/>
      <w:bookmarkStart w:id="732" w:name="Tc_iiPh-a2Vs0yyQmghMbIS7Q_4_0"/>
      <w:bookmarkStart w:id="733" w:name="Tc_qMSZaUrL5UizOCymhyF9gQ_3_8"/>
      <w:bookmarkStart w:id="734" w:name="Tc_8TPugOjPpkO4DlPp_t_Lvg_3_5"/>
      <w:bookmarkStart w:id="735" w:name="Tc_OjEiC_Pu_EO2kjZM55K7tg_3_2"/>
      <w:bookmarkStart w:id="736" w:name="Tc_brLtmyAAWkG51Q1l2rNrpA_3_0"/>
      <w:bookmarkStart w:id="737" w:name="Tc_vji9XIiXnE-7PNdG1ujriQ_2_2"/>
      <w:bookmarkStart w:id="738" w:name="Tc_hl78for0Qk-NL5RP9h6ZKQ_1_8"/>
      <w:bookmarkStart w:id="739" w:name="Tc_GXhz7nBlFUWwKBob99c6bA_1_5"/>
      <w:bookmarkStart w:id="740" w:name="Tc_ixrRe0eyp06T8dhEw2IzjA_1_2"/>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r>
        <w:rPr>
          <w:rFonts w:ascii="Times New Roman;Times;serif" w:hAnsi="Times New Roman;Times;serif"/>
          <w:sz w:val="20"/>
        </w:rPr>
        <w:t>The Company had the following activity in its allowance for doubtful accounts: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6850" w:type="dxa"/>
        <w:jc w:val="left"/>
        <w:tblInd w:w="0" w:type="dxa"/>
        <w:tblLayout w:type="fixed"/>
        <w:tblCellMar>
          <w:top w:w="0" w:type="dxa"/>
          <w:left w:w="0" w:type="dxa"/>
          <w:bottom w:w="0" w:type="dxa"/>
          <w:right w:w="0" w:type="dxa"/>
        </w:tblCellMar>
      </w:tblPr>
      <w:tblGrid>
        <w:gridCol w:w="3106"/>
        <w:gridCol w:w="346"/>
        <w:gridCol w:w="211"/>
        <w:gridCol w:w="796"/>
        <w:gridCol w:w="346"/>
        <w:gridCol w:w="211"/>
        <w:gridCol w:w="436"/>
        <w:gridCol w:w="346"/>
        <w:gridCol w:w="211"/>
        <w:gridCol w:w="84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972310" cy="175260"/>
                      <wp:effectExtent l="0" t="0" r="0" b="0"/>
                      <wp:wrapNone/>
                      <wp:docPr id="56" name="Frame56"/>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05460" cy="175260"/>
                      <wp:effectExtent l="0" t="0" r="0" b="0"/>
                      <wp:wrapNone/>
                      <wp:docPr id="59" name="Frame5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76860" cy="175260"/>
                      <wp:effectExtent l="0" t="0" r="0" b="0"/>
                      <wp:wrapNone/>
                      <wp:docPr id="62" name="Frame6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34035" cy="175260"/>
                      <wp:effectExtent l="0" t="0" r="0" b="0"/>
                      <wp:wrapNone/>
                      <wp:docPr id="65" name="Frame6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46" w:type="dxa"/>
            <w:tcBorders/>
            <w:vAlign w:val="center"/>
          </w:tcPr>
          <w:p>
            <w:pPr>
              <w:pStyle w:val="TableContents"/>
              <w:bidi w:val="0"/>
              <w:spacing w:before="0" w:after="1"/>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85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9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(19,038)</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written off as uncollectible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April 30, 2026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(18,749)</w:t>
            </w:r>
          </w:p>
        </w:tc>
      </w:tr>
      <w:tr>
        <w:trPr/>
        <w:tc>
          <w:tcPr>
            <w:tcW w:w="31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(7,588)</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(2,601)</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written off as uncollectible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April 30,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(10,189)</w:t>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(7,588)</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(19,778)</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written off as uncollectible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8,328</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(19,038)</w:t>
            </w:r>
          </w:p>
        </w:tc>
      </w:tr>
    </w:tbl>
    <w:p>
      <w:pPr>
        <w:pStyle w:val="TextBody"/>
        <w:bidi w:val="0"/>
        <w:spacing w:before="0" w:after="240"/>
        <w:ind w:left="0" w:right="0" w:hanging="0"/>
        <w:jc w:val="both"/>
        <w:rPr>
          <w:color w:val="212529"/>
        </w:rPr>
      </w:pPr>
      <w:r>
        <w:rPr>
          <w:color w:val="212529"/>
        </w:rPr>
        <w:t>​</w:t>
      </w:r>
    </w:p>
    <w:p>
      <w:pPr>
        <w:pStyle w:val="TextBody"/>
        <w:bidi w:val="0"/>
        <w:spacing w:before="0" w:after="240"/>
        <w:ind w:left="0" w:right="0" w:hanging="0"/>
        <w:jc w:val="both"/>
        <w:rPr>
          <w:color w:val="212529"/>
        </w:rPr>
      </w:pPr>
      <w:r>
        <w:rPr>
          <w:color w:val="212529"/>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3 – INVENTORIES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Wholesale inventories, which comprise a significant portion of the Company’s inventory,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inventory return asset, which consists of the amount of goods that are anticipated to be returned by customers, was $9.0 million, $7.8 million and $12.2 million as of April 30, 2026, April 30, 2025 and January 31, 2026, respectively. The inventory return asset is recorded within prepaid expenses and other current assets on the condensed consolidated balance sheets.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Inventory held on consignment by the Company’s customers totaled $4.3 million, $5.6 million and $4.4 million as of April 30, 2026, April 30, 2025 and January 31, 2026, respectively. The Company reflects consigned inventory within inventories on its condensed consolidated balance sheets.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 – FAIR VALUE OF FINANCIAL INSTRUMENTS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to the valuation methodology based on quoted prices (unadjusted) for identical assets or liabilities in active markets.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to the valuation methodology based on unobservable prices or valuation techniques that are significant to the fair value measurement.</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741" w:name="Tc_KQ7yFp0uBESRdJ_nnmBNQA_7_2"/>
      <w:bookmarkStart w:id="742" w:name="Tc_yi7l5eHYF0KuLeS1DdVbIw_7_0"/>
      <w:bookmarkStart w:id="743" w:name="Tc_Idvt2FbNcUKC3-_fwETIow_6_2"/>
      <w:bookmarkStart w:id="744" w:name="Tc_FRrAXRd_1UWgqKWS5WYw1A_6_0"/>
      <w:bookmarkStart w:id="745" w:name="Tc_rdUSgt2DQkSAJGuWrAqO1Q_5_19"/>
      <w:bookmarkStart w:id="746" w:name="Tc_6I8E1o9K4EWJmpV8LmkA9w_5_16"/>
      <w:bookmarkStart w:id="747" w:name="Tc_P5jiLNF-1020FU2CGA192Q_5_13"/>
      <w:bookmarkStart w:id="748" w:name="Tc_sOppWaYgoEieiUh4P1kKfQ_5_10"/>
      <w:bookmarkStart w:id="749" w:name="Tc_DSPmvOqiJ0uP-TEA1LLtbQ_5_7"/>
      <w:bookmarkStart w:id="750" w:name="Tc_VLlHN_H0xEuf1ymythzibA_5_4"/>
      <w:bookmarkStart w:id="751" w:name="Tc_BRSIQP7xBE29p0RkmUmQfQ_5_2"/>
      <w:bookmarkStart w:id="752" w:name="Tc_2nY7I5frNEW1fjm-z97PrA_5_0"/>
      <w:bookmarkStart w:id="753" w:name="Tc_xt-nKlNv2EyxRnmvbmdXpQ_4_4"/>
      <w:bookmarkStart w:id="754" w:name="Tc_Omu5KCcipUGYVM70pj1_NQ_3_19"/>
      <w:bookmarkStart w:id="755" w:name="Tc_jfUOpNSz0UOLocZ7BHZJlA_3_16"/>
      <w:bookmarkStart w:id="756" w:name="Tc_YEVWqb-KCUmv8MjVD6R08w_3_13"/>
      <w:bookmarkStart w:id="757" w:name="Tc_JMxq2t2szEmbhyNa6n8XJQ_3_10"/>
      <w:bookmarkStart w:id="758" w:name="Tc_2z-C2HHvrkmCrnHMfvb3KA_3_7"/>
      <w:bookmarkStart w:id="759" w:name="Tc_K1zn6UFmmEGaAq54DXiKdw_3_4"/>
      <w:bookmarkStart w:id="760" w:name="Tc_PkE-Pv6GG0OxyfjzlpOVZA_3_2"/>
      <w:bookmarkStart w:id="761" w:name="Tc_P05gTstRkU-IGQVZXV_hWA_3_0"/>
      <w:bookmarkStart w:id="762" w:name="Tc_buD7PvYLhUKgE54xRAz0LA_2_19"/>
      <w:bookmarkStart w:id="763" w:name="Tc_UTuh33KhL0ul2WH0cWyGBA_2_16"/>
      <w:bookmarkStart w:id="764" w:name="Tc_7qGCUn6DK0ejMlvE8g0Ugw_2_13"/>
      <w:bookmarkStart w:id="765" w:name="Tc_2DWsL5HA0EyUo5Y-FJqdBQ_2_10"/>
      <w:bookmarkStart w:id="766" w:name="Tc_iTcpf-50qEmpwn6840qBFA_2_7"/>
      <w:bookmarkStart w:id="767" w:name="Tc_IwjjJR1Z5EujZmbeNqUBxw_2_4"/>
      <w:bookmarkStart w:id="768" w:name="Tc_s-GoQF1LkkSNdfBFEaflCQ_1_13"/>
      <w:bookmarkStart w:id="769" w:name="Tc_neHkimEXfUmP3Wb2sbRb6A_1_4"/>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r>
        <w:rPr>
          <w:rFonts w:ascii="Times New Roman;Times;serif" w:hAnsi="Times New Roman;Times;serif"/>
          <w:sz w:val="20"/>
        </w:rPr>
        <w:t>The following table summarizes the carrying values and the estimated fair values of the Company’s debt instruments:</w:t>
      </w:r>
    </w:p>
    <w:p>
      <w:pPr>
        <w:pStyle w:val="TextBody"/>
        <w:bidi w:val="0"/>
        <w:spacing w:before="0" w:after="240"/>
        <w:ind w:left="0" w:right="0" w:hanging="0"/>
        <w:jc w:val="both"/>
        <w:rPr/>
      </w:pPr>
      <w:r>
        <w:rPr/>
        <w:t>​</w:t>
      </w:r>
    </w:p>
    <w:tbl>
      <w:tblPr>
        <w:tblW w:w="9039" w:type="dxa"/>
        <w:jc w:val="left"/>
        <w:tblInd w:w="0" w:type="dxa"/>
        <w:tblLayout w:type="fixed"/>
        <w:tblCellMar>
          <w:top w:w="0" w:type="dxa"/>
          <w:left w:w="0" w:type="dxa"/>
          <w:bottom w:w="0" w:type="dxa"/>
          <w:right w:w="0" w:type="dxa"/>
        </w:tblCellMar>
      </w:tblPr>
      <w:tblGrid>
        <w:gridCol w:w="2011"/>
        <w:gridCol w:w="109"/>
        <w:gridCol w:w="496"/>
        <w:gridCol w:w="346"/>
        <w:gridCol w:w="214"/>
        <w:gridCol w:w="581"/>
        <w:gridCol w:w="109"/>
        <w:gridCol w:w="214"/>
        <w:gridCol w:w="581"/>
        <w:gridCol w:w="109"/>
        <w:gridCol w:w="279"/>
        <w:gridCol w:w="756"/>
        <w:gridCol w:w="346"/>
        <w:gridCol w:w="214"/>
        <w:gridCol w:w="581"/>
        <w:gridCol w:w="109"/>
        <w:gridCol w:w="214"/>
        <w:gridCol w:w="581"/>
        <w:gridCol w:w="109"/>
        <w:gridCol w:w="257"/>
        <w:gridCol w:w="823"/>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76985" cy="175260"/>
                      <wp:effectExtent l="0" t="0" r="0" b="0"/>
                      <wp:wrapNone/>
                      <wp:docPr id="66" name="Frame66"/>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14960" cy="175260"/>
                      <wp:effectExtent l="0" t="0" r="0" b="0"/>
                      <wp:wrapNone/>
                      <wp:docPr id="68" name="Frame68"/>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68935" cy="175260"/>
                      <wp:effectExtent l="0" t="0" r="0" b="0"/>
                      <wp:wrapNone/>
                      <wp:docPr id="69" name="Frame69"/>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68935" cy="175260"/>
                      <wp:effectExtent l="0" t="0" r="0" b="0"/>
                      <wp:wrapNone/>
                      <wp:docPr id="71" name="Frame71"/>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80060" cy="175260"/>
                      <wp:effectExtent l="0" t="0" r="0" b="0"/>
                      <wp:wrapNone/>
                      <wp:docPr id="73" name="Frame73"/>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68935" cy="175260"/>
                      <wp:effectExtent l="0" t="0" r="0" b="0"/>
                      <wp:wrapNone/>
                      <wp:docPr id="74" name="Frame74"/>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68935" cy="175260"/>
                      <wp:effectExtent l="0" t="0" r="0" b="0"/>
                      <wp:wrapNone/>
                      <wp:docPr id="76" name="Frame76"/>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22605" cy="175260"/>
                      <wp:effectExtent l="0" t="0" r="0" b="0"/>
                      <wp:wrapNone/>
                      <wp:docPr id="78" name="Frame78"/>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w:t>
            </w:r>
          </w:p>
        </w:tc>
        <w:tc>
          <w:tcPr>
            <w:tcW w:w="288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April 30, </w:t>
            </w:r>
          </w:p>
        </w:tc>
        <w:tc>
          <w:tcPr>
            <w:tcW w:w="109"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April 30,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c>
          <w:tcPr>
            <w:tcW w:w="346" w:type="dxa"/>
            <w:tcBorders/>
            <w:vAlign w:val="center"/>
          </w:tcPr>
          <w:p>
            <w:pPr>
              <w:pStyle w:val="TableContents"/>
              <w:bidi w:val="0"/>
              <w:spacing w:before="0" w:after="0"/>
              <w:ind w:left="0" w:right="0" w:hanging="0"/>
              <w:jc w:val="left"/>
              <w:rPr/>
            </w:pPr>
            <w:r>
              <w:rPr/>
              <w:t>  ​ ​ ​</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April 30, </w:t>
            </w:r>
          </w:p>
        </w:tc>
        <w:tc>
          <w:tcPr>
            <w:tcW w:w="109"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April 30, </w:t>
            </w:r>
          </w:p>
        </w:tc>
        <w:tc>
          <w:tcPr>
            <w:tcW w:w="109"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Financial</w:t>
            </w:r>
            <w:r>
              <w:rPr>
                <w:rFonts w:ascii="Times New Roman;Times;serif" w:hAnsi="Times New Roman;Times;serif"/>
                <w:sz w:val="16"/>
              </w:rPr>
              <w:t> </w:t>
            </w:r>
            <w:r>
              <w:rPr>
                <w:rFonts w:ascii="Times New Roman;Times;serif" w:hAnsi="Times New Roman;Times;serif"/>
                <w:b/>
                <w:sz w:val="16"/>
              </w:rPr>
              <w:t>Instrument</w:t>
            </w:r>
          </w:p>
        </w:tc>
        <w:tc>
          <w:tcPr>
            <w:tcW w:w="109" w:type="dxa"/>
            <w:tcBorders/>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46" w:type="dxa"/>
            <w:tcBorders/>
            <w:vAlign w:val="center"/>
          </w:tcPr>
          <w:p>
            <w:pPr>
              <w:pStyle w:val="TableContents"/>
              <w:bidi w:val="0"/>
              <w:spacing w:before="0" w:after="0"/>
              <w:ind w:left="0" w:right="0" w:hanging="0"/>
              <w:jc w:val="left"/>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9039" w:type="dxa"/>
            <w:gridSpan w:val="21"/>
            <w:tcBorders/>
            <w:vAlign w:val="center"/>
          </w:tcPr>
          <w:p>
            <w:pPr>
              <w:pStyle w:val="TableContents"/>
              <w:bidi w:val="0"/>
              <w:spacing w:before="0" w:after="283"/>
              <w:ind w:left="0" w:right="0" w:hanging="0"/>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77"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thousands)</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loans</w:t>
            </w:r>
          </w:p>
        </w:tc>
        <w:tc>
          <w:tcPr>
            <w:tcW w:w="109"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5,336</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3,468</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2,696</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5,336</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3,468</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Overdraft facilities</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8,110</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7,995</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8,110</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7,995</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credit facilities</w:t>
            </w:r>
          </w:p>
        </w:tc>
        <w:tc>
          <w:tcPr>
            <w:tcW w:w="109"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4,602</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5,411</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4,696</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4,602</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5,411</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4,696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debt instruments are recorded at their carrying values in its condensed consolidated balance sheets, which may differ from their respective fair values. The carrying amount of the Company’s variable rate debt approximates the fair value, as interest rates change with market rates. Furthermore, the carrying value of all other financial instruments potentially subject to valuation risk (principally consisting of cash, accounts receivable and accounts payable) also approximates fair value due to the short-term nature of these accounts.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Non-Financial Assets and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w:t>
      </w:r>
    </w:p>
    <w:p>
      <w:pPr>
        <w:pStyle w:val="TextBody"/>
        <w:bidi w:val="0"/>
        <w:spacing w:before="0" w:after="240"/>
        <w:ind w:left="0" w:right="0" w:hanging="0"/>
        <w:jc w:val="both"/>
        <w:rPr>
          <w:color w:val="212529"/>
          <w:shd w:fill="FFFFFF" w:val="clear"/>
        </w:rPr>
      </w:pPr>
      <w:r>
        <w:rPr>
          <w:color w:val="212529"/>
          <w:shd w:fill="FFFFFF" w:val="clear"/>
        </w:rPr>
        <w:t>​</w:t>
      </w:r>
    </w:p>
    <w:p>
      <w:pPr>
        <w:pStyle w:val="TextBody"/>
        <w:bidi w:val="0"/>
        <w:spacing w:before="0" w:after="0"/>
        <w:ind w:left="0" w:right="0" w:hanging="0"/>
        <w:jc w:val="left"/>
        <w:rPr>
          <w:rFonts w:ascii="Times New Roman;Times;serif" w:hAnsi="Times New Roman;Times;serif"/>
          <w:b/>
          <w:sz w:val="20"/>
        </w:rPr>
      </w:pPr>
      <w:bookmarkStart w:id="770" w:name="Tc_t2K6IPiHcUWs2DdAHaQ7GA_10_10"/>
      <w:bookmarkStart w:id="771" w:name="Tc_8xHZ6KrKHkaRLcgK8iBnkg_10_7"/>
      <w:bookmarkStart w:id="772" w:name="Tc_8-L-wfNPyUeeIUKXkdEQBg_10_4"/>
      <w:bookmarkStart w:id="773" w:name="Tc_f2FLid1Hc0yiQBYnEovWtg_10_0"/>
      <w:bookmarkStart w:id="774" w:name="Tc_J_574Rto_UaSMd31SUsdqQ_9_0"/>
      <w:bookmarkStart w:id="775" w:name="Tc_2nNL8GWBfkiR4pJs53Z-HQ_8_10"/>
      <w:bookmarkStart w:id="776" w:name="Tc_iVq8bvLU5k-ezCYE1-eznQ_8_7"/>
      <w:bookmarkStart w:id="777" w:name="Tc_I5tsHKePdUm8cH1gzP5iCw_8_4"/>
      <w:bookmarkStart w:id="778" w:name="Tc_rxY7tpIJYkGSpGN_LVNyMg_8_0"/>
      <w:bookmarkStart w:id="779" w:name="Tc_AxttcJaeskSUzVaqYUEyNg_7_0"/>
      <w:bookmarkStart w:id="780" w:name="Tc_YCmOvVSRK0OtrsLJUijL6g_5_10"/>
      <w:bookmarkStart w:id="781" w:name="Tc_61WrPgJihE-TuWUL6GUMMg_5_7"/>
      <w:bookmarkStart w:id="782" w:name="Tc_JLcbHtybqU6YvzeiScDq_A_5_4"/>
      <w:bookmarkStart w:id="783" w:name="Tc_X-Cjb3XSfkaC8hdxDm4Ffg_5_0"/>
      <w:bookmarkStart w:id="784" w:name="Tc_k32HRn6F30GHg6sCMN5S-g_4_0"/>
      <w:bookmarkStart w:id="785" w:name="Tc_ojXx6gfTSEiRtN7ytFcMtQ_3_4"/>
      <w:bookmarkStart w:id="786" w:name="Tc_S1RVc38m_U-XclO9fqRZ8A_2_10"/>
      <w:bookmarkStart w:id="787" w:name="Tc_52kTQzm_QU-SkUTGTrnFbw_2_7"/>
      <w:bookmarkStart w:id="788" w:name="Tc_v4RFm5QJw0y1SdUDRIIJKA_2_4"/>
      <w:bookmarkStart w:id="789" w:name="Tc_oBwCAemLMUWGl7a4rQxUpw_2_2"/>
      <w:bookmarkStart w:id="790" w:name="Tc_aP2aFKD1tUaBVZMomJYpfw_2_0"/>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r>
        <w:rPr>
          <w:rFonts w:ascii="Times New Roman;Times;serif" w:hAnsi="Times New Roman;Times;serif"/>
          <w:b/>
          <w:sz w:val="20"/>
        </w:rPr>
        <w:t>NOTE 5 – LEASES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Most leases are for a term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Some leases include one or more options to renew, with renewal terms that can extend the lease term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of the Company’s lease agreements include contingent rental payments based on a percentage of retail sales over contractual levels and others include rental payments adjusted periodically for inflation. Contingent rent is accrued each period as the liabilities are incurred. The Company’s leases do not contain any material residual value guarantees or material restrictive covenants.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operating lease assets and liabilities as of April 30, 2026, April 30, 2025 and January 31, 2026 consist of the following:</w:t>
      </w:r>
    </w:p>
    <w:p>
      <w:pPr>
        <w:pStyle w:val="TextBody"/>
        <w:bidi w:val="0"/>
        <w:spacing w:before="0" w:after="0"/>
        <w:ind w:left="0" w:right="0" w:hanging="0"/>
        <w:jc w:val="left"/>
        <w:rPr/>
      </w:pPr>
      <w:r>
        <w:rPr/>
        <w:t>​</w:t>
      </w:r>
    </w:p>
    <w:tbl>
      <w:tblPr>
        <w:tblW w:w="9168" w:type="dxa"/>
        <w:jc w:val="left"/>
        <w:tblInd w:w="0" w:type="dxa"/>
        <w:tblLayout w:type="fixed"/>
        <w:tblCellMar>
          <w:top w:w="0" w:type="dxa"/>
          <w:left w:w="0" w:type="dxa"/>
          <w:bottom w:w="0" w:type="dxa"/>
          <w:right w:w="0" w:type="dxa"/>
        </w:tblCellMar>
      </w:tblPr>
      <w:tblGrid>
        <w:gridCol w:w="1861"/>
        <w:gridCol w:w="109"/>
        <w:gridCol w:w="3121"/>
        <w:gridCol w:w="109"/>
        <w:gridCol w:w="245"/>
        <w:gridCol w:w="910"/>
        <w:gridCol w:w="109"/>
        <w:gridCol w:w="245"/>
        <w:gridCol w:w="910"/>
        <w:gridCol w:w="109"/>
        <w:gridCol w:w="277"/>
        <w:gridCol w:w="1163"/>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181735" cy="175260"/>
                      <wp:effectExtent l="0" t="0" r="0" b="0"/>
                      <wp:wrapNone/>
                      <wp:docPr id="79" name="Frame79"/>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981835" cy="175260"/>
                      <wp:effectExtent l="0" t="0" r="0" b="0"/>
                      <wp:wrapNone/>
                      <wp:docPr id="81" name="Frame81"/>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55575" cy="175260"/>
                      <wp:effectExtent l="0" t="0" r="0" b="0"/>
                      <wp:wrapNone/>
                      <wp:docPr id="83" name="Frame83"/>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77850" cy="175260"/>
                      <wp:effectExtent l="0" t="0" r="0" b="0"/>
                      <wp:wrapNone/>
                      <wp:docPr id="84" name="Frame84"/>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55575" cy="175260"/>
                      <wp:effectExtent l="0" t="0" r="0" b="0"/>
                      <wp:wrapNone/>
                      <wp:docPr id="86" name="Frame86"/>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77850" cy="175260"/>
                      <wp:effectExtent l="0" t="0" r="0" b="0"/>
                      <wp:wrapNone/>
                      <wp:docPr id="87" name="Frame87"/>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75895" cy="175260"/>
                      <wp:effectExtent l="0" t="0" r="0" b="0"/>
                      <wp:wrapNone/>
                      <wp:docPr id="89" name="Frame89"/>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38505" cy="175260"/>
                      <wp:effectExtent l="0" t="0" r="0" b="0"/>
                      <wp:wrapNone/>
                      <wp:docPr id="90" name="Frame90"/>
                      <a:graphic xmlns:a="http://schemas.openxmlformats.org/drawingml/2006/main">
                        <a:graphicData uri="http://schemas.microsoft.com/office/word/2010/wordprocessingShape">
                          <wps:wsp>
                            <wps:cNvSpPr txBox="1"/>
                            <wps:spPr>
                              <a:xfrm>
                                <a:off x="0" y="0"/>
                                <a:ext cx="738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left"/>
              <w:rPr/>
            </w:pPr>
            <w:r>
              <w:rPr/>
              <w:t>​</w:t>
            </w:r>
          </w:p>
        </w:tc>
      </w:tr>
      <w:tr>
        <w:trPr/>
        <w:tc>
          <w:tcPr>
            <w:tcW w:w="18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left"/>
              <w:rPr/>
            </w:pPr>
            <w:r>
              <w:rPr/>
              <w:t>​</w:t>
            </w:r>
          </w:p>
        </w:tc>
        <w:tc>
          <w:tcPr>
            <w:tcW w:w="31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109" w:type="dxa"/>
            <w:tcBorders/>
            <w:vAlign w:val="center"/>
          </w:tcPr>
          <w:p>
            <w:pPr>
              <w:pStyle w:val="TableContents"/>
              <w:bidi w:val="0"/>
              <w:spacing w:before="0" w:after="0"/>
              <w:ind w:left="0" w:right="0" w:hanging="0"/>
              <w:jc w:val="left"/>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 2026</w:t>
            </w:r>
          </w:p>
        </w:tc>
        <w:tc>
          <w:tcPr>
            <w:tcW w:w="109" w:type="dxa"/>
            <w:tcBorders/>
            <w:vAlign w:val="center"/>
          </w:tcPr>
          <w:p>
            <w:pPr>
              <w:pStyle w:val="TableContents"/>
              <w:bidi w:val="0"/>
              <w:spacing w:before="0" w:after="0"/>
              <w:ind w:left="0" w:right="0" w:hanging="0"/>
              <w:jc w:val="center"/>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 2025</w:t>
            </w:r>
          </w:p>
        </w:tc>
        <w:tc>
          <w:tcPr>
            <w:tcW w:w="109" w:type="dxa"/>
            <w:tcBorders/>
            <w:vAlign w:val="center"/>
          </w:tcPr>
          <w:p>
            <w:pPr>
              <w:pStyle w:val="TableContents"/>
              <w:bidi w:val="0"/>
              <w:spacing w:before="0" w:after="0"/>
              <w:ind w:left="0" w:right="0" w:hanging="0"/>
              <w:jc w:val="center"/>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r>
      <w:tr>
        <w:trPr/>
        <w:tc>
          <w:tcPr>
            <w:tcW w:w="9168"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163"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263,276</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253,884</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257,619</w:t>
            </w:r>
          </w:p>
        </w:tc>
      </w:tr>
      <w:tr>
        <w:trPr/>
        <w:tc>
          <w:tcPr>
            <w:tcW w:w="18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163"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54,380</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49,687</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52,244</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operating lease liabilities</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223,778</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220,235</w:t>
            </w:r>
          </w:p>
        </w:tc>
        <w:tc>
          <w:tcPr>
            <w:tcW w:w="109"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220,713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278,158</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269,922</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272,957</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791" w:name="Tc_6ULWpC9QMU-SuyPUKpFsdg_11_2"/>
      <w:bookmarkStart w:id="792" w:name="Tc_7X46onq5zE2bw_GnjvoUcw_11_0"/>
      <w:bookmarkStart w:id="793" w:name="Tc_lvFocgW4oUCwBWm20waYCA_10_0"/>
      <w:bookmarkStart w:id="794" w:name="Tc_NVjzAr0FHk2vL58efgSEeg_9_2"/>
      <w:bookmarkStart w:id="795" w:name="Tc_SEDR4Mi4YEC4zNBjewRCHw_9_0"/>
      <w:bookmarkStart w:id="796" w:name="Tc_-eP0iGwMYUm7YaR9d_3-0Q_8_0"/>
      <w:bookmarkStart w:id="797" w:name="Tc_ti_AZma2RESCjX5dtwQ3rQ_7_0"/>
      <w:bookmarkStart w:id="798" w:name="Tc_lfJ9WtEQRkuIHpQw4Ll0ww_6_0"/>
      <w:bookmarkStart w:id="799" w:name="Tc_hzQCQ9eM1k6FGvPSdBcWSw_5_0"/>
      <w:bookmarkStart w:id="800" w:name="Tc_LYshuhGRBUiovjWUXV_dUw_4_0"/>
      <w:bookmarkStart w:id="801" w:name="Tc_Fzb8Yju0G0SvNwZH-ttJ0g_3_2"/>
      <w:bookmarkStart w:id="802" w:name="Tc_l0cIV6r29EWfLYmRxV1dMQ_3_0"/>
      <w:bookmarkStart w:id="803" w:name="Tc_8vWqw-Lb8UqcHYKK2HgH6A_2_2"/>
      <w:bookmarkStart w:id="804" w:name="Tc_CcsCP8LoO0WgvV5J2z3vmw_1_2"/>
      <w:bookmarkStart w:id="805" w:name="Tc_6R2RW-fSb0yI7iVLFyrRlw_1_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r>
        <w:rPr>
          <w:rFonts w:ascii="Times New Roman;Times;serif" w:hAnsi="Times New Roman;Times;serif"/>
          <w:sz w:val="20"/>
        </w:rPr>
        <w:t>The Company recorded lease costs of $18.6 million and $18.2 million during the three months ended April 30, 2026 and 2025, respectively. Lease costs are recorded within selling, general and administrative expenses in the Company’s condensed consolidated statements of income and comprehensive income. The Company recorded variable lease costs and short-term lease costs of $3.9 million and $3.5 million for the three months ended April 30, 2026 and 2025, respectively. Short-term lease costs are immaterial.</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April 30, 2026, the Company’s maturity of operating lease liabilities in the years ending up to January 31, 2031 and thereafter are as follows:</w:t>
      </w:r>
    </w:p>
    <w:p>
      <w:pPr>
        <w:pStyle w:val="TextBody"/>
        <w:bidi w:val="0"/>
        <w:spacing w:before="0" w:after="240"/>
        <w:ind w:left="0" w:right="0" w:hanging="0"/>
        <w:jc w:val="both"/>
        <w:rPr/>
      </w:pPr>
      <w:r>
        <w:rPr/>
        <w:t>​</w:t>
      </w:r>
    </w:p>
    <w:tbl>
      <w:tblPr>
        <w:tblW w:w="3980" w:type="dxa"/>
        <w:jc w:val="left"/>
        <w:tblInd w:w="0" w:type="dxa"/>
        <w:tblLayout w:type="fixed"/>
        <w:tblCellMar>
          <w:top w:w="0" w:type="dxa"/>
          <w:left w:w="0" w:type="dxa"/>
          <w:bottom w:w="0" w:type="dxa"/>
          <w:right w:w="0" w:type="dxa"/>
        </w:tblCellMar>
      </w:tblPr>
      <w:tblGrid>
        <w:gridCol w:w="2686"/>
        <w:gridCol w:w="109"/>
        <w:gridCol w:w="228"/>
        <w:gridCol w:w="957"/>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705610" cy="175260"/>
                      <wp:effectExtent l="0" t="0" r="0" b="0"/>
                      <wp:wrapNone/>
                      <wp:docPr id="91" name="Frame91"/>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4780" cy="175260"/>
                      <wp:effectExtent l="0" t="0" r="0" b="0"/>
                      <wp:wrapNone/>
                      <wp:docPr id="93" name="Frame9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07695" cy="175260"/>
                      <wp:effectExtent l="0" t="0" r="0" b="0"/>
                      <wp:wrapNone/>
                      <wp:docPr id="94" name="Frame94"/>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January 31,</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52,554</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64,420</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52,188</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37,310</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32,031</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After 2031</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96,688</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335,191</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57,033</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278,158</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April 30, 2026, there are no material leases that are legally binding but have not yet commenced.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April 30, 2026, the weighted average remaining lease term related to operating leases is 6.2 years. The weighted average discount rate related to operating leases is 6.0%.</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paid for amounts included in the measurement of operating lease liabilities was $19.1 million and $19.3 million during the three months ended April 30, 2026 and 2025, respectively. Right-of-use assets obtained in exchange for lease obligations were $22.4 million and $8.7 million during the three months ended April 30, 2026 and 2025, respectively.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806" w:name="Tc_0PaD_ak2OEOiR3H2i6kv3A_13_5"/>
      <w:bookmarkStart w:id="807" w:name="Tc_Is7VOgZr-kawrLgDC9TACg_13_2"/>
      <w:bookmarkStart w:id="808" w:name="Tc_f4xLd-u4c0yl0SOCQ-B14w_13_0"/>
      <w:bookmarkStart w:id="809" w:name="Tc_-a3dJTUcSE2tyJVcTHo_LQ_12_0"/>
      <w:bookmarkStart w:id="810" w:name="Tc_bumCYa7EUEerksyI2I2OZw_11_0"/>
      <w:bookmarkStart w:id="811" w:name="Tc_Ta45-HH_L06hyT8ktfufgg_10_0"/>
      <w:bookmarkStart w:id="812" w:name="Tc_RPdfgBkIGkCJQ_T4pxol2Q_9_0"/>
      <w:bookmarkStart w:id="813" w:name="Tc_rpI-pRfGhEGKuTn0-vnchQ_7_5"/>
      <w:bookmarkStart w:id="814" w:name="Tc_iJyQHHKz40aJujCYTy1UVA_7_2"/>
      <w:bookmarkStart w:id="815" w:name="Tc_a0r0WlR0dUaa0lYCEqoSGQ_7_0"/>
      <w:bookmarkStart w:id="816" w:name="Tc_dI5ebi0LeEa8WytiJ0QfxQ_6_0"/>
      <w:bookmarkStart w:id="817" w:name="Tc_tUSMTRg1k0u8BsH_MZXmaQ_5_0"/>
      <w:bookmarkStart w:id="818" w:name="Tc_JDrx9BLUvUG5BNutQPZxpA_4_5"/>
      <w:bookmarkStart w:id="819" w:name="Tc_aJq8Fg_Qz0WkTBTxgI1xsA_4_2"/>
      <w:bookmarkStart w:id="820" w:name="Tc_eSHZrDlGEEqdKM4UzYH9kQ_4_0"/>
      <w:bookmarkStart w:id="821" w:name="Tc_jEZQvUZtSEW_J8MaLOn9bQ_3_2"/>
      <w:bookmarkStart w:id="822" w:name="Tc_s_dmEdBI-U2PTePSWkRIlg_2_5"/>
      <w:bookmarkStart w:id="823" w:name="Tc_N7SwvfFiy0Gmxna149tmBQ_2_2"/>
      <w:bookmarkStart w:id="824" w:name="Tc_95yBs0-mtUSAPhfb5PhJ4A_1_2"/>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r>
        <w:rPr>
          <w:rFonts w:ascii="Times New Roman;Times;serif" w:hAnsi="Times New Roman;Times;serif"/>
          <w:b/>
          <w:sz w:val="20"/>
        </w:rPr>
        <w:t>NOTE 6 – NET INCOME PER COMMON SHARE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Basic net income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outstanding during the period. Approximately 340,000 and 5,400 shares of common stock have been excluded from the diluted net income per share calculation for the three months ended April 30, 2026 and 2025, respectively. All share-based payments outstanding that vest based on the achievement of performance conditions, and for which the respective performance conditions have not been achieved, have been excluded from the diluted per share calculation.</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table reconciles the numerators and denominators used in the calculation of basic and diluted net income per share:</w:t>
      </w:r>
    </w:p>
    <w:p>
      <w:pPr>
        <w:pStyle w:val="TextBody"/>
        <w:bidi w:val="0"/>
        <w:spacing w:before="0" w:after="0"/>
        <w:ind w:left="0" w:right="0" w:hanging="0"/>
        <w:jc w:val="left"/>
        <w:rPr/>
      </w:pPr>
      <w:r>
        <w:rPr/>
        <w:t>​</w:t>
      </w:r>
    </w:p>
    <w:tbl>
      <w:tblPr>
        <w:tblW w:w="8745" w:type="dxa"/>
        <w:jc w:val="left"/>
        <w:tblInd w:w="0" w:type="dxa"/>
        <w:tblLayout w:type="fixed"/>
        <w:tblCellMar>
          <w:top w:w="0" w:type="dxa"/>
          <w:left w:w="0" w:type="dxa"/>
          <w:bottom w:w="0" w:type="dxa"/>
          <w:right w:w="0" w:type="dxa"/>
        </w:tblCellMar>
      </w:tblPr>
      <w:tblGrid>
        <w:gridCol w:w="4531"/>
        <w:gridCol w:w="346"/>
        <w:gridCol w:w="376"/>
        <w:gridCol w:w="1209"/>
        <w:gridCol w:w="618"/>
        <w:gridCol w:w="376"/>
        <w:gridCol w:w="1289"/>
      </w:tblGrid>
      <w:tr>
        <w:trPr/>
        <w:tc>
          <w:tcPr>
            <w:tcW w:w="4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877185" cy="175260"/>
                      <wp:effectExtent l="0" t="0" r="0" b="0"/>
                      <wp:wrapNone/>
                      <wp:docPr id="95" name="Frame95"/>
                      <a:graphic xmlns:a="http://schemas.openxmlformats.org/drawingml/2006/main">
                        <a:graphicData uri="http://schemas.microsoft.com/office/word/2010/wordprocessingShape">
                          <wps:wsp>
                            <wps:cNvSpPr txBox="1"/>
                            <wps:spPr>
                              <a:xfrm>
                                <a:off x="0" y="0"/>
                                <a:ext cx="287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1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67715" cy="175260"/>
                      <wp:effectExtent l="0" t="0" r="0" b="0"/>
                      <wp:wrapNone/>
                      <wp:docPr id="96" name="Frame96"/>
                      <a:graphic xmlns:a="http://schemas.openxmlformats.org/drawingml/2006/main">
                        <a:graphicData uri="http://schemas.microsoft.com/office/word/2010/wordprocessingShape">
                          <wps:wsp>
                            <wps:cNvSpPr txBox="1"/>
                            <wps:spPr>
                              <a:xfrm>
                                <a:off x="0" y="0"/>
                                <a:ext cx="767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92430" cy="175260"/>
                      <wp:effectExtent l="0" t="0" r="0" b="0"/>
                      <wp:wrapNone/>
                      <wp:docPr id="97" name="Frame97"/>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1"/>
              <w:ind w:left="0" w:right="0" w:hanging="0"/>
              <w:jc w:val="left"/>
              <w:rPr/>
            </w:pPr>
            <w:r>
              <w:rPr/>
              <w:t>​</w:t>
            </w:r>
          </w:p>
        </w:tc>
        <w:tc>
          <w:tcPr>
            <w:tcW w:w="1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818515" cy="175260"/>
                      <wp:effectExtent l="0" t="0" r="0" b="0"/>
                      <wp:wrapNone/>
                      <wp:docPr id="98" name="Frame98"/>
                      <a:graphic xmlns:a="http://schemas.openxmlformats.org/drawingml/2006/main">
                        <a:graphicData uri="http://schemas.microsoft.com/office/word/2010/wordprocessingShape">
                          <wps:wsp>
                            <wps:cNvSpPr txBox="1"/>
                            <wps:spPr>
                              <a:xfrm>
                                <a:off x="0" y="0"/>
                                <a:ext cx="818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April 30, </w:t>
            </w:r>
          </w:p>
        </w:tc>
      </w:tr>
      <w:tr>
        <w:trPr/>
        <w:tc>
          <w:tcPr>
            <w:tcW w:w="4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18" w:type="dxa"/>
            <w:tcBorders/>
            <w:vAlign w:val="center"/>
          </w:tcPr>
          <w:p>
            <w:pPr>
              <w:pStyle w:val="TableContents"/>
              <w:bidi w:val="0"/>
              <w:spacing w:before="0" w:after="1"/>
              <w:ind w:left="0" w:right="0" w:hanging="0"/>
              <w:jc w:val="left"/>
              <w:rPr/>
            </w:pPr>
            <w:r>
              <w:rPr/>
              <w:t>  ​ ​ ​</w:t>
            </w:r>
          </w:p>
        </w:tc>
        <w:tc>
          <w:tcPr>
            <w:tcW w:w="16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74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68"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thousands, except share and per share amounts)</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66,534</w:t>
            </w:r>
          </w:p>
        </w:tc>
        <w:tc>
          <w:tcPr>
            <w:tcW w:w="618"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7,759</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net income per share:</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1209"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1289" w:type="dxa"/>
            <w:tcBorders/>
            <w:vAlign w:val="center"/>
          </w:tcPr>
          <w:p>
            <w:pPr>
              <w:pStyle w:val="TableContents"/>
              <w:bidi w:val="0"/>
              <w:spacing w:before="0" w:after="1"/>
              <w:ind w:left="0" w:right="0" w:hanging="0"/>
              <w:jc w:val="left"/>
              <w:rPr/>
            </w:pPr>
            <w:r>
              <w:rPr/>
              <w:t>​</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common shares</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42,189</w:t>
            </w:r>
          </w:p>
        </w:tc>
        <w:tc>
          <w:tcPr>
            <w:tcW w:w="618" w:type="dxa"/>
            <w:tcBorders/>
            <w:shd w:fill="CCEEFF" w:val="clear"/>
            <w:vAlign w:val="center"/>
          </w:tcPr>
          <w:p>
            <w:pPr>
              <w:pStyle w:val="TableContents"/>
              <w:bidi w:val="0"/>
              <w:spacing w:before="0" w:after="1"/>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43,748</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net income per share</w:t>
            </w:r>
          </w:p>
        </w:tc>
        <w:tc>
          <w:tcPr>
            <w:tcW w:w="346" w:type="dxa"/>
            <w:tcBorders/>
            <w:vAlign w:val="center"/>
          </w:tcPr>
          <w:p>
            <w:pPr>
              <w:pStyle w:val="TableContents"/>
              <w:bidi w:val="0"/>
              <w:spacing w:before="0" w:after="1"/>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618" w:type="dxa"/>
            <w:tcBorders/>
            <w:vAlign w:val="center"/>
          </w:tcPr>
          <w:p>
            <w:pPr>
              <w:pStyle w:val="TableContents"/>
              <w:bidi w:val="0"/>
              <w:spacing w:before="0" w:after="1"/>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r>
      <w:tr>
        <w:trPr/>
        <w:tc>
          <w:tcPr>
            <w:tcW w:w="45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1209"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1289" w:type="dxa"/>
            <w:tcBorders/>
            <w:shd w:fill="CCEEFF" w:val="clear"/>
            <w:vAlign w:val="center"/>
          </w:tcPr>
          <w:p>
            <w:pPr>
              <w:pStyle w:val="TableContents"/>
              <w:bidi w:val="0"/>
              <w:spacing w:before="0" w:after="1"/>
              <w:ind w:left="0" w:right="0" w:hanging="0"/>
              <w:jc w:val="left"/>
              <w:rPr/>
            </w:pPr>
            <w:r>
              <w:rPr/>
              <w:t>​</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net income per share:</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1209"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1289" w:type="dxa"/>
            <w:tcBorders/>
            <w:vAlign w:val="center"/>
          </w:tcPr>
          <w:p>
            <w:pPr>
              <w:pStyle w:val="TableContents"/>
              <w:bidi w:val="0"/>
              <w:spacing w:before="0" w:after="1"/>
              <w:ind w:left="0" w:right="0" w:hanging="0"/>
              <w:jc w:val="left"/>
              <w:rPr/>
            </w:pPr>
            <w:r>
              <w:rPr/>
              <w:t>​</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common shares</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12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42,189</w:t>
            </w:r>
          </w:p>
        </w:tc>
        <w:tc>
          <w:tcPr>
            <w:tcW w:w="618"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12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43,748</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restricted stock unit awards and stock options</w:t>
            </w:r>
          </w:p>
        </w:tc>
        <w:tc>
          <w:tcPr>
            <w:tcW w:w="346" w:type="dxa"/>
            <w:tcBorders/>
            <w:vAlign w:val="center"/>
          </w:tcPr>
          <w:p>
            <w:pPr>
              <w:pStyle w:val="TableContents"/>
              <w:bidi w:val="0"/>
              <w:spacing w:before="0" w:after="1"/>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2,205</w:t>
            </w:r>
          </w:p>
        </w:tc>
        <w:tc>
          <w:tcPr>
            <w:tcW w:w="618" w:type="dxa"/>
            <w:tcBorders/>
            <w:vAlign w:val="center"/>
          </w:tcPr>
          <w:p>
            <w:pPr>
              <w:pStyle w:val="TableContents"/>
              <w:bidi w:val="0"/>
              <w:spacing w:before="0" w:after="1"/>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common shares</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44,394</w:t>
            </w:r>
          </w:p>
        </w:tc>
        <w:tc>
          <w:tcPr>
            <w:tcW w:w="618" w:type="dxa"/>
            <w:tcBorders/>
            <w:shd w:fill="CCEEFF" w:val="clear"/>
            <w:vAlign w:val="center"/>
          </w:tcPr>
          <w:p>
            <w:pPr>
              <w:pStyle w:val="TableContents"/>
              <w:bidi w:val="0"/>
              <w:spacing w:before="0" w:after="1"/>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45,385</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net income per share</w:t>
            </w:r>
          </w:p>
        </w:tc>
        <w:tc>
          <w:tcPr>
            <w:tcW w:w="346" w:type="dxa"/>
            <w:tcBorders/>
            <w:vAlign w:val="center"/>
          </w:tcPr>
          <w:p>
            <w:pPr>
              <w:pStyle w:val="TableContents"/>
              <w:bidi w:val="0"/>
              <w:spacing w:before="0" w:after="1"/>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618" w:type="dxa"/>
            <w:tcBorders/>
            <w:vAlign w:val="center"/>
          </w:tcPr>
          <w:p>
            <w:pPr>
              <w:pStyle w:val="TableContents"/>
              <w:bidi w:val="0"/>
              <w:spacing w:before="0" w:after="1"/>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0.17</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825" w:name="Tc_0VXiUd2gyUOFFxUWX-lweQ_8_8"/>
      <w:bookmarkStart w:id="826" w:name="Tc_llcJ1U0dTEGJREeXKL7SxA_8_5"/>
      <w:bookmarkStart w:id="827" w:name="Tc_nJooenwL00GYMi4dXObmzA_8_2"/>
      <w:bookmarkStart w:id="828" w:name="Tc_KYwlN7UEe0yrdEfo1pdRag_8_0"/>
      <w:bookmarkStart w:id="829" w:name="Tc_Gwfuv99dsk-bZlIY4h1pzQ_7_0"/>
      <w:bookmarkStart w:id="830" w:name="Tc_n6mAEkrnq0uGmqJHZMbgJg_6_0"/>
      <w:bookmarkStart w:id="831" w:name="Tc_w4dlsgtg1UWfE7g1NDenYg_5_0"/>
      <w:bookmarkStart w:id="832" w:name="Tc_Mf3iZj1TzE-yifGgzoovKA_4_0"/>
      <w:bookmarkStart w:id="833" w:name="Tc_FEi7phf26kKAWNLq9aR1bQ_3_8"/>
      <w:bookmarkStart w:id="834" w:name="Tc_hgZ7k1aSyU2wDfSW23cDmw_3_5"/>
      <w:bookmarkStart w:id="835" w:name="Tc_plZPZUoaG0Wo5pU15m-42g_3_2"/>
      <w:bookmarkStart w:id="836" w:name="Tc_9McjiytkZUaEKPiymqZeqA_3_0"/>
      <w:bookmarkStart w:id="837" w:name="Tc_3Jcozcd1f0Sji0ySo9Kdmw_2_2"/>
      <w:bookmarkStart w:id="838" w:name="Tc_gXQf7icgn0yVdiz2bG1E3Q_1_8"/>
      <w:bookmarkStart w:id="839" w:name="Tc_ShT5zgPiJEWs9lFO1udpNw_1_5"/>
      <w:bookmarkStart w:id="840" w:name="Tc_vLx_jhN8mUqXD_mvxcPIqg_1_2"/>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r>
        <w:rPr>
          <w:rFonts w:ascii="Times New Roman;Times;serif" w:hAnsi="Times New Roman;Times;serif"/>
          <w:b/>
          <w:sz w:val="20"/>
        </w:rPr>
        <w:t xml:space="preserve">NOTE 7 – NOTES PAYABLE </w:t>
      </w:r>
    </w:p>
    <w:p>
      <w:pPr>
        <w:pStyle w:val="TextBody"/>
        <w:bidi w:val="0"/>
        <w:spacing w:before="0" w:after="24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Long-term debt consists of the following: </w:t>
      </w:r>
    </w:p>
    <w:p>
      <w:pPr>
        <w:pStyle w:val="TextBody"/>
        <w:bidi w:val="0"/>
        <w:spacing w:before="0" w:after="0"/>
        <w:ind w:left="0" w:right="0" w:hanging="0"/>
        <w:jc w:val="left"/>
        <w:rPr/>
      </w:pPr>
      <w:r>
        <w:rPr/>
        <w:t>​</w:t>
      </w:r>
    </w:p>
    <w:tbl>
      <w:tblPr>
        <w:tblW w:w="8089" w:type="dxa"/>
        <w:jc w:val="left"/>
        <w:tblInd w:w="0" w:type="dxa"/>
        <w:tblLayout w:type="fixed"/>
        <w:tblCellMar>
          <w:top w:w="0" w:type="dxa"/>
          <w:left w:w="0" w:type="dxa"/>
          <w:bottom w:w="0" w:type="dxa"/>
          <w:right w:w="0" w:type="dxa"/>
        </w:tblCellMar>
      </w:tblPr>
      <w:tblGrid>
        <w:gridCol w:w="3301"/>
        <w:gridCol w:w="346"/>
        <w:gridCol w:w="242"/>
        <w:gridCol w:w="913"/>
        <w:gridCol w:w="346"/>
        <w:gridCol w:w="242"/>
        <w:gridCol w:w="913"/>
        <w:gridCol w:w="346"/>
        <w:gridCol w:w="321"/>
        <w:gridCol w:w="1119"/>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96135" cy="175260"/>
                      <wp:effectExtent l="0" t="0" r="0" b="0"/>
                      <wp:wrapNone/>
                      <wp:docPr id="99" name="Frame99"/>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3670" cy="175260"/>
                      <wp:effectExtent l="0" t="0" r="0" b="0"/>
                      <wp:wrapNone/>
                      <wp:docPr id="101" name="Frame10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79755" cy="175260"/>
                      <wp:effectExtent l="0" t="0" r="0" b="0"/>
                      <wp:wrapNone/>
                      <wp:docPr id="102" name="Frame102"/>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53670" cy="175260"/>
                      <wp:effectExtent l="0" t="0" r="0" b="0"/>
                      <wp:wrapNone/>
                      <wp:docPr id="104" name="Frame10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79755" cy="175260"/>
                      <wp:effectExtent l="0" t="0" r="0" b="0"/>
                      <wp:wrapNone/>
                      <wp:docPr id="105" name="Frame105"/>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3835" cy="175260"/>
                      <wp:effectExtent l="0" t="0" r="0" b="0"/>
                      <wp:wrapNone/>
                      <wp:docPr id="107" name="Frame107"/>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10565" cy="175260"/>
                      <wp:effectExtent l="0" t="0" r="0" b="0"/>
                      <wp:wrapNone/>
                      <wp:docPr id="108" name="Frame108"/>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 2026</w:t>
            </w:r>
          </w:p>
        </w:tc>
        <w:tc>
          <w:tcPr>
            <w:tcW w:w="346" w:type="dxa"/>
            <w:tcBorders/>
            <w:vAlign w:val="center"/>
          </w:tcPr>
          <w:p>
            <w:pPr>
              <w:pStyle w:val="TableContents"/>
              <w:bidi w:val="0"/>
              <w:spacing w:before="0" w:after="1"/>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 2025</w:t>
            </w:r>
          </w:p>
        </w:tc>
        <w:tc>
          <w:tcPr>
            <w:tcW w:w="346" w:type="dxa"/>
            <w:tcBorders/>
            <w:vAlign w:val="center"/>
          </w:tcPr>
          <w:p>
            <w:pPr>
              <w:pStyle w:val="TableContents"/>
              <w:bidi w:val="0"/>
              <w:spacing w:before="0" w:after="1"/>
              <w:ind w:left="0" w:right="0" w:hanging="0"/>
              <w:jc w:val="left"/>
              <w:rPr/>
            </w:pPr>
            <w:r>
              <w:rPr/>
              <w:t>  ​ ​ ​</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2026</w:t>
            </w:r>
          </w:p>
        </w:tc>
      </w:tr>
      <w:tr>
        <w:trPr/>
        <w:tc>
          <w:tcPr>
            <w:tcW w:w="8089"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442"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Unsecured loans</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2,695</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5,336</w:t>
            </w:r>
          </w:p>
        </w:tc>
        <w:tc>
          <w:tcPr>
            <w:tcW w:w="34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3,468</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Overdraft facilities</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8,110</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7,995</w:t>
            </w:r>
          </w:p>
        </w:tc>
        <w:tc>
          <w:tcPr>
            <w:tcW w:w="34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3,578</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credit facilities</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4,602</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5,411</w:t>
            </w:r>
          </w:p>
        </w:tc>
        <w:tc>
          <w:tcPr>
            <w:tcW w:w="346" w:type="dxa"/>
            <w:tcBorders/>
            <w:shd w:fill="CCEEFF" w:val="clear"/>
            <w:vAlign w:val="center"/>
          </w:tcPr>
          <w:p>
            <w:pPr>
              <w:pStyle w:val="TableContents"/>
              <w:bidi w:val="0"/>
              <w:spacing w:before="0" w:after="1"/>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4,696</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15,407</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18,742</w:t>
            </w:r>
          </w:p>
        </w:tc>
        <w:tc>
          <w:tcPr>
            <w:tcW w:w="34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11,742</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(11,044)</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(11,959)</w:t>
            </w:r>
          </w:p>
        </w:tc>
        <w:tc>
          <w:tcPr>
            <w:tcW w:w="346" w:type="dxa"/>
            <w:tcBorders/>
            <w:shd w:fill="CCEEFF" w:val="clear"/>
            <w:vAlign w:val="center"/>
          </w:tcPr>
          <w:p>
            <w:pPr>
              <w:pStyle w:val="TableContents"/>
              <w:bidi w:val="0"/>
              <w:spacing w:before="0" w:after="1"/>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(7,104)</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4,363</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6,783</w:t>
            </w:r>
          </w:p>
        </w:tc>
        <w:tc>
          <w:tcPr>
            <w:tcW w:w="346" w:type="dxa"/>
            <w:tcBorders/>
            <w:vAlign w:val="center"/>
          </w:tcPr>
          <w:p>
            <w:pPr>
              <w:pStyle w:val="TableContents"/>
              <w:bidi w:val="0"/>
              <w:spacing w:before="0" w:after="1"/>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4,638</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Third Amended and Restated ABL Credit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4, 2024, the Company’s subsidiaries, G-III Leather Fashions, Inc., Riviera Sun, Inc., AM Retail Group, Inc. and The Donna Karan Company Store LLC (collectively, the “Borrowers”), entered into the third amended and restated credit agreement (the “Third ABL Credit Agreement”) with the lenders named therein and with JPMorgan Chase Bank, N.A., as administrative agent. The Third ABL Credit Agreement is a five-year senior secured asset-based revolving credit facility providing for borrowings in an aggregate principal amount of up to $700.0 million. The Company and certain of its wholly-owned domestic subsidiaries, as well as G-III Apparel Canada ULC (collectively, the “Guarantors”), are guarantors under the Third ABL Credit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amends and restates the Second Amended Credit Agreement, dated as of August 7, 2020 (as amended, supplemented or otherwise modified from time to time prior to June 4, 2024, the “Second Credit Agreement”), by and among the Borrowers and the Guarantors, the lenders from time-to-time party thereto, and JPMorgan Chase Bank, N.A., in its capacity as the administrative agent thereunder. The Second Credit Agreement provided for borrowings of up to $650.0 million and was due to expire on August 7, 2025. The Third ABL Credit Agreement extends the maturity date to June 2029, subject to a springing maturity date as defined within the credit agreement.</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Amounts available under the Third ABL Credit Agreement are subject to borrowing base formulas and overadvances as specified in the Third ABL Credit Agreement. Borrowings bear interest, at the Borrowers’ option, at Adjusted Term Secured Overnight Financing Rate (“SOFR”) plus a margin of 1.50% to 2.00%, or the alternate base rate plus a margin of 0.50% to 1.00% (defined as the greatest of (i) the “prime rate” of JPMorgan Chase Bank, N.A. from time to time, (ii) the federal funds rate plus 0.5% and (iii) SOFR for a borrowing with an interest period of one month plus 1.00%), with the applicable margin determined based on the Borrowers’ average daily availability under the Third ABL Credit Agreement. As of April 30, 2026, interest under the Third ABL Credit Agreement was being paid at an average rate of 7.25% per annum.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is secured by specified assets of the Borrowers and the Guarantors. In addition to paying interest on any outstanding borrowings under the Third ABL Credit Agreement, the Company is required to pay a commitment fee to the lenders under the credit agreement with respect to the unutilized commitments. The commitment fee accrues at a tiered rate equal to 0.375% per annum on the average daily amount of the available commitments when the average usage is less than 50% of the total available commitments and decreases to 0.25% per annum on the average daily amount of the available commitments when the average usage is greater than or equal to 50% of the total available commitments.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contains covenants that, among other things, restrict the Company’s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April 30, 2026, the Company was in compliance with these covenants.</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841" w:name="_Hlk143859581"/>
      <w:bookmarkEnd w:id="841"/>
      <w:r>
        <w:rPr>
          <w:rFonts w:ascii="Times New Roman;Times;serif" w:hAnsi="Times New Roman;Times;serif"/>
          <w:sz w:val="20"/>
        </w:rPr>
        <w:t>As of April 30, 2026, the Company had no borrowings outstanding under the Third ABL Credit Agreement. The Third ABL Credit Agreement also includes amounts available for letters of credit. As of April 30, 2026, there were no outstanding trade letters of credit and $2.4 million of standby letters of credit.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 total of $6.3 million debt issuance costs related to its Third ABL Credit Agreement. As permitted under Accounting Standards Codification (“ASC”) 835, the debt issuance costs have been deferred and are presented as an asset which is amortized ratably over the term of the Third ABL Credit Agreement. Total debt issuance costs, net of amortization, were $3.9 million, $5.1 million and $4.2 million as of April 30, 2026, April 30, 2025 and January 31, 2026.</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Unsecured Loans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Several of the Company’s foreign entities borrow funds under various unsecured loans to provide funding for operations in the normal course of business. In the aggregate, the Company is currently required to make quarterly installment payments of principal in the amount of €0.8 million under these loans. Interest on the outstanding principal amount of the unsecured loans accrues at a fixed rate equal to 0% to 5.0% per annum, payable on either a quarterly or monthly basis. As of April 30, 2026, the Company had an aggregate outstanding balance of €2.3 million ($2.7 million) under these unsecured loans.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Overdraft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of the Company’s foreign entities entered into overdraft facilities that allow for applicable bank accounts to be in a negative position up to a certain maximum overdraft. These uncommitted overdraft facilities with HSBC Bank allow for an aggregate maximum overdraft of €10 million. Interest on drawn balances accrues at a rate equal to the Euro Interbank Offered Rate (“EURIBOR”) plus a margin of 1.75% per annum, payable quarterly. The facility may be cancelled at any time by the Company or HSBC Bank. Additionally, certain of the Company’s foreign entities entered into overdraft facilities with UBS Bank in Switzerland for an aggregate of CHF 4.7 million at varying interest rates of 0% to 0.5%. As of April 30, 2026, the Company had an aggregate outstanding balance of €7.0 million ($8.1 million) under these various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Foreign Credit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KLH has a credit agreement with ABN AMRO Bank N.V. with a credit limit of €15.0 million which is secured by specified assets of KLH. Borrowings bear interest at the EURIBOR plus a margin of 1.7%. A subsidiary of Vilebrequin has a credit agreement with CIC Bank with a credit limit of €5.0 million. Borrowings bear interest at the Euro Short-Term Rate plus a margin of 1.75%. As of April 30, 2026, the Company had an aggregate outstanding balance of €4.0 million ($4.6 million) under these credit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842" w:name="_5a527a30_5957_4f4d_989a_5bd317c016aa_3"/>
      <w:bookmarkStart w:id="843" w:name="_5a527a30_5957_4f4d_989a_5bd317c016aa_2"/>
      <w:bookmarkStart w:id="844" w:name="_5a527a30_5957_4f4d_989a_5bd317c016aa"/>
      <w:bookmarkEnd w:id="842"/>
      <w:bookmarkEnd w:id="843"/>
      <w:bookmarkEnd w:id="844"/>
      <w:r>
        <w:rPr>
          <w:rFonts w:ascii="Times New Roman;Times;serif" w:hAnsi="Times New Roman;Times;serif"/>
          <w:b/>
          <w:sz w:val="20"/>
        </w:rPr>
        <w:t>NOTE 8 – SUPPLY CHAIN FINANCE PROGRAM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 voluntary supply chain finance program (the “SCF Program”) administered through a third-party platform. The Company’s payment obligations confirmed under the SCF Program are due to a financial intermediary that will remit payment to the Company’s suppliers. The SCF Program also provides participating suppliers with the option to sell their receivables due from the Company, at their sole discretion, to a third-party financial institution at terms negotiated between the supplier and the financial institution. The Company is not a party to the agreements between the suppliers and the financial institution. The Company’s payment obligations to its suppliers, including the amounts due and payment terms, which generally do not exceed 75 days, are not impacted by a suppliers’ participation in the SCF Program. There are no assets pledged as security or other forms of guarantees provided specifically under the SCF Program, however the obligations under the SCF Program benefit from guarantees and collateral provided under our revolving credit facility to which the financial institutions involved in the SCF Program are a party.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outstanding payment obligations under its SCF Program are recorded within accounts payable in the Company’s condensed consolidated balance sheets and the corresponding payments are reflected in cash flows from operating activities within the Company’s condensed consolidated statements of cash flows. The Company had $95.5 million and $45.0 million of payment obligations outstanding under the SCF Program as of April 30, 2026 and 2025,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respectively. The Company settled obligations of $166.6 million and $41.8 million through the SCF Program during the three months ended April 30, 2026 and 2025, respectively.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9 – REVENUE RECOGNITION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accordance with ASC 606 – </w:t>
      </w:r>
      <w:r>
        <w:rPr>
          <w:rFonts w:ascii="Times New Roman;Times;serif" w:hAnsi="Times New Roman;Times;serif"/>
          <w:i/>
          <w:sz w:val="20"/>
        </w:rPr>
        <w:t>Revenue from Contracts with Customers</w:t>
      </w:r>
      <w:r>
        <w:rPr>
          <w:rFonts w:ascii="Times New Roman;Times;serif" w:hAnsi="Times New Roman;Times;serif"/>
          <w:sz w:val="20"/>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Wholesale Operations Segment. </w:t>
      </w:r>
      <w:r>
        <w:rPr>
          <w:rFonts w:ascii="Times New Roman;Times;serif" w:hAnsi="Times New Roman;Times;serif"/>
          <w:sz w:val="20"/>
        </w:rPr>
        <w:t xml:space="preserve">Wholesale revenues include sales of products to retailers under owned, licensed and private label brands, as well as sales related to the Karl Lagerfeld and Vilebrequin businesses, including from retail stores operated by Karl Lagerfeld and Vilebrequin, other than sales of product under the Karl Lagerfeld Paris brand generated by the Company’s retail stores and digital platforms.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trademarks associated with the Company’s owned brands. As of April 30, 2026, revenues from license agreements related to trademarks associated with the Company’s owned brands represented an insignificant portion of wholesale revenues.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Retail Operations Segment. </w:t>
      </w:r>
      <w:r>
        <w:rPr>
          <w:rFonts w:ascii="Times New Roman;Times;serif" w:hAnsi="Times New Roman;Times;serif"/>
          <w:sz w:val="20"/>
        </w:rPr>
        <w:t xml:space="preserve">Retail store revenues are generated by direct sales to consumers through company operated stores and product sales through the Company’s digital channels for the DKNY, Donna Karan, Karl Lagerfeld Paris, G.H. Bass and Wilsons Leather businesses. Retail stores primarily consist of DKNY and Karl Lagerfeld Paris retail stores, substantially all of which are operated as outlet stores in North America.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Contract Liabilities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contract liabilities, which are recorded within accrued expenses in the accompanying condensed consolidated balance sheets, primarily consist of gift card liabilities and advance payments from licensees. Total contract liabilities were $5.0 million, $4.8 million and $6.2 million at April 30, 2026, April 30, 2025 and January 31, 2026, respectively. The Company recognized $4.3 million in revenue for the three months ended April 30, 2026 related to contract liabilities that existed at January 31, 2026. The Company recognized $4.5 million in revenue for the three months ended April 30, 2025 related to contract liabilities that existed at January 31, 2025. There were no contract assets recorded as of April 30, 2026, April 30, 2025 and January 31, 2026. Substantially all of the advance payments from licensees as of April 30, 2026 are expected to be recognized as revenue within the next twelve months.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10 – SEGMENTS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reportable segments are business units that offer products through different channels of distribution. The Company has two reportable segments: wholesale operations and retail operations. The wholesale operations segment includes sales of products to retailers under owned, licensed and private label brands, as well as sales related to the Vilebrequin and Karl Lagerfeld businesses, including from retail stores operated by Vilebrequin and Karl Lagerfeld, other than sales of product under the Karl Lagerfeld Paris brand generated by the Company’s retail stores and digital platforms. Wholesale revenues also include revenues from license agreements related to trademarks associated with the Company’s owned brands. The retail operations segment consists primarily of direct sales to consumers through company operated stores, which consists primarily of DKNY and Karl Lagerfeld Paris stores, as well as the digital channels for DKNY,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845" w:name="Tc_q0b4rZPlbkGmvicOIQpscg_14_11"/>
      <w:bookmarkStart w:id="846" w:name="Tc_9vlm7R800E-1_dbV0_s38Q_14_9"/>
      <w:bookmarkStart w:id="847" w:name="Tc_Im1poISQ5UquXc8s5svqbA_14_8"/>
      <w:bookmarkStart w:id="848" w:name="Tc_c1pvZNh2nUefBc_aGyFoDg_14_5"/>
      <w:bookmarkStart w:id="849" w:name="Tc_uZkNGv5P8kGFZTma_E4uaQ_14_2"/>
      <w:bookmarkStart w:id="850" w:name="Tc_qZfE2XnhlUmxTxWOiCM_PA_14_0"/>
      <w:bookmarkStart w:id="851" w:name="Tc_QYEBhdZ0mkOtVfSc1bBjhw_13_9"/>
      <w:bookmarkStart w:id="852" w:name="Tc_9CJTcmovy0KF_UdzLMNhGg_13_0"/>
      <w:bookmarkStart w:id="853" w:name="Tc_zEav2YrZaUa_gRxFtkJCJA_12_9"/>
      <w:bookmarkStart w:id="854" w:name="Tc_P4HqvMpbU0iu3Vkna9WY5w_12_0"/>
      <w:bookmarkStart w:id="855" w:name="Tc_zds9w5FlFEW_PgYBfxUmcQ_11_9"/>
      <w:bookmarkStart w:id="856" w:name="Tc_RXsPeZhJGkmoDG4ZqtSJMA_11_0"/>
      <w:bookmarkStart w:id="857" w:name="Tc_qPQ-CFMQ2Eq9vcbGeK2xKg_10_9"/>
      <w:bookmarkStart w:id="858" w:name="Tc_ySS2BruyNkCUNmv-V02AjQ_10_0"/>
      <w:bookmarkStart w:id="859" w:name="Tc_sb14ckzWKEa3j7Y1Hil4wg_9_9"/>
      <w:bookmarkStart w:id="860" w:name="Tc__uMoFMoxd0iV5vTykW9nlA_9_0"/>
      <w:bookmarkStart w:id="861" w:name="Tc_0jRrSNIGTkOeqlIWGk1Ogg_8_9"/>
      <w:bookmarkStart w:id="862" w:name="Tc_SRDviXoTZkeKBPlhTcc78w_8_0"/>
      <w:bookmarkStart w:id="863" w:name="Tc_aBQJMlDEE0uIGsH6rCwUqg_7_0"/>
      <w:bookmarkStart w:id="864" w:name="Tc_f-CZNWPxwEKUSRSuOyxELQ_6_9"/>
      <w:bookmarkStart w:id="865" w:name="Tc_zxbhxUrEzUGXy2KEIiJxQA_6_0"/>
      <w:bookmarkStart w:id="866" w:name="Tc_iW_U3wuHREKv1f_s9Vf6OA_5_0"/>
      <w:bookmarkStart w:id="867" w:name="Tc_LwW2NYPATU2VPRvKi-hODQ_4_11"/>
      <w:bookmarkStart w:id="868" w:name="Tc_59CbyeUNHkWh-2x9Ftt-tA_4_8"/>
      <w:bookmarkStart w:id="869" w:name="Tc_q_w9NlSDDEipvOMubCjBEQ_4_5"/>
      <w:bookmarkStart w:id="870" w:name="Tc_3K4pg9EtM0aMb4deZb2IYw_4_2"/>
      <w:bookmarkStart w:id="871" w:name="Tc_Qv8ILNBS6EGhqurnP0Ex3A_4_0"/>
      <w:bookmarkStart w:id="872" w:name="Tc_fUt4ANyxvUWJ9nJ26XUWqA_3_2"/>
      <w:bookmarkStart w:id="873" w:name="Tc_M84PqzIHckSBua9HOQsk1g_2_11"/>
      <w:bookmarkStart w:id="874" w:name="Tc_1qgDa0KviEG_ZdXIGxxxew_2_8"/>
      <w:bookmarkStart w:id="875" w:name="Tc_bOIxtsyGvU2Nxs7Wcv8lCA_2_5"/>
      <w:bookmarkStart w:id="876" w:name="Tc_NpbCT0MuekS1ZfpEA9BPCw_2_2"/>
      <w:bookmarkStart w:id="877" w:name="Tc_on6WuJAhdEKGcEPKSUkKoA_1_2"/>
      <w:bookmarkStart w:id="878" w:name="_25566d4f_70c5_4b5c_8f40_d24f8d33c5f8"/>
      <w:bookmarkStart w:id="879" w:name="Tc_bpioJvi4yk-18lNYkYWwRQ_14_11"/>
      <w:bookmarkStart w:id="880" w:name="Tc_Q9-SEN8NJ0CTorgy0l9sVA_14_9"/>
      <w:bookmarkStart w:id="881" w:name="Tc_mHlW6P46G0WLz1MRyxTsfA_14_8"/>
      <w:bookmarkStart w:id="882" w:name="Tc_cE7C0LUGyU6hRljNczLweg_14_5"/>
      <w:bookmarkStart w:id="883" w:name="Tc_zRDB87knXUmmfGPmuLp67w_14_2"/>
      <w:bookmarkStart w:id="884" w:name="Tc_cVV4ShjTCEaQAxt4eatwGg_14_0"/>
      <w:bookmarkStart w:id="885" w:name="Tc_7sQFkWTqnUeKIpGpc6h2Ug_13_9"/>
      <w:bookmarkStart w:id="886" w:name="Tc_PLb4SsJfS0qJbV2Nje_uDg_13_0"/>
      <w:bookmarkStart w:id="887" w:name="Tc_yyfasxAYCk2ouBP-1DND3g_12_9"/>
      <w:bookmarkStart w:id="888" w:name="Tc_6lCumYipWU-BKHXFHvH2Fg_12_0"/>
      <w:bookmarkStart w:id="889" w:name="Tc_iLg3n4hIk0WE7CQD5iPCNQ_11_9"/>
      <w:bookmarkStart w:id="890" w:name="Tc_5LlGeIfqn0mYwJ29BrBwHw_11_0"/>
      <w:bookmarkStart w:id="891" w:name="Tc_grfmuHrLKky0GEbq8M5IBQ_10_9"/>
      <w:bookmarkStart w:id="892" w:name="Tc_zrniwOy3J0CmR6ogQ3pCLw_10_0"/>
      <w:bookmarkStart w:id="893" w:name="Tc_kwJUdpRjp06OnCOxZv13Ag_9_9"/>
      <w:bookmarkStart w:id="894" w:name="Tc_zrAxTpQ9HEi1ZQRT8ElrpA_9_0"/>
      <w:bookmarkStart w:id="895" w:name="Tc_GpEsMfw7sUyV1G872PAqEg_8_9"/>
      <w:bookmarkStart w:id="896" w:name="Tc_UVJjsqiWW0Gf80_7arV7ag_8_0"/>
      <w:bookmarkStart w:id="897" w:name="Tc_zs1bkvfNKE2zynRdteeJeQ_7_0"/>
      <w:bookmarkStart w:id="898" w:name="Tc_t9pregSfX0Sr1Dk1M1ticw_6_9"/>
      <w:bookmarkStart w:id="899" w:name="Tc_qFIm7QQ2SE6r_rSlAaODYg_6_0"/>
      <w:bookmarkStart w:id="900" w:name="Tc_4pWUJBcvDEumvcVX8_xo7w_5_4"/>
      <w:bookmarkStart w:id="901" w:name="Tc_OzKcxOGeMEqW1HxuDIKh7g_5_0"/>
      <w:bookmarkStart w:id="902" w:name="Tc_AI6umLWWLUqiYZbwgO530A_4_11"/>
      <w:bookmarkStart w:id="903" w:name="Tc_E86dxeiAGEaKhwdQbLZGhQ_4_8"/>
      <w:bookmarkStart w:id="904" w:name="Tc_7cXY2ddOuEWwKjksfHqhNA_4_5"/>
      <w:bookmarkStart w:id="905" w:name="Tc_FayE5u-JuU2UI2iyWR7LbA_4_2"/>
      <w:bookmarkStart w:id="906" w:name="Tc_O9RZPGZ7hkC11WtBspq3zA_4_0"/>
      <w:bookmarkStart w:id="907" w:name="Tc_j792dtnfPUSAHDrauZy1Mg_3_2"/>
      <w:bookmarkStart w:id="908" w:name="Tc_hr3zAYHbLkurApiCa6urYQ_2_11"/>
      <w:bookmarkStart w:id="909" w:name="Tc__poyhXi7UU-j2zgrLaCx2A_2_8"/>
      <w:bookmarkStart w:id="910" w:name="Tc_DwPpV6wfq0eofico7S6FUQ_2_5"/>
      <w:bookmarkStart w:id="911" w:name="Tc_36dNRtvt80asSciknbt-1Q_2_2"/>
      <w:bookmarkStart w:id="912" w:name="Tc_W4SZM8i3DU2O0Vos4p9-UA_1_2"/>
      <w:bookmarkStart w:id="913" w:name="_4e3b0e27_44ed_4574_80e4_7309f32123ab"/>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r>
        <w:rPr>
          <w:rFonts w:ascii="Times New Roman;Times;serif" w:hAnsi="Times New Roman;Times;serif"/>
          <w:sz w:val="20"/>
        </w:rPr>
        <w:t>Donna Karan, Karl Lagerfeld Paris, G.H. Bass and Wilsons Leather. Substantially all DKNY and Karl Lagerfeld Paris stores are operated as outlet stores in North America.</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determines its operating segments based on how the Chief Operating Decision Maker (“CODM”) views and analyzes each segment’s operations and performance. The Company’s CODM is its Chief Executive Officer. The CODM utilizes operating profit or loss as the measure of segment profit or loss. The CODM uses operating profit or loss to determine resource allocation and operational decisions for matters including, but not limited to, compensation, advertising and facilities needs.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segment information is presented for the three month periods indicated below: </w:t>
      </w:r>
    </w:p>
    <w:p>
      <w:pPr>
        <w:pStyle w:val="TextBody"/>
        <w:bidi w:val="0"/>
        <w:spacing w:before="0" w:after="240"/>
        <w:ind w:left="0" w:right="0" w:hanging="0"/>
        <w:jc w:val="both"/>
        <w:rPr/>
      </w:pPr>
      <w:r>
        <w:rPr/>
        <w:t>​</w:t>
      </w:r>
    </w:p>
    <w:tbl>
      <w:tblPr>
        <w:tblW w:w="9641" w:type="dxa"/>
        <w:jc w:val="left"/>
        <w:tblInd w:w="0" w:type="dxa"/>
        <w:tblLayout w:type="fixed"/>
        <w:tblCellMar>
          <w:top w:w="0" w:type="dxa"/>
          <w:left w:w="0" w:type="dxa"/>
          <w:bottom w:w="0" w:type="dxa"/>
          <w:right w:w="0" w:type="dxa"/>
        </w:tblCellMar>
      </w:tblPr>
      <w:tblGrid>
        <w:gridCol w:w="4186"/>
        <w:gridCol w:w="346"/>
        <w:gridCol w:w="211"/>
        <w:gridCol w:w="781"/>
        <w:gridCol w:w="346"/>
        <w:gridCol w:w="211"/>
        <w:gridCol w:w="691"/>
        <w:gridCol w:w="346"/>
        <w:gridCol w:w="239"/>
        <w:gridCol w:w="901"/>
        <w:gridCol w:w="346"/>
        <w:gridCol w:w="211"/>
        <w:gridCol w:w="82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658110" cy="175260"/>
                      <wp:effectExtent l="0" t="0" r="0" b="0"/>
                      <wp:wrapNone/>
                      <wp:docPr id="109" name="Frame109"/>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10" name="Frame1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38785" cy="175260"/>
                      <wp:effectExtent l="0" t="0" r="0" b="0"/>
                      <wp:wrapNone/>
                      <wp:docPr id="112" name="Frame1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72135" cy="175260"/>
                      <wp:effectExtent l="0" t="0" r="0" b="0"/>
                      <wp:wrapNone/>
                      <wp:docPr id="113" name="Frame11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24510" cy="175260"/>
                      <wp:effectExtent l="0" t="0" r="0" b="0"/>
                      <wp:wrapNone/>
                      <wp:docPr id="115" name="Frame11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0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April 30, 2026</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64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0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514,804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40,600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535,962</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186,557</w:t>
            </w:r>
          </w:p>
        </w:tc>
        <w:tc>
          <w:tcPr>
            <w:tcW w:w="346" w:type="dxa"/>
            <w:tcBorders/>
            <w:vAlign w:val="center"/>
          </w:tcPr>
          <w:p>
            <w:pPr>
              <w:pStyle w:val="TableContents"/>
              <w:bidi w:val="0"/>
              <w:spacing w:lineRule="auto" w:line="240" w:before="0" w:after="0"/>
              <w:ind w:left="0" w:right="0" w:hanging="0"/>
              <w:jc w:val="left"/>
              <w:rPr>
                <w:rFonts w:ascii="Times New Roman;Times;serif" w:hAnsi="Times New Roman;Times;serif"/>
                <w:sz w:val="15"/>
              </w:rPr>
            </w:pPr>
            <w:r>
              <w:rPr>
                <w:rFonts w:ascii="Times New Roman;Times;serif" w:hAnsi="Times New Roman;Times;serif"/>
                <w:sz w:val="15"/>
              </w:rPr>
              <w:t>(2)</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21,101</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188,216</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19,499</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347,746</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121,153</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7,556</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49,300</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3,157</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35,270</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3,292</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49,600</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20,941</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255,323</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7,188</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85,235</w:t>
            </w:r>
          </w:p>
        </w:tc>
      </w:tr>
    </w:tbl>
    <w:p>
      <w:pPr>
        <w:pStyle w:val="TextBody"/>
        <w:bidi w:val="0"/>
        <w:spacing w:before="0" w:after="0"/>
        <w:ind w:left="0" w:right="0" w:hanging="0"/>
        <w:jc w:val="left"/>
        <w:rPr/>
      </w:pPr>
      <w:r>
        <w:rPr/>
        <w:t>​</w:t>
      </w:r>
    </w:p>
    <w:tbl>
      <w:tblPr>
        <w:tblW w:w="9641" w:type="dxa"/>
        <w:jc w:val="left"/>
        <w:tblInd w:w="0" w:type="dxa"/>
        <w:tblLayout w:type="fixed"/>
        <w:tblCellMar>
          <w:top w:w="0" w:type="dxa"/>
          <w:left w:w="0" w:type="dxa"/>
          <w:bottom w:w="0" w:type="dxa"/>
          <w:right w:w="0" w:type="dxa"/>
        </w:tblCellMar>
      </w:tblPr>
      <w:tblGrid>
        <w:gridCol w:w="4186"/>
        <w:gridCol w:w="346"/>
        <w:gridCol w:w="211"/>
        <w:gridCol w:w="781"/>
        <w:gridCol w:w="346"/>
        <w:gridCol w:w="211"/>
        <w:gridCol w:w="691"/>
        <w:gridCol w:w="346"/>
        <w:gridCol w:w="239"/>
        <w:gridCol w:w="901"/>
        <w:gridCol w:w="346"/>
        <w:gridCol w:w="211"/>
        <w:gridCol w:w="82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658110" cy="175260"/>
                      <wp:effectExtent l="0" t="0" r="0" b="0"/>
                      <wp:wrapNone/>
                      <wp:docPr id="116" name="Frame116"/>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5935" cy="175260"/>
                      <wp:effectExtent l="0" t="0" r="0" b="0"/>
                      <wp:wrapNone/>
                      <wp:docPr id="117" name="Frame1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38785" cy="175260"/>
                      <wp:effectExtent l="0" t="0" r="0" b="0"/>
                      <wp:wrapNone/>
                      <wp:docPr id="119" name="Frame1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72135" cy="175260"/>
                      <wp:effectExtent l="0" t="0" r="0" b="0"/>
                      <wp:wrapNone/>
                      <wp:docPr id="120" name="Frame12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24510" cy="175260"/>
                      <wp:effectExtent l="0" t="0" r="0" b="0"/>
                      <wp:wrapNone/>
                      <wp:docPr id="122" name="Frame12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0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April 30, 2025</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64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0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562,649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583,609</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335,565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16,915</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337,065</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19,460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246,544</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7,269</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104,142</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7,386</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52,872</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31,605</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42,876</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209,711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231,495</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6,573</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8,476</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(1)</w:t>
      </w:r>
      <w:r>
        <w:rPr>
          <w:rFonts w:ascii="Times New Roman;Times;serif" w:hAnsi="Times New Roman;Times;serif"/>
          <w:sz w:val="18"/>
        </w:rPr>
        <w:t>Represents intersegment sales to the Company’s retail operations segment.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(2)</w:t>
      </w:r>
      <w:r>
        <w:rPr>
          <w:rFonts w:ascii="Times New Roman;Times;serif" w:hAnsi="Times New Roman;Times;serif"/>
          <w:sz w:val="18"/>
        </w:rPr>
        <w:t>The wholesale operations segment includes a $119.7</w:t>
      </w:r>
      <w:r>
        <w:rPr>
          <w:rFonts w:ascii="Times New Roman;Times;serif" w:hAnsi="Times New Roman;Times;serif"/>
          <w:sz w:val="20"/>
        </w:rPr>
        <w:t xml:space="preserve"> </w:t>
      </w:r>
      <w:r>
        <w:rPr>
          <w:rFonts w:ascii="Times New Roman;Times;serif" w:hAnsi="Times New Roman;Times;serif"/>
          <w:sz w:val="18"/>
        </w:rPr>
        <w:t>million reduction in cost of goods sold during the three months ended April 30, 2026 resulting from the tariff refund receivable. See Note 12 — Tariff Refund Receivable.</w:t>
      </w:r>
    </w:p>
    <w:p>
      <w:pPr>
        <w:pStyle w:val="TextBody"/>
        <w:bidi w:val="0"/>
        <w:ind w:left="0" w:right="0" w:hanging="0"/>
        <w:jc w:val="both"/>
        <w:rPr>
          <w:rFonts w:ascii="Times New Roman;Times;serif" w:hAnsi="Times New Roman;Times;serif"/>
          <w:sz w:val="20"/>
        </w:rPr>
      </w:pPr>
      <w:r>
        <w:rPr>
          <w:rFonts w:ascii="Times New Roman;Times;serif" w:hAnsi="Times New Roman;Times;serif"/>
          <w:sz w:val="14"/>
        </w:rPr>
        <w:t>(3)</w:t>
      </w:r>
      <w:r>
        <w:rPr>
          <w:rFonts w:ascii="Times New Roman;Times;serif" w:hAnsi="Times New Roman;Times;serif"/>
          <w:sz w:val="18"/>
        </w:rPr>
        <w:t>Other segment items include design and product development costs, professional fees, office expenses, freight and packaging, allowance for doubtful account charges and other selling, general and administrative expenses.</w:t>
      </w:r>
    </w:p>
    <w:p>
      <w:pPr>
        <w:pStyle w:val="TextBody"/>
        <w:bidi w:val="0"/>
        <w:spacing w:before="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14" w:name="Tc_fqT2s7UrYkmuu743r1wULA_6_8"/>
      <w:bookmarkStart w:id="915" w:name="Tc_puuSULMXKU67pMq51MDvfw_6_5"/>
      <w:bookmarkStart w:id="916" w:name="Tc_8uGo-A24XUevNZvuvWV5lg_6_2"/>
      <w:bookmarkStart w:id="917" w:name="Tc_4LtxZ9bNQ0mV6Rw2D-4Dpg_6_0"/>
      <w:bookmarkStart w:id="918" w:name="Tc_R4FBEnfqrEWnMAiGyuK--w_5_0"/>
      <w:bookmarkStart w:id="919" w:name="Tc_X-dkS_HBK0WvmcSlRaAmNw_4_0"/>
      <w:bookmarkStart w:id="920" w:name="Tc_QOAp5Z0kvEqpmtqIr7KkZw_3_8"/>
      <w:bookmarkStart w:id="921" w:name="Tc_Y02RIeE5X0up--s7nn2y2A_3_5"/>
      <w:bookmarkStart w:id="922" w:name="Tc_Uhaa104oXUm0N2YOpTdDeA_3_2"/>
      <w:bookmarkStart w:id="923" w:name="Tc_gqBRJwsfeE2f0JqkT25NmQ_3_0"/>
      <w:bookmarkStart w:id="924" w:name="Tc_TLSpOoY4HU-0uCYl8CEGww_2_2"/>
      <w:bookmarkStart w:id="925" w:name="Tc_Vk70YahuHE-sKAgkhLMBRQ_1_8"/>
      <w:bookmarkStart w:id="926" w:name="Tc_4Azjf16MUkOt3k5czxHXAg_1_5"/>
      <w:bookmarkStart w:id="927" w:name="Tc_fvOWxGMUUkyM8IRzOc8cyw_1_2"/>
      <w:bookmarkStart w:id="928" w:name="Tc_cZCuAz9WW0aq1fqdgseVbA_9_5"/>
      <w:bookmarkStart w:id="929" w:name="Tc_ICett-7z-kuk-sCluuWTkQ_9_2"/>
      <w:bookmarkStart w:id="930" w:name="Tc_DjVvi-293EyBNuXgur99LQ_9_0"/>
      <w:bookmarkStart w:id="931" w:name="Tc_6J7LZxHCUEafrU0QyxzuAg_8_5"/>
      <w:bookmarkStart w:id="932" w:name="Tc_JMPrVkOSbEKGTV_BNDuT9Q_8_2"/>
      <w:bookmarkStart w:id="933" w:name="Tc_dCfAZE2iY0m6epZJsxeDkw_8_0"/>
      <w:bookmarkStart w:id="934" w:name="Tc_lipRaRuyb0WZ8Zz20dkarQ_6_5"/>
      <w:bookmarkStart w:id="935" w:name="Tc_sggIT-B5MUm3pNFYZDEqzA_6_2"/>
      <w:bookmarkStart w:id="936" w:name="Tc_tiOio2KCJEqpa6hV1fYepA_6_0"/>
      <w:bookmarkStart w:id="937" w:name="Tc_DQSKqW47AkSRK32rtaxTUw_5_0"/>
      <w:bookmarkStart w:id="938" w:name="Tc_bcWSbxrfHUq_V3LSjIKY_Q_4_5"/>
      <w:bookmarkStart w:id="939" w:name="Tc_HdifdR4aoUGF5kB_pK1Qgw_4_2"/>
      <w:bookmarkStart w:id="940" w:name="Tc_MwzTo2ylPkOsFnELYY_c7w_4_0"/>
      <w:bookmarkStart w:id="941" w:name="Tc_o36yJFYHUEqN-HoaMiX-Xg_3_2"/>
      <w:bookmarkStart w:id="942" w:name="Tc_9WpUf_2DcUODXq82s0kUPQ_2_5"/>
      <w:bookmarkStart w:id="943" w:name="Tc_lkRWTtLb00isiY-_v7OhHg_2_2"/>
      <w:bookmarkStart w:id="944" w:name="Tc_YGRywm-o0ECXKVRrMvT0xQ_1_2"/>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r>
        <w:rPr>
          <w:rFonts w:ascii="Times New Roman;Times;serif" w:hAnsi="Times New Roman;Times;serif"/>
          <w:sz w:val="20"/>
        </w:rPr>
        <w:t>The total net sales by licensed and proprietary product sales for each of the Company’s reportable segments are as follows:</w:t>
      </w:r>
    </w:p>
    <w:p>
      <w:pPr>
        <w:pStyle w:val="TextBody"/>
        <w:bidi w:val="0"/>
        <w:spacing w:before="0" w:after="0"/>
        <w:ind w:left="0" w:right="0" w:hanging="0"/>
        <w:jc w:val="both"/>
        <w:rPr/>
      </w:pPr>
      <w:r>
        <w:rPr/>
        <w:t>​</w:t>
      </w:r>
    </w:p>
    <w:tbl>
      <w:tblPr>
        <w:tblW w:w="4758" w:type="dxa"/>
        <w:jc w:val="left"/>
        <w:tblInd w:w="0" w:type="dxa"/>
        <w:tblLayout w:type="fixed"/>
        <w:tblCellMar>
          <w:top w:w="0" w:type="dxa"/>
          <w:left w:w="0" w:type="dxa"/>
          <w:bottom w:w="0" w:type="dxa"/>
          <w:right w:w="0" w:type="dxa"/>
        </w:tblCellMar>
      </w:tblPr>
      <w:tblGrid>
        <w:gridCol w:w="1711"/>
        <w:gridCol w:w="346"/>
        <w:gridCol w:w="245"/>
        <w:gridCol w:w="910"/>
        <w:gridCol w:w="346"/>
        <w:gridCol w:w="244"/>
        <w:gridCol w:w="95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086485" cy="175260"/>
                      <wp:effectExtent l="0" t="0" r="0" b="0"/>
                      <wp:wrapNone/>
                      <wp:docPr id="123" name="Frame123"/>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77850" cy="175260"/>
                      <wp:effectExtent l="0" t="0" r="0" b="0"/>
                      <wp:wrapNone/>
                      <wp:docPr id="124" name="Frame124"/>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07060" cy="175260"/>
                      <wp:effectExtent l="0" t="0" r="0" b="0"/>
                      <wp:wrapNone/>
                      <wp:docPr id="126" name="Frame126"/>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 2026</w:t>
            </w:r>
          </w:p>
        </w:tc>
        <w:tc>
          <w:tcPr>
            <w:tcW w:w="346" w:type="dxa"/>
            <w:tcBorders/>
            <w:vAlign w:val="center"/>
          </w:tcPr>
          <w:p>
            <w:pPr>
              <w:pStyle w:val="TableContents"/>
              <w:bidi w:val="0"/>
              <w:spacing w:before="0" w:after="0"/>
              <w:ind w:left="0" w:right="0" w:hanging="0"/>
              <w:jc w:val="left"/>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 2025</w:t>
            </w:r>
          </w:p>
        </w:tc>
      </w:tr>
      <w:tr>
        <w:trPr/>
        <w:tc>
          <w:tcPr>
            <w:tcW w:w="475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Licensed brands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162,960</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199,060</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Proprietary brands</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351,844</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363,589</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Wholesale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514,804</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562,649</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left"/>
              <w:rPr/>
            </w:pPr>
            <w:r>
              <w:rPr/>
              <w:t>​</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Proprietary brands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40,600</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36,375</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net sales</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40,600</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36,375</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allocates overhead to its business segments on various bases, which include units shipped, space utilization, inventory levels and relative sales levels, among other factors. The method of allocation has been applied consistently on a period-to-period basis.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total assets for each of the Company’s reportable segments, as well as assets not allocated to a segment, are as follows:</w:t>
      </w:r>
    </w:p>
    <w:p>
      <w:pPr>
        <w:pStyle w:val="TextBody"/>
        <w:bidi w:val="0"/>
        <w:spacing w:before="0" w:after="0"/>
        <w:ind w:left="0" w:right="0" w:hanging="0"/>
        <w:jc w:val="both"/>
        <w:rPr/>
      </w:pPr>
      <w:r>
        <w:rPr/>
        <w:t>​</w:t>
      </w:r>
    </w:p>
    <w:tbl>
      <w:tblPr>
        <w:tblW w:w="5854" w:type="dxa"/>
        <w:jc w:val="left"/>
        <w:tblInd w:w="0" w:type="dxa"/>
        <w:tblLayout w:type="fixed"/>
        <w:tblCellMar>
          <w:top w:w="0" w:type="dxa"/>
          <w:left w:w="0" w:type="dxa"/>
          <w:bottom w:w="0" w:type="dxa"/>
          <w:right w:w="0" w:type="dxa"/>
        </w:tblCellMar>
      </w:tblPr>
      <w:tblGrid>
        <w:gridCol w:w="1066"/>
        <w:gridCol w:w="346"/>
        <w:gridCol w:w="213"/>
        <w:gridCol w:w="942"/>
        <w:gridCol w:w="346"/>
        <w:gridCol w:w="213"/>
        <w:gridCol w:w="942"/>
        <w:gridCol w:w="346"/>
        <w:gridCol w:w="243"/>
        <w:gridCol w:w="1197"/>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76910" cy="175260"/>
                      <wp:effectExtent l="0" t="0" r="0" b="0"/>
                      <wp:wrapNone/>
                      <wp:docPr id="127" name="Frame12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98170" cy="175260"/>
                      <wp:effectExtent l="0" t="0" r="0" b="0"/>
                      <wp:wrapNone/>
                      <wp:docPr id="128" name="Frame128"/>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98170" cy="175260"/>
                      <wp:effectExtent l="0" t="0" r="0" b="0"/>
                      <wp:wrapNone/>
                      <wp:docPr id="130" name="Frame130"/>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60095" cy="175260"/>
                      <wp:effectExtent l="0" t="0" r="0" b="0"/>
                      <wp:wrapNone/>
                      <wp:docPr id="131" name="Frame131"/>
                      <a:graphic xmlns:a="http://schemas.openxmlformats.org/drawingml/2006/main">
                        <a:graphicData uri="http://schemas.microsoft.com/office/word/2010/wordprocessingShape">
                          <wps:wsp>
                            <wps:cNvSpPr txBox="1"/>
                            <wps:spPr>
                              <a:xfrm>
                                <a:off x="0" y="0"/>
                                <a:ext cx="760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 2026</w:t>
            </w:r>
          </w:p>
        </w:tc>
        <w:tc>
          <w:tcPr>
            <w:tcW w:w="346" w:type="dxa"/>
            <w:tcBorders/>
            <w:vAlign w:val="center"/>
          </w:tcPr>
          <w:p>
            <w:pPr>
              <w:pStyle w:val="TableContents"/>
              <w:bidi w:val="0"/>
              <w:spacing w:before="0" w:after="0"/>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 2025</w:t>
            </w:r>
          </w:p>
        </w:tc>
        <w:tc>
          <w:tcPr>
            <w:tcW w:w="346" w:type="dxa"/>
            <w:tcBorders/>
            <w:vAlign w:val="center"/>
          </w:tcPr>
          <w:p>
            <w:pPr>
              <w:pStyle w:val="TableContents"/>
              <w:bidi w:val="0"/>
              <w:spacing w:before="0" w:after="0"/>
              <w:ind w:left="0" w:right="0" w:hanging="0"/>
              <w:jc w:val="left"/>
              <w:rPr/>
            </w:pPr>
            <w:r>
              <w:rPr/>
              <w:t>  ​ ​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r>
      <w:tr>
        <w:trPr/>
        <w:tc>
          <w:tcPr>
            <w:tcW w:w="585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42"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thousands)</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Wholesale</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1,485,217</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1,489,257</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1,549,760</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93,710</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94,998</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1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87,769</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1,006,058</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831,618</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973,291</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2,584,985</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2,415,873</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2,610,820</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Capital expenditures during the three months ended April 30, 2026 for the wholesale operations segment and retail operations segment were $7.2 million and $1.3 million, respectively. Capital expenditures during the three months ended April 30, 2025 for the wholesale operations segment and retail operations segment were $2.3 million and $1.0 million, respectively.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 – STOCKHOLDERS’ EQUITY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April 30, 2026, the Company issued no shares of common stock and utilized 1,286 shares of treasury stock in connection with the vesting of equity awards. For the three months ended April 30, 2025, the Company issued no shares of common stock and utilized 213,829 shares of treasury stock in connection with the vesting of equity awards.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Dividends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12, 2026, the Board of Directors declared a quarterly cash dividend of $0.10 per share on the issued and outstanding common stock of the Company. The dividend was paid on March 30, 2026, to all stockholders of record as of March 23, 2026.</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26, 2026, the Board of Directors declared a cash dividend of $0.10 per share. The dividend will be paid on July 8, 2026 to all stockholders of record as of June 22, 2026.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12 – TARIFF REFUND RECEIVABLE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February 2026, the Supreme Court of the United States ruled against the current administration’s use of the International Emergency Economic Powers Act (“IEEPA”) to impose certain tariffs levied since February 2025. Pursuant to a court order on March 4, 2026 from the U.S. Court of International Trade (“CIT”) directing the refund of such tariffs, including applicable interest, on April 20, 2026, U.S. Customs and Border Protection (“CBP”) launched the Consolidated Administration and Processing of Entries (“CAPE”) system to facilitate refund claims, to which the Company successfully submitted its refund claim. </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Based on the Supreme Court ruling, the CIT order and actions taken by CBP regarding the refund process and other available information, including offers from third-party financial institutions to acquire the Company’s tariff refund claim, the Company assessed that the recovery of previously paid IEEPA tariffs is probable and reasonably estimable in accordance with the cost recovery accounting guidance. As of April 30, 2026, the Company recorded a receivable of approximately $139.5 million related to IEEPA tariffs paid by the Company between February 2025 and February 2026, which is included within prepaid expenses and other current assets on the Company’s condensed consolidated balance sheets.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accounting for the IEEPA tariff refund reflects the original treatment of the underlying tariff costs. During the three months ended April 30, 2026, the Company recognized a $119.7 million reduction in cost of goods sold in the Company’s condensed consolidated statements of income, representing the expense for IEEPA tariffs on inventory sold to customers since the tariffs were enacted in February 2025. Additionally, the Company recognized a $19.8 million reduction in the carrying value of inventories on hand on the Company’s condensed consolidated balance sheet as of April 30, 2026 for tariffs previously capitalized as cost of inventory. Interest associated with refunded IEEPA tariffs will be recognized in the Company’s condensed consolidated statements of income in the period it is received.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Although the Company has assessed that the recovery of previously paid IEEPA tariffs is probable based on currently available information, the timing of cash receipts remains dependent upon the processing of refund claims by CBP and the U.S. Department of Treasury.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945" w:name="_Hlk207805079"/>
      <w:bookmarkEnd w:id="945"/>
      <w:r>
        <w:rPr>
          <w:rFonts w:ascii="Times New Roman;Times;serif" w:hAnsi="Times New Roman;Times;serif"/>
          <w:b/>
          <w:sz w:val="20"/>
        </w:rPr>
        <w:t>NOTE 13 – LITIGATION WITH PVH CORP.</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13, 2025, the Company filed a complaint against </w:t>
      </w:r>
      <w:r>
        <w:rPr>
          <w:rFonts w:ascii="Times New Roman;Times;serif" w:hAnsi="Times New Roman;Times;serif"/>
          <w:b w:val="false"/>
          <w:i w:val="false"/>
          <w:caps w:val="false"/>
          <w:smallCaps w:val="false"/>
          <w:sz w:val="20"/>
        </w:rPr>
        <w:t>PVH Corp</w:t>
      </w:r>
      <w:r>
        <w:rPr>
          <w:rFonts w:ascii="Times New Roman;Times;serif" w:hAnsi="Times New Roman;Times;serif"/>
          <w:sz w:val="20"/>
        </w:rPr>
        <w:t>. and two of its subsidiaries (“Defendants”) in the New York County Commercial Division of the Supreme Court of the State of New York for breach of contract, breach of the implied covenant of good faith and fair dealing, and tortious interference with contract arising out of the unreasonable denial of the Company’s request to extend the Calvin Klein and Tommy Hilfiger licenses for the women’s suits category for an additional three-year period and other actions taken by Defendants that undermined the Company’s ability to perform under Calvin Klein and Tommy Hilfiger license agreements and subjected the Company to contractual penalties. On July 30, 2025, Calvin Klein, Inc. and Tommy Hilfiger Licensing LLC filed their own complaint against G-III in the same court alleging breaches of the license agreements between the parties. The Company believes that Calvin Klein, Inc. and Tommy Hilfiger Licensing LLC’s complaint is without merit, and the Company intends to vigorously defend against these actions. Due to the uncertainty inherent in any litigation, the Company is unable to estimate any reasonably possible loss, or range of loss, with respect to this matter.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946" w:name="_Hlk168051877"/>
      <w:bookmarkStart w:id="947" w:name="_646f1207_5b64_4c2d_b2d4_97fd3e3c18bb"/>
      <w:bookmarkEnd w:id="946"/>
      <w:bookmarkEnd w:id="947"/>
      <w:r>
        <w:rPr>
          <w:rFonts w:ascii="Times New Roman;Times;serif" w:hAnsi="Times New Roman;Times;serif"/>
          <w:b/>
          <w:sz w:val="20"/>
        </w:rPr>
        <w:t>NOTE 14 – RECENT ADOPTED AND ISSUED ACCOUNTING PRONOUNCEMENTS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Recently Adopted Accounting Guidance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There was no accounting guidance adopted during the three months ended April 30, 2026.</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Issued Accounting Guidance Being Evaluated for Adoption</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In November 2024, the FASB issued </w:t>
      </w:r>
      <w:r>
        <w:rPr>
          <w:rFonts w:ascii="Times New Roman;Times;serif" w:hAnsi="Times New Roman;Times;serif"/>
          <w:sz w:val="20"/>
        </w:rPr>
        <w:t>ASU 2024-03</w:t>
      </w:r>
      <w:r>
        <w:rPr>
          <w:rFonts w:ascii="Times New Roman;Times;serif" w:hAnsi="Times New Roman;Times;serif"/>
          <w:sz w:val="20"/>
          <w:shd w:fill="FFFFFF" w:val="clear"/>
        </w:rPr>
        <w:t xml:space="preserve">, “Income Statement – Reporting Comprehensive Income – Expense Disaggregation Disclosures (Subtopic 220-40): Disaggregation of Income Statement Expenses”. The ASU requires public entities to disclose more detailed information about certain costs and expenses presented in the income statement, including inventory purchases, employee compensation, selling expenses, depreciation and intangible asset amortization. ASU 2024-03 is effective for fiscal years beginning after December 15, 2026, and interim periods within fiscal years beginning after December 15, 2027, with early adoption permitted. The amendments in this ASU should be applied prospectively; however, retrospective application is permitted. The Company is currently evaluating the impact of ASU 2024-03 on its consolidated financial statements and related disclosures.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15 – SUBSEQUENT EVENTS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14, 2026, the Company entered into certain agreements relating to the acquisition of the Marc Jacobs business from LVMH Moet Hennessy Louis Vuitton Inc. and its affiliates (“LVMH”). The transaction is structured such that (i) MJ Topco, LLC (“IPCo”), a newly formed joint venture between a subsidiary of the Company and an affiliate of WHP Global (“WHP”), will acquire all of the issued and outstanding units of Marc Jacobs Holdings, LLC through a wholly owned indirect subsidiary, Majestic AcqCo, LLC, (ii) following such acquisition, the Company will acquire the Marc Jacobs operating business through its subsidiaries, and (iii) IPCo will retain the Marc Jacobs intellectual property and certain other retained assets. The Company will fund its approximately $500 million investment using cash on hand and borrowings under its revolving credit facility. The Company will operate the business pursuant to a license from IPCo. Subject to closing, the license agreement will provide an exclusive right to use the Marc Jacobs brand in the United States, Canada, Mexico and Western Europe for the distribution, promotion and sale of specified product categories, including women’s and men’s apparel, handbags, footwear, swim, small leather goods, luggage and cold weather accessories, through wholesale channels, branded retail stores and branded e-commerce sites. The initial term of the license agreement is from the effective date through December 2041, and the Company has 10 successive options to renew the license agreement for periods of 5 years.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48" w:name="Item2ManagementsDiscussion_401041"/>
      <w:bookmarkStart w:id="949" w:name="_d3ada014_753d_4fd7_a1af_1d77101e72ec"/>
      <w:bookmarkEnd w:id="948"/>
      <w:bookmarkEnd w:id="949"/>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Unless the context otherwise requires, “G-III,” “us,” “we” and “our” refer to G-III Apparel Group, Ltd. and its subsidiaries. References to fiscal years refer to the year ended or ending on January 31 of that year. For example, our fiscal year ending January 31, 2027 is referred to as “fiscal 2027.”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Each of Vilebrequin, KLH, certain other subsidiaries and AWWG Investments B.V. (“AWWG”), an 18.7% owned investment accounted for under the equity method of accounting, report results on a calendar year basis rather than on the January 31 fiscal year basis used by G-III. Accordingly, the results of Vilebrequin, KLH, certain other subsidiaries and AWWG are included in the financial statements for the quarter ended or ending closest to G-III’s fiscal quarter end. For example, with respect to our results for the three-month period ended April 30, 2026, the results of Vilebrequin, KLH, certain other subsidiaries and AWWG are included for the three-month period ended March 31, 2026. Our retail operations segment reports on a 52/53 week fiscal year. For fiscal 2027 and 2026, the three-month periods for the retail operations segment were each 13-week periods and ended on May 2, 2026 and May 3, 2025, respectively.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Various statements contained in this Quarterly Report on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“believe,” “envision,” “forecast” and similar words or phrases and involve known and unknown risks, uncertainties and other factors that may cause actual results, performance or achievements to be materially different from the expected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failure to maintain or renew our material license agreements could cause us to lose significant revenues and have a material adverse effect on our results of operations; </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the strategies and reputation of our licensors;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risks associated with</w:t>
            </w:r>
            <w:r>
              <w:rPr>
                <w:caps w:val="false"/>
                <w:smallCaps w:val="false"/>
              </w:rPr>
              <w:t xml:space="preserve"> </w:t>
            </w:r>
            <w:r>
              <w:rPr>
                <w:rFonts w:ascii="Times New Roman;Times;serif" w:hAnsi="Times New Roman;Times;serif"/>
                <w:b w:val="false"/>
                <w:i w:val="false"/>
                <w:caps w:val="false"/>
                <w:smallCaps w:val="false"/>
                <w:sz w:val="20"/>
              </w:rPr>
              <w:t>our wholesale operations including risks relating to the image of our proprietary brands and business practices of our customers;</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social media and our collaborations with influencers;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customers changing buying patterns, requesting additional allowances, developing private-label brands, or entering exclusive agreements with national brand manufacturers;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customer concentration, and the risk that the loss of one of our largest customers could adversely affect our business;</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retail operations segment;</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existing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strategic acquisitions and investments and possible disruptions from acquisitions, including our recent formation of a joint venture to acquire Marc Jacobs Holdings, LLC, and the risks associated with our ability to maintain an effective internal control environment;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pending acquisition of Marc Jacobs Holdings, LLC, including risks related to the possibility that the acquisition does not close, our ability to transition the Marc Jacobs business and to realize the benefits of the acquisition on a timely basis, the expenses related to the acquisition, and our ability to operate the Marc Jacobs business being dependent on a license agreement that is terminable under certain circumstances;</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 nature of our business and effect of unseasonable or extreme weather on our business;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adverse effects from disruptions to the worldwide supply chain;</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availability and quality of materials used in our products;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protect our trademarks and other intellectual property;</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that our partners may not generate expected sales or maintain the value of our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current economic and credit environment on us, our customers, suppliers and vendors, including without limitation, the effects of inflationary cost pressures and higher interest rates;</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consolidation, bankruptcy or liquidation of major department, mass merchant and specialty store chains;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war, acts of terrorism, natural disasters or public health crises could adversely affect our business and results of operations, including the conflicts in Ukraine and the Middle East;</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anticipate and respond to changing customer preferences and shifts in fashion and industry trends in a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foreign manufacturers and arrangements with them, exposing us to potential import restrictions, duties and tariffs;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of expansion into foreign markets, conducting business internationally and exposures to foreign currencies;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evolving privacy laws that impose additional limits on how we collect or use customer information;</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rules relating to the processing of credit card payments;</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adverse effects of data security or privacy breaches;</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related to use of artificial intelligence;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trade policies and tariffs imposed by the United States government and the governments of other nations;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the imposition of tariffs by the United States government and the escalation of trade tensions between countries;</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legislation or exposure to additional tax liabilities that could impact our business;</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regulations applicable to us as a U.S. public company;</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fluctuations in the price of our common stock;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effect on the price of our stock if actual results are worse than financial forecasts or if we are unable to provide financial forecasts;</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our trademarks or other intangibles may require us to record charges against earnings;</w:t>
            </w:r>
          </w:p>
        </w:tc>
      </w:tr>
    </w:tbl>
    <w:tbl>
      <w:tblPr>
        <w:tblW w:w="4656" w:type="dxa"/>
        <w:jc w:val="left"/>
        <w:tblInd w:w="0" w:type="dxa"/>
        <w:tblLayout w:type="fixed"/>
        <w:tblCellMar>
          <w:top w:w="28" w:type="dxa"/>
          <w:left w:w="28" w:type="dxa"/>
          <w:bottom w:w="28" w:type="dxa"/>
          <w:right w:w="28"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pay dividends on our common stock;</w:t>
            </w:r>
          </w:p>
        </w:tc>
      </w:tr>
    </w:tbl>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our indebtedness may have on our financial condition and our ability to obtain financing in the future;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and financial restrictions related to our ABL credit agreement that may limit our current and future operating flexibility.</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2026. We undertake no obligation to publicly update or revise any forward-looking statements, whether as a result of new information, future events or otherwise, except as required by law.</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950" w:name="_Hlk167102937"/>
      <w:bookmarkEnd w:id="950"/>
      <w:r>
        <w:rPr>
          <w:rFonts w:ascii="Times New Roman;Times;serif" w:hAnsi="Times New Roman;Times;serif"/>
          <w:b/>
          <w:sz w:val="20"/>
        </w:rPr>
        <w:t>Overview</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G-III is a global leader in fashion with expertise in design, sourcing, distribution and marketing, which enables us to fuel growth across a portfolio of over 30 globally recognized owned and licensed brands, anchored by our key owned brands, DKNY, Donna Karan, Karl Lagerfeld and Vilebrequin. We develop products across a diverse range of lifestyle categories which include outerwear, dresses, sportswear, suit separates, athleisure, jeans, swimwear, as well as handbags, footwear, small leather goods, cold weather accessories and luggage. Our brands are positioned to sell at various price points with global distribution across a diverse mix of channels and geographies to reach a broad range of consumers.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owned brands include DKNY, Donna Karan, Karl Lagerfeld, Vilebrequin, Eliza J, Jessica Howard, Andrew Marc, G.H. Bass, Wilsons Leather and Sonia Rykiel. We have an extensive portfolio of well-known licensed brands, including Calvin Klein, Tommy Hilfiger, BCBG, Converse, French Connection, Halston, Levi’s, Champion, Nautica, Starter and major national sports leagues, among others. Through our licensed team sports business, we have partnerships with the National Football League, National Basketball Association, Major League Baseball, National Hockey League and over 150 U.S. colleges and universities. We also source and sell products to major retailers for their own private label programs.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products are sold through a cross section of leading retailers such as Macy’s, Bloomingdale’s, Dillard’s, Nordstrom, El Cortes Ingles, Kohl’s, TJ Maxx, Marshall’s, Ross Stores, Burlington and Costco. We also sell our products using digital channels through retail partners such as macys.com, bloomingdales.com, nordstrom.com and dillards.com, each of which operates significant digital businesses. In addition, we sell to leading online retail partners such as Amazon, Fanatics, Zalando and Zappos.</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distribute apparel and other products directly to consumers through our own DKNY, Karl Lagerfeld, Karl Lagerfeld Paris and Vilebrequin retail stores, as well as through our digital sites for our DKNY, Donna Karan, Karl Lagerfeld, Karl Lagerfeld Paris, Vilebrequin and Wilsons Leather brands.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continued success depends on our ability to design products that are accepted in the marketplace, source the manufacture of our products on a competitive basis and continue to diversify our product portfolio and the markets we serve.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It is our objective to continue to expand our product offerings and we are continually discussing new licensing opportunities with brand owners and seeking to acquire established brands.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Developments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Marc Jacobs Acquisition and License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14, 2026, we entered into certain agreements relating to the acquisition of the Marc Jacobs business (the “Marc Jacobs Acquisition”) from LVMH Moet Hennessy Louis Vuitton Inc. and its affiliates (“LVMH”). The transaction is structured such that (i) MJ Topco, LLC (“IPCo”), a newly formed joint venture between a subsidiary of the Company and an affiliate of WHP Global (“WHP”), will acquire all of the issued and outstanding units of Marc Jacobs Holdings, LLC through a wholly owned indirect subsidiary, Majestic AcqCo, LLC, (ii) following such acquisition, we will acquire the Marc Jacobs operating business through our subsidiaries, and (iii) IPCo will retain the Marc Jacobs intellectual property and certain other retained assets. We will fund our approximately $500 million investment using cash on hand and borrowings under our revolving credit facility. We will operate the business pursuant to a license from IPCo. Subject to closing, the license agreement will provide an exclusive right to use the Marc Jacobs brand in the United States, Canada, Mexico and Western Europe for the distribution, promotion and sale of specified product categories, including women’s and men’s apparel, handbags, footwear, swim, small leather goods, luggage and cold weather accessories, through wholesale channels, branded retail stores and branded e-commerce sites. The initial term of the license agreement is from the effective date through December 2041, and we have 10 successive options to renew the license agreement for periods of 5 years.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French Connection License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Effective February 2026, we entered into a license agreement with French Connection Limited to design and produce women’s and men’s apparel (subject to certain exclusions), women’s and men’s outerwear, handbags and men’s footwear under the French Connection brand. The license agreement includes an initial term of five-years with an option to renew for an additional five-year term. The products produced under this license agreement are expected to be distributed in North America through our diversified distribution network, including premier department stores, digital channels, as well as other channels. First deliveries of our French Connection product began in February 2026 for Spring 2026. We believe that significant opportunity exists in the categories subject to this license agreement where we have strong expertise, and the products expected to be produced align with G-III’s core competencies.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report based on two segments: wholesale operations and retail operations.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wholesale operations segment includes sales of products to retailers under owned, licensed and private label brands, as well as sales related to the Vilebrequin and Karl Lagerfeld businesses, including from retail stores operated by Vilebrequin and Karl Lagerfeld, other than sales of product under the Karl Lagerfeld Paris brand generated by our retail stores and digital sites. Wholesale revenues also include royalty revenues from license agreements related to our owned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trademarks including DKNY, Donna Karan, Karl Lagerfeld, G.H. Bass, Andrew Marc, Vilebrequin and Sonia Rykiel in product categories we do not produce ourselves.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retail operations segment consists primarily of direct sales to consumers through our company-operated stores and product sales through our digital sites for the DKNY, Donna Karan, Karl Lagerfeld Paris and Wilsons Leather brands. As of April 30, 2026, our retail operations segment consisted of 47 company-operated stores for our DKNY and Karl Lagerfeld Paris brands, substantially all of which are operated as outlet stores in North America.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Trends Affecting Our Business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Tariffs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Beginning in April 2025, the United States announced additional tariffs on goods imported into the United States, with incremental tariffs on products imported from many countries, including China, Vietnam and Bangladesh, and the potential for further increases and revisions or terminations to existing trade agreements. In response, some countries have announced, or are otherwise considering, retaliatory tariffs on United States exports and other trade restrictions. These actions have led to significant volatility and uncertainty in global markets. During fiscal 2026, approximately 71.6% of our product was sourced from China, Vietnam and Bangladesh.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February 2026, the Supreme Court of the United States ruled against the current administration’s use of the International Emergency Economic Powers Act (“IEEPA”) to impose certain tariffs levied since February 2025. Pursuant to a court order on March 4, 2026 from the U.S. Court of International Trade (“CIT”) directing the refund of such tariffs, including applicable interest, on April 20, 2026, U.S. Customs and Border Protection (“CBP”) launched the Consolidated Administration and Processing of Entries (“CAPE”) system to facilitate refund claims, to which we have successfully submitted our refund claim. The timing of cash receipts for tariff refunds remains dependent upon the processing of refund claims by CBP and the U.S. Department of Treasury.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Following the Supreme Court ruling, the current administration announced a new global tariff of 10% effective February 24, 2026, under Section 122 Trade Act of 1974 which will expire in 150 days unless renewed by Congress. On May 7, 2026, the CIT ruled that the Section 122 tariffs exceeded the President’s authority and is currently under review in the Court of Appeals, with a decision anticipated by Fall 2026. While the court's opinion invalidated the tariffs, it only provided injunctive relief for the specific plaintiffs involved in the lawsuit. Because the government appealed the decision, CBP continues to collect these duties at ports of entry. Depending on that outcome, the matter could proceed to the Supreme Court. Additionally, the administration initiated additional trade actions, including investigations under Section 301 of the Trade Act of 1974, that may result in further tariffs.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While the elimination of IEEPA tariffs is expected to have a favorable impact on gross margin, the imposition of additional tariffs, including those under Section 122 and potential measures arising from Section 301 actions, may offset such benefits and could adversely affect our financial results. We continue to monitor these changing tariffs and trade restrictions. We are taking steps to mitigate the impact of new and increased tariffs by working with our long-standing vendors to participate in the increased costs, increasing prices where possible and continuing to look for alternative sourcing options.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Industry Trends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distribute our products through multiple channels, including online through retail partners such as macys.com, bloomingdales.com, nordstrom.com and dillards.com, each of which operates a significant online business. In addition, we sell to leading online retail partners such as Amazon, Fanatics, Zalando and Zappos. We also distribute apparel and other products directly to consumers through our own DKNY, Karl Lagerfeld and Vilebrequin retail stores, as well as through our digital sites for our DKNY, Donna Karan, Karl Lagerfeld, Karl Lagerfeld Paris, Vilebrequin and Wilsons Leather brands. As sales of apparel through digital channels continue to increase, we are developing additional digital marketing initiatives on both our own websites and third party websites and through social media. We are investing in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digital personnel, marketing, logistics, planning, distribution and other strategic opportunities to expand our digital footprint.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number of retailers have experienced financial difficulties, which in some cases have resulted in bankruptcies, liquidations and/or store closings, such as the recent bankruptcy filing by Saks Global.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 We may also obtain credit insurance in certain circumstances to further mitigate credit risk.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As a result, customers loyal to their brands can only find them in the stores of that retailer.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attempted to respond to general trends in our industry by continuing to focus on selling products with recognized brand equity, by attention to design, quality and value and by improving our sourcing capabilities. We have also pursued several strategic opportunities, such as (i) our purchase of the interests not previously owned by us that resulted in Karl Lagerfeld becoming our wholly-owned subsidiary, (ii) new license agreements entered into by us, such as our recent license agreements for the Halston, Champion, Converse, BCBG and French Connection brands and (iii) our formation of a joint venture with WHP to acquire Marc Jacobs Holdings, LLC. Our actions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Calvin Klein and Tommy Hilfiger Licenses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sale of licensed products is an important part of our business. Net sales of products under the Calvin Klein and Tommy Hilfiger brands constituted approximately 28.0% of our net sales in fiscal 2026 and approximately 34.0% of our net sales in fiscal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licenses for Calvin Klein and Tommy Hilfiger products expire on a staggered basis which began on December 31, 2024 and continue through December 31, 2026. Unless we are able to increase the sales of our other products, acquire new businesses and/or enter into other license agreements covering different products, the staggered expirations of the Calvin Klein and Tommy Hilfiger license agreements will cause a significant decrease in our net sales and have a material adverse effect on our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continue to take strategic actions to mitigate the loss of this business by continuing to develop and expand our owned brands, such as DKNY, Donna Karan and Karl Lagerfeld, through new product lines, marketing initiatives, international growth, executing on digital channel business opportunities and our recent formation of a joint venture with WHP to acquire Marc Jacobs Holdings, LLC. Additionally, we also recognize higher gross profit percentages on sales of our owned brands. We also seek to expand sales in our go-forward portfolio of licensed brands, including our team sports business, as well as through our recent licenses for the Halston and Champion brands that launched in fiscal 2025, the Converse and BCBG brands that launched in fiscal 2026 and the French Connection brand that launched in fiscal 2027.</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Calvin Klein and Tommy Hilfiger licenses that expired in fiscal 2026 or have expirations in our fiscal 2027 year contributed the following net sales to our total net sales in fiscal 2026:</w:t>
      </w:r>
    </w:p>
    <w:p>
      <w:pPr>
        <w:pStyle w:val="TextBody"/>
        <w:bidi w:val="0"/>
        <w:spacing w:before="0" w:after="0"/>
        <w:ind w:left="0" w:right="0" w:hanging="0"/>
        <w:jc w:val="both"/>
        <w:rPr>
          <w:shd w:fill="FFFF00" w:val="clear"/>
        </w:rPr>
      </w:pPr>
      <w:r>
        <w:rPr>
          <w:shd w:fill="FFFF00" w:val="clear"/>
        </w:rPr>
        <w:t>​</w:t>
      </w:r>
    </w:p>
    <w:tbl>
      <w:tblPr>
        <w:tblW w:w="8584" w:type="dxa"/>
        <w:jc w:val="left"/>
        <w:tblInd w:w="0" w:type="dxa"/>
        <w:tblLayout w:type="fixed"/>
        <w:tblCellMar>
          <w:top w:w="0" w:type="dxa"/>
          <w:left w:w="0" w:type="dxa"/>
          <w:bottom w:w="0" w:type="dxa"/>
          <w:right w:w="0" w:type="dxa"/>
        </w:tblCellMar>
      </w:tblPr>
      <w:tblGrid>
        <w:gridCol w:w="5146"/>
        <w:gridCol w:w="109"/>
        <w:gridCol w:w="222"/>
        <w:gridCol w:w="1595"/>
        <w:gridCol w:w="222"/>
        <w:gridCol w:w="645"/>
        <w:gridCol w:w="645"/>
      </w:tblGrid>
      <w:tr>
        <w:trPr/>
        <w:tc>
          <w:tcPr>
            <w:tcW w:w="5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267710" cy="175260"/>
                      <wp:effectExtent l="0" t="0" r="0" b="0"/>
                      <wp:wrapNone/>
                      <wp:docPr id="132" name="Frame132"/>
                      <a:graphic xmlns:a="http://schemas.openxmlformats.org/drawingml/2006/main">
                        <a:graphicData uri="http://schemas.microsoft.com/office/word/2010/wordprocessingShape">
                          <wps:wsp>
                            <wps:cNvSpPr txBox="1"/>
                            <wps:spPr>
                              <a:xfrm>
                                <a:off x="0" y="0"/>
                                <a:ext cx="326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0970" cy="175260"/>
                      <wp:effectExtent l="0" t="0" r="0" b="0"/>
                      <wp:wrapNone/>
                      <wp:docPr id="134" name="Frame134"/>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012825" cy="175260"/>
                      <wp:effectExtent l="0" t="0" r="0" b="0"/>
                      <wp:wrapNone/>
                      <wp:docPr id="135" name="Frame135"/>
                      <a:graphic xmlns:a="http://schemas.openxmlformats.org/drawingml/2006/main">
                        <a:graphicData uri="http://schemas.microsoft.com/office/word/2010/wordprocessingShape">
                          <wps:wsp>
                            <wps:cNvSpPr txBox="1"/>
                            <wps:spPr>
                              <a:xfrm>
                                <a:off x="0" y="0"/>
                                <a:ext cx="1012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40970" cy="175260"/>
                      <wp:effectExtent l="0" t="0" r="0" b="0"/>
                      <wp:wrapNone/>
                      <wp:docPr id="136" name="Frame136"/>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09575" cy="175260"/>
                      <wp:effectExtent l="0" t="0" r="0" b="0"/>
                      <wp:wrapNone/>
                      <wp:docPr id="137" name="Frame137"/>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09575" cy="175260"/>
                      <wp:effectExtent l="0" t="0" r="0" b="0"/>
                      <wp:wrapNone/>
                      <wp:docPr id="138" name="Frame138"/>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Portion of Total G-III Fiscal 2026 Net Sales</w:t>
            </w:r>
          </w:p>
        </w:tc>
      </w:tr>
      <w:tr>
        <w:trPr/>
        <w:tc>
          <w:tcPr>
            <w:tcW w:w="5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2" w:type="dxa"/>
            <w:tcBorders/>
            <w:vAlign w:val="center"/>
          </w:tcPr>
          <w:p>
            <w:pPr>
              <w:pStyle w:val="TableContents"/>
              <w:bidi w:val="0"/>
              <w:spacing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858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29"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 except for percentages)</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Calvin Klein and Tommy Hilfiger license expirations by date:</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1595"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1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435,642</w:t>
            </w:r>
          </w:p>
        </w:tc>
        <w:tc>
          <w:tcPr>
            <w:tcW w:w="222"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2026</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1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391,561</w:t>
            </w:r>
          </w:p>
        </w:tc>
        <w:tc>
          <w:tcPr>
            <w:tcW w:w="222"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Litigation with PVH Corp.</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13, 2025, we filed a complaint against PVH Corp. and two of its subsidiaries (“Defendants”) in the New York County Commercial Division of the Supreme Court of the State of New York for breach of contract, breach of the implied covenant of good faith and fair dealing, and tortious interference with contract arising out of the unreasonable denial of our request to extend the Calvin Klein and Tommy Hilfiger licenses for the women’s suits category for an additional three-year period and other actions taken by Defendants that undermined our ability to perform under Calvin Klein and Tommy Hilfiger license agreements and subjected us to contractual penalties. On July 30, 2025, Calvin Klein, Inc. and Tommy Hilfiger Licensing LLC filed their own complaint against G-III in the same court alleging breaches of the license agreements between the parties. We believe that Calvin Klein, Inc. and Tommy Hilfiger Licensing LLC’s complaint is without merit, and we intend to vigorously defend the Company. Due to the uncertainty inherent in any litigation, we are unable to estimate any reasonably possible loss, or range of loss, with respect to this matter.</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Tax Laws and Regulations</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July 2025, the One Big Beautiful Bill Act (“OBBBA”) was enacted in the United States. The legislation has multiple effective dates, with certain provisions becoming effective in 2025 and others implemented through 2029. The OBBBA makes key elements of the Tax Cuts and Jobs Act permanent, including 100% bonus depreciation, and makes modifications to the international tax framework. We recognized the impact of the OBBBA in our second fiscal quarter ended July 31, 2025, the period in which the legislation was enacted. The impact of the OBBBA was immaterial to our provision for income taxes for the three months ended April 30, 2026 and our condensed consolidated balance sheet as of April 30,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December 2022, the Council of the European Union (“EU”) announced that EU member states reached an agreement to implement the minimum tax component of the Organization for Economic Co-operation and Development’s (“OECD”) international tax reform initiative, known as Pillar Two. The Pillar Two Model Rules provide for a global minimum tax of 15% for multinational enterprise groups (“MNEs”) and was effective beginning fiscal 2025. In January 2026, the OECD introduced a side-by-side agreement in which U.S.-parented MNEs are exempt from certain aspects of the global minimum tax. This agreement is effective for our fiscal year ending January 31, 2027, but is subject to adoption by each jurisdiction. While these rules are not expected to have a material impact on our effective tax rate or financial results for fiscal 2027, we continue to monitor our operations and evolving tax legislation in the jurisdictions in which we operate.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Inflation and Interest Rates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Inflationary pressures have impacted the entire economy, including our industry. Recent high rates of inflation, including increased fuel and food prices and the enactment of additional tariffs by the United States government, have led to a softening of consumer demand, increased promotional activity in the apparel categories we sell and higher pricing of our products. Ongoing inflation may lead to further challenges to increase our sales and may also negatively impact our cost structure and labor costs in the future.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Federal Reserve decreased interest rates in both fiscal 2025 and fiscal 2026, however it is unclear whether the Federal Reserve will reduce, increase or maintain the current rates in the future. Higher interest rates increase the cost of our borrowing under our revolving credit facility, may increase economic uncertainty and may negatively affect consumer spending. Volatility in interest rates may adversely affect our business or our customers. If the equity and credit markets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deteriorate, it may make any necessary debt or equity financing more difficult to obtain in a timely manner or on favorable terms, or at all.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Foreign Currency Fluctuation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consolidated operations are impacted by the relationships between our reporting currency, the U.S. dollar, and those of our non-United States subsidiaries whose functional/local currency is other than the U.S. dollar, primarily the euro. Volatility in the global foreign currency exchange rates may have a negative impact on the reported results of certain of our non-United States subsidiaries in the future, when translated to the U.S. dollar.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International Conflicts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We are monitoring the direct and indirect impacts from the military conflicts in Ukraine and the latest developments across the Middle East. These international conflicts and the continued threat of terrorism, heightened security measures and military action in response to acts of terrorism or civil unrest have disrupted commerce and intensified concerns regarding the United States and world economies. Our sales in Russia, Ukraine and Israel are not material to our financial results. </w:t>
      </w:r>
      <w:r>
        <w:rPr>
          <w:rFonts w:ascii="Times New Roman;Times;serif" w:hAnsi="Times New Roman;Times;serif"/>
          <w:sz w:val="20"/>
        </w:rPr>
        <w:t>However, the imposition of additional sanctions by the United States and/or foreign governments, as well as the sanctions already in place, could lead to restrictions related to sales and our supply chain for which the financial impact is uncertain. In addition,</w:t>
      </w:r>
      <w:r>
        <w:rPr>
          <w:rFonts w:ascii="Times New Roman;Times;serif" w:hAnsi="Times New Roman;Times;serif"/>
          <w:sz w:val="20"/>
          <w:shd w:fill="FFFFFF" w:val="clear"/>
        </w:rPr>
        <w:t xml:space="preserve"> the continuation or escalation of these international conflicts, including the potential for additional countries to declare war against each other, may lead to further, broader unfavorable macroeconomic conditions, including unfavorable foreign exchange rates, increases in fuel prices, food shortages, a weakening of the worldwide economy, lower consumer demand and volatility in financial markets. The possible effects of these international conflicts could have a material adverse effect on our business and our results of operations.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bookmarkStart w:id="951" w:name="_Hlk143611891"/>
      <w:bookmarkEnd w:id="951"/>
      <w:r>
        <w:rPr>
          <w:rFonts w:ascii="Times New Roman;Times;serif" w:hAnsi="Times New Roman;Times;serif"/>
          <w:i/>
          <w:sz w:val="20"/>
        </w:rPr>
        <w:t>Supply Chain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global supply chain continues to be negatively impacted by various factors, including the ongoing disruptions in the Middle East and the various tariffs imposed across all countries. The latest developments as it relates to Iran have added further uncertainty to our supply chain operations. Conflicts in the Middle East continue to cause major disruptions to global supply chains by impacting critical shipping routes through the Suez Canal and Red Sea for cargo, adding time and cost to shipments. To date, our business has not been significantly impacted by such disruptions, however we have experienced shipping delays impacting the timing of inventory receipts. These delays have not resulted in a significant loss of customer sales. If there is further escalation of these conflicts, it may negatively impact the timely receipt of inventory as well as increase our shipping costs. We will continue to monitor supply chain challenges and coordinate with our partners to divert or adjust routes and destinations accordingly to ensure timely delivery of our product.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imposition of tariffs by the U.S. government and certain foreign jurisdictions, along with geopolitical tensions, have created an uncertain environment for global trade. As the impact of new or increased tariffs, quotas, embargoes or other trade barriers that could impact our supply chain and cost structure is dependent on global trade negotiations, we continue to monitor these changing tariffs and trade restrictions. We source substantially all of our products from a global network of independent, third-party manufacturers, primarily located in Asia.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Three months ended April 30, 2026 compared to three months ended</w:t>
      </w:r>
      <w:r>
        <w:rPr>
          <w:rFonts w:ascii="Times New Roman;Times;serif" w:hAnsi="Times New Roman;Times;serif"/>
          <w:b/>
          <w:i/>
          <w:caps w:val="false"/>
          <w:smallCaps w:val="false"/>
          <w:sz w:val="20"/>
        </w:rPr>
        <w:t xml:space="preserve"> </w:t>
      </w:r>
      <w:r>
        <w:rPr>
          <w:rFonts w:ascii="Times New Roman;Times;serif" w:hAnsi="Times New Roman;Times;serif"/>
          <w:b/>
          <w:i/>
          <w:sz w:val="20"/>
        </w:rPr>
        <w:t>April 30, 2025</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for the three months ended April 30, 2026 decreased to $536.0 million from $583.6 million in the same period last year. Net sales of our segments are reported before intercompany eliminations.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wholesale operations segment decreased to $514.8 million for the three months ended April 30, 2026 from $562.6 million in the comparable period last year. We sell a broad range of products at varying price points and deliver newly designed products each year. In addition, we have certain revenues, primarily from royalty revenues, that are not based on our shipping units of product. In total, our decrease in sales was driven by a decrease in the number of units we shipped, partially offset by a slightly higher average price. The decrease in net sales of our wholesale operations segment was primarily the result of decreases in net sales of $86.9 million of our Calvin Klein and Tommy Hilfiger licensed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products, due in part to several expired licenses that are not part of our go-forward business, as well as in DKNY products. These decreases were partially offset by increases in net sales of $42.9 million of our Donna Karan products and our BCBG, Converse and French Connection licensed products. The increase in sales of Donna Karan products was primarily related to the dresses, suits and sportswear categories.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retail operations segment increased to $40.6 million for the three months ended April 30, 2026 from $36.4 million in the same period last year. </w:t>
      </w:r>
      <w:r>
        <w:rPr>
          <w:rFonts w:ascii="Times New Roman;Times;serif" w:hAnsi="Times New Roman;Times;serif"/>
          <w:sz w:val="20"/>
          <w:shd w:fill="FFFFFF" w:val="clear"/>
        </w:rPr>
        <w:t>The number of retail stores operated by us decreased from 48 at April 30, 2025 to 47 at April 30, 2026. The increase in sales in our retail operations segment was the result of increased sales through our Karl Lagerfeld Paris stores, DKNY stores and Donna Karan website. Comparable store sales, which include both stores and digital channels, increased for Karl Lagerfeld Paris, Donna Karan and DKNY compared to the same period in the prior year.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 was $347.7 million, or 64.9% of net sales, for the three months ended April 30, 2026, compared to $246.5 million, or 42.2% of net sales, in the same period last year. The gross profit percentage in our wholesale operations segment was 63.8% in the three months ended April 30, 2026 compared to 40.4% in the same period last year. The gross profit percentage in the current year period was positively impacted by a benefit of $102.7 million recognized in cost of goods sold related to the expected recovery of previously incurred IEEPA tariffs on inventory sold in the prior year. Excluding the impact of the IEEPA tariff benefit, the gross profit percentage in our wholesale operations segment was 43.8% for the three months ended April 30, 2026, which was positively impacted by price increases as well as a shift in product mix to owned brands in which we recognize higher gross profit percentages compared to licensed brands. The gross profit percentage in our retail operations segment was 48.0% for the three months ended April 30, 2026 compared to 53.5% for the same period last year. The gross profit percentage in the current year period was negatively impacted by increased promotional activity.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Selling, general and administrative expenses increased to $255.3 million in the three months ended April 30, 2026 from $231.5 million in the same period last year. Selling, general and administrative expenses of our wholesale operations segment increased to $234.4 million from $209.7 million in the comparable period last year. The increase in expenses was primarily due to increases of (i) $17.3 million in compensation expenses, primarily due to an increase in incentive compensation and share-based compensation expense and (ii) $6.4 million inclusive of professional fees related to our strategic joint venture to acquire the Marc Jacobs operating business as well as legal fees related to other matters. Selling, general and administrative expenses of our retail operations segment decreased to $20.9 million from $21.8 million in the comparable period last year.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Depreciation and amortization was $7.2 million for the three months ended April 30, 2026 compared to $6.6 million in the same period last year.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952" w:name="_Hlk119669502"/>
      <w:bookmarkEnd w:id="952"/>
      <w:r>
        <w:rPr>
          <w:rFonts w:ascii="Times New Roman;Times;serif" w:hAnsi="Times New Roman;Times;serif"/>
          <w:sz w:val="20"/>
        </w:rPr>
        <w:t>Other loss was $0.8 million in the three months ended April 30, 2026 compared to other income of $3.5 million in the same period last year. Other loss in the current period consisted of $0.8 million of foreign currency loss during the current year period compared to $1.9 million of foreign currency income in the same period last year. Our foreign currency income and losses are primarily related to the euro. Additionally, other loss in the current period consisted of a nominal loss from unconsolidated affiliates during the current year period compared to $1.6 million of income from unconsolidated affiliates in the same period last year.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Interest and financing charges, net, for the three months ended April 30, 2026 resulted in income of $1.2 million compared to expense of $0.5 million in the same period last year. The decrease in interest and financing charges was primarily due to a $1.2 increase in investment income from having a larger cash position in the current period compared to the prior year’s period.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953" w:name="_Hlk143617728"/>
      <w:bookmarkEnd w:id="953"/>
      <w:r>
        <w:rPr>
          <w:rFonts w:ascii="Times New Roman;Times;serif" w:hAnsi="Times New Roman;Times;serif"/>
          <w:sz w:val="20"/>
        </w:rPr>
        <w:t xml:space="preserve">Income tax expense was $19.1 million for the three months ended April 30, 2026 compared to $3.7 million for the same period last year. Our effective tax rate decreased to 22.3% in the current year’s quarter from 32.4% in last year’s comparable quarter. The lower effective tax rate in the current year period was driven by discrete items in the quarter, principally the anticipated tariff refund, that were taxed at a lower rate.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954" w:name="_Hlk167108057"/>
      <w:bookmarkEnd w:id="954"/>
      <w:r>
        <w:rPr>
          <w:rFonts w:ascii="Times New Roman;Times;serif" w:hAnsi="Times New Roman;Times;serif"/>
          <w:b/>
          <w:sz w:val="20"/>
        </w:rPr>
        <w:t xml:space="preserve">Liquidity and Capital Resources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Availability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rely on our cash flows generated from operations, cash and cash equivalents and the borrowing capacity under our revolving credit facility to meet the cash requirements of our business. The cash requirements of our business are primarily related to the seasonal buildup in inventories, compensation paid to employees, occupancy, payments to vendors in the normal course of business, capital expenditures, interest payments on debt obligations, payments of cash dividends, income tax payments and acquisitions. We have also used cash to repurchase our shares and make strategic investments.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April 30, 2026, we had cash and cash equivalents of $394.2 million and availability under our revolving credit facility of approximately $425.0 million. As of April 30, 2026, we were in compliance with all covenants under our revolving credit facility.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26, 2026, our Board of Directors declared a cash dividend of $0.10 per share. The dividend will be paid on July 8, 2026 to all stockholders of record as of June 22, 2026. </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Tariff Refund Receivable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April 30, 2026, the Company recognized a receivable of $139.5 million related to the expected refund of tariffs previously paid under the IEEPA, following recent legal developments, including a ruling by the United States Supreme Court and subsequent actions by the U.S. Court of International Trade directing the refund of such tariffs, including applicable interest. While we assessed that the recovery of previously paid IEEPA tariffs is probable based on currently available information, the timing of cash receipts remains dependent upon the processing of refund claims by CBP and the U.S. Department of Treasury.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Third Amended and Restated ABL Credit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4, 2024, our subsidiaries, G-III Leather Fashions, Inc., Riviera Sun, Inc., AM Retail Group, Inc. and The Donna Karan Company Store LLC (collectively, the “Borrowers”), entered into the third amended and restated credit agreement (the “Third ABL Credit Agreement”) with the lenders named therein and with JPMorgan Chase Bank, N.A., as administrative agent. The Third ABL Credit Agreement is a five-year senior secured asset-based revolving credit facility providing for borrowings in an aggregate principal amount of up to $700.0 million. We and certain of our wholly-owned domestic subsidiaries, as well as G-III Apparel Canada ULC (collectively, the “Guarantors”), are guarantors under the Third ABL Credit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amends and restates the Second Amended Credit Agreement, dated as of August 7, 2020 (as amended, supplemented or otherwise modified from time to time prior to June 4, 2024, the “Second Credit Agreement”), by and among the Borrowers and the Guarantors, the lenders from time-to-time party thereto, and JPMorgan Chase Bank, N.A., in its capacity as the administrative agent thereunder. The Second Credit Agreement provided for borrowings of up to $650 million and was due to expire on August 7, 2025. The Third ABL Credit Agreement extends the maturity date to June 2029, subject to a springing maturity date as defined within the credit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Amounts available under the Third ABL Credit Agreement are subject to borrowing base formulas and overadvances as specified in the Third ABL Credit Agreement. Borrowings bear interest, at the Borrowers’ option, at Adjusted Term Secured Overnight Financing Rate (“SOFR”) plus a margin of 1.50% to 2.00%, or the alternate base rate plus a margin of 0.50% to 1.00% (defined as the greatest of (i) the “prime rate” of JPMorgan Chase Bank, N.A. from time to time, (ii) the federal funds rate plus 0.5% and (iii) SOFR for a borrowing with an interest period of one month plus 1.00%), with the applicable margin determined based on the Borrowers’ average daily availability under the Third ABL Credit Agreement. The Third ABL Credit Agreement is secured by specified assets of the Borrowers and the Guarantors. As of April 30, 2026, interest under the Third ABL Credit Agreement was being paid at an average rate of 7.25% per annum.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to paying interest on any outstanding borrowings under the Third ABL Credit Agreement, we are required to pay a commitment fee to the lenders under the credit agreement with respect to the unutilized commitments. The commitment fee accrues at a tiered rate equal to 0.375% per annum on the average daily amount of the available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commitments when the average usage is less than 50% of the total available commitments and decreases to 0.25% per annum on the average daily amount of the available commitments when the average usage is greater than or equal to 50% of the total available commitments.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contains covenants that, among other things, restrict our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As of April 30, 2026, we were in compliance with these covenants.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April 30, 2026, we had no borrowings outstanding under the Third ABL Credit Agreement. The Third ABL Credit Agreement also includes amounts available for letters of credit. As of April 30, 2026, there were no outstanding trade letters of credit and $2.4 million of standby letters of credit.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a total of $6.3 million debt issuance costs related to our Third ABL Credit Agreement. As permitted under ASC 835, the debt issuance costs have been deferred and are presented as an asset which is amortized ratably over the term of the Third ABL Credit Agreement. Total debt issuance costs, net of amortization, were $3.9 million, $5.1 million and $4.2 million as of April 30, 2026, April 30, 2025 and January 31, 2026, respectively.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Unsecured Loans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Several of the Company’s foreign entities borrow funds under various unsecured loans of which a portion is to provide funding for operations in the normal course of business. In the aggregate, the Company is currently required to make quarterly installment payments of principal in the amount of €0.8 million under these loans. Interest on the outstanding principal amount of the unsecured loans accrues at a fixed rate equal to 0% to 5.0% per annum, payable on either a quarterly or monthly basis. As of April 30, 2026, we had an aggregate outstanding balance of €2.3 million ($2.7 million) under these various unsecured loans.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Overdraft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Certain of our foreign entities entered into overdraft facilities that allow for applicable bank accounts to be in a negative position up to a certain maximum overdraft. These uncommitted overdraft facilities with HSBC Bank allow for an aggregate maximum overdraft of €10 million. Interest on drawn balances accrues at a rate equal to the EURIBOR plus a margin of 1.75% per annum, payable quarterly. The facility may be cancelled at any time by us or HSBC Bank. Certain of our foreign entities have also entered into several state backed overdraft facilities with UBS Bank in Switzerland for an aggregate of CHF 4.7 million at varying interest rates of 0% to 0.5%. As of April 30, 2026, we had an aggregate outstanding balance of €7.0 million ($8.1 million) under these various facilities.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Foreign Credit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KLH has a credit agreement with ABN AMRO Bank N.V. with a credit limit of €15.0 million which is secured by specified assets of KLH. Borrowings bear interest at the EURIBOR plus a margin of 1.7%. A subsidiary of Vilebrequin has a credit agreement with CIC Bank with a credit limit of €5.0 million. Borrowings bear interest at the Euro Short-Term Rate plus a margin of 1.75%. As of April 30, 2026, we had an aggregate outstanding balance of €4.0 million ($4.6 million) in borrowings outstanding under these credit facilities.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Outstanding Borrowings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primary operating cash requirements are to fund our seasonal buildup in inventories and accounts receivable, primarily during the second and third fiscal quarters each year. The primary sources to meet our operating cash requirements have been borrowings under the revolving credit facility and cash generated from operations.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had no borrowings outstanding under our Third ABL Credit Agreement at April 30, 2026 and 2025, respectively. Our contingent liability under open letters of credit was approximately $2.4 million and $2.6 million at April 30, 2026 and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2025, respectively. We had an aggregate of €2.3 million ($2.7 million) and €4.9 million ($5.3 million) outstanding under our various unsecured loans as of April 30, 2026 and 2025, respectively. We had €7.0 million ($8.1 million) and €7.4 million ($8.0 million) outstanding under our overdraft facilities as of April 30, 2026 and 2025, respectively. We had €4.0 million ($4.6 million) and €5.0 million ($5.4 million) outstanding under our foreign credit facilities as of April 30, 2026 and 2025, respectively.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Supply Chain Finance Program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a voluntary supply chain finance program (the “SCF Program”) administered through a third-party platform. Our payment obligations confirmed under the SCF Program are due to a financial intermediary that will remit payment to our suppliers. The SCF Program also provides participating suppliers with the option to sell their receivables due from us, at their sole discretion, to a third-party financial institution at terms negotiated between the supplier and the financial institution. We are not a party to the agreements between the suppliers and the financial institution and have no economic interest in a supplier’s decision to sell a receivable. Our payment obligations to our suppliers, including the amounts due and payment terms, which generally do not exceed 75 days, are not impacted by a suppliers’ participation in the SCF Program. See Note 8 – “Supply Chain Finance Program” in the Notes to Condensed Consolidated Financial Statements for further discussion of the SCF Program.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Share Repurchase Program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April 2026, our Board of Directors authorized an increase in the number of shares covered by our share repurchase program to an aggregate amount of 10,000,000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No shares were repurchased during the three months ended April 30, 2026. As of April 30, 2026, we had remaining 10,000,000 shares that are authorized for purchase under this program. As of June 3, 2026, we had 42,190,573 shares of common stock outstanding.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from Operating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used $2.0 million in cash from operating activities during the three months ended April 30, 2026, representing a  decrease of $95.8 million from $93.8 million of cash generated from operating activities during the three months ended April 30, 2025. This decrease is primarily driven by changes in operating assets and liabilities of $158.8 million, partially offset by an increase in our net income of $58.8 million.  The $158.8 million decrease in changes in operating asset and liabilities balances was primarily driven by the following: </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increased $138.7 million in the current year period compared to an increase of $1.6 million in the prior year period as a result of the $139.5 million receivable recorded as of April 30, 2026 related to our expected recovery of previously paid IEEPA tariffs. The tariff refund receivable did not result in any impact on our cash from operations in the current year period as we expect to receive the refund during the remainder of the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decreased $104.2 million in the current year period compared to a decrease of $143.7 million in the same period last year as a result of a decline in net sales in the fourth quarter of fiscal 2026 compared to the fourth quarter of fiscal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accrued expenses and other liabilities decreased $92.0 million in the current year period compared to a decrease of $67.6 million in the same period last year as a result of decreased inventory purchases and accrued royalties in the current year period due to expired licenses, partially offset by a higher bonus accrual in the current year period.</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from Investing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used $8.5 million of cash in investing activities during the three months ended April 30, 2026 as a result of capital expenditures primarily related to leasehold improvement and computer software expenditures. </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from Financing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cash used by financing activities was $0.2 million during the three months ended April 30, 2026 primarily as a result of $4.2 million of cash dividends paid to common stockholders, offset, in part, by net proceeds of $4.0 million under our various foreign facilities.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accounting policies and related estimates described in our Annual Report on Form 10-K for the year ended January 31, 2026 are those that depend most heavily on these judgments and estimates. As of April 30, 2026, there have been no material changes to our critical accounting policies.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955" w:name="Item3Quantitative_475780"/>
      <w:bookmarkStart w:id="956" w:name="_c81aed79_9262_4a10_bfab_e29922fa473c"/>
      <w:bookmarkEnd w:id="955"/>
      <w:bookmarkEnd w:id="956"/>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are no material changes to the disclosure made with respect to these matters in our Annual Report on Form 10-K for the year ended January 31, 2026.</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957" w:name="Item4ControlsandProcedures_978659"/>
      <w:bookmarkStart w:id="958" w:name="_da1c8caf_97a0_45d5_9333_1b4c75f3c3ef"/>
      <w:bookmarkEnd w:id="957"/>
      <w:bookmarkEnd w:id="958"/>
      <w:r>
        <w:rPr>
          <w:rFonts w:ascii="Times New Roman;Times;serif" w:hAnsi="Times New Roman;Times;serif"/>
          <w:b/>
          <w:sz w:val="20"/>
        </w:rPr>
        <w:t xml:space="preserve">Item 4.         Controls and Procedures.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Evaluation of Disclosure Controls and Procedures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designed only to provide “reasonable assurance” that the controls and procedures will meet their objectives.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because of a material weakness in the Company’s internal control over financial reporting as described below, our disclosure controls and procedures that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were not effective in making known to them material information relating to G-III required to be included in this report.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Material Weakness in Internal Control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Within the KLH subsidiary, which represented approximately 9% of the total net sales of the Company for fiscal 2026, the Company identified a material weakness in the operating effectiveness of controls related to information technology general controls (“ITGCs”) over business applications that support the Company’s financial reporting processes.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Automated and manual business process controls that are dependent on the affected ITGCs were also deemed ineffective because they rely upon information and configurations from the affected IT systems.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concluded that the material weakness did not result in any material misstatements in our financial statements or disclosures in the current year. Based on additional procedures and post-closing review, management concluded that the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Remediation Measures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with oversight from the Audit Committee of the Board of Directors, is performing remedial actions and has developed a full plan designed to remediate these deficiencies. This plan includes, among other items, additional risk assessment procedures over information technology, enhancements to controls, and additional training related to the operational effectiveness of control procedures. These deficiencies will not be considered remediated until the remediation plan is complete, and controls have been operational for a sufficient period of time and successfully tested.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Internal Control over Financial Reporting</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than the material weakness described above, there were no changes in our internal control over financial reporting (as defined in Rules 13a-15(f) and 15d-15(f) under the Exchange Act) during the quarter ended April 30,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959" w:name="PARTIIOTHERINFORMATION_14841"/>
      <w:bookmarkStart w:id="960" w:name="_1ccbe29c_beae_4e56_b935_8e21dc155b34"/>
      <w:bookmarkEnd w:id="959"/>
      <w:bookmarkEnd w:id="960"/>
      <w:r>
        <w:rPr>
          <w:rFonts w:ascii="Times New Roman;Times;serif" w:hAnsi="Times New Roman;Times;serif"/>
          <w:b/>
          <w:sz w:val="20"/>
        </w:rPr>
        <w:t>PART II – OTHER INFORMATION</w:t>
      </w:r>
    </w:p>
    <w:p>
      <w:pPr>
        <w:pStyle w:val="TextBody"/>
        <w:bidi w:val="0"/>
        <w:spacing w:before="0" w:after="0"/>
        <w:ind w:left="0" w:right="0" w:hanging="0"/>
        <w:jc w:val="left"/>
        <w:rPr>
          <w:rFonts w:ascii="Times New Roman;Times;serif" w:hAnsi="Times New Roman;Times;serif"/>
          <w:b/>
          <w:sz w:val="20"/>
        </w:rPr>
      </w:pPr>
      <w:bookmarkStart w:id="961" w:name="Item1ARiskFactors_273079"/>
      <w:bookmarkEnd w:id="961"/>
      <w:r>
        <w:rPr>
          <w:rFonts w:ascii="Times New Roman;Times;serif" w:hAnsi="Times New Roman;Times;serif"/>
          <w:b/>
          <w:sz w:val="20"/>
        </w:rPr>
        <w:t>Item 1A.      Risk Factors.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to the other information set forth in this Quarterly Report, you should carefully consider the risk factors contained in “Item 1A. Risk Factors” in our Annual Report on Form 10-K for the year ended January 31, 2026 (the “Annual Report”), which could materially affect our business, financial condition and/or future results. Other than the risk factors set forth below relating to the proposed acquisition of the Marc Jacobs business, there have been no material changes in our risk factors from those set forth in the Annual Report. The risks described in the Annual Report are not the only risks facing our company. Additional risks and uncertainties not currently known to us or that we currently deem to be immaterial also may materially adversely affect our business, financial condition and/or future results.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Marc Jacobs Acquisition may not be completed within the expected timeframe, or at all, and the failure to complete the Marc Jacobs Acquisition could have a material adverse effect on our future business and financial results.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can be no assurance that the Marc Jacobs Acquisition will be completed in the expected timeframe, or at all. The Marc Jacobs Acquisition is governed by multiple agreements, including the Unit Purchase Agreement, the Equity Commitment Letter, the Equity Purchase and Distribution Agreement and other ancillary agreements (collectively, the “Transaction Agreements”). The closing of the Unit Purchase Agreement is subject to customary conditions, including the accuracy of certain representations and warranties, absence of legal prohibitions and receipt of required antitrust approvals. In addition, the Company’s obligation to fund its equity contribution to IPCo under the Equity Commitment Letter is subject to the substantially concurrent funding of the WHP debt and equity financing and consummation of the Closing. There can be no assurance that all closing conditions will be satisfied (or waived, if applicable). Many of the conditions to completion of the Marc Jacobs Acquisition are not within our control, and we cannot predict when or if these conditions will be satisfied (or waived, as applicable).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Marc Jacobs Acquisition is not completed, our ongoing business and financial results may be adversely affected and we will be subject to a number of risks, including the following:</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dedicated significant time and resources, financial and otherwise, in planning for the Marc Jacobs Acquisition and the associated transition of the business, of which we would lose the benefit if the Marc Jacobs Acquisition is not completed;</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transaction costs relating to the Marc Jacobs Acquisition, including regulatory filing costs and certain costs relating to representation and warranty insurance, will have been incurred whether or not the Marc Jacobs Acquisition is completed;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 Jacobs Acquisition requires us to fund approximately $500 million using a combination of cash on hand and borrowings under our revolving credit facility, and the reservation of such capital may reduce our financial flexibility and our ability to pursue other strategic opportunities pending the closing;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matters relating to the Marc Jacobs Acquisition (including transition planning) may require substantial commitments of time and resources by our management, whether or not the Marc Jacobs Acquisition is completed, which could otherwise have been devoted to other opportunities that may have been beneficial to us.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if the Marc Jacobs Acquisition is not completed, we may experience negative reactions from the financial markets and from our customers and employees. We also may be subject to litigation related to any failure to complete the Marc Jacobs Acquisition or to enforcement proceedings commenced against us to perform our obligations under the Transaction Agreements. If the Marc Jacobs Acquisition is not completed, these risks may materialize and may adversely affect our business, financial results and financial condition.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interest in the Marc Jacobs intellectual property is held through a non-controlled joint venture, and our ability to operate the Marc Jacobs business depends on a license agreement that is terminable under certain circumstances.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Marc Jacobs Acquisition is structured through IPCo, a joint venture in which we will own 50% of the membership interests and an affiliate of WHP Global (“WHP”) will own the remaining 50%. IPCo will retain ownership of the Marc Jacobs intellectual property. We will operate the Marc Jacobs business pursuant to a license from IPCo providing an exclusive right to use the Marc Jacobs brands in the United States, Canada, Mexico and Western Europe for specified product categories. The initial term of the license agreement runs through December 2041, and we have 10 successive options to renew the license agreement for periods of 5 years. The license agreement is terminable by IPCo if we fail to make required payments or otherwise materially breach the agreement, in each case subject to an opportunity to cure within a specified period of time.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IPCo will be governed by a board of managers initially consisting of five managers, with two managers appointed by us and three appointed by WHP, which is subject to change in the future based on the relative ownership percentages of us and WHP in IPCo, and other circumstances provided in the amended and restated operating agreement which will govern the IPCo. Subject to those potential changes or circumstances, WHP controls the board of IPCo. Certain significant decisions, including amendments to the operating agreement, mergers, acquisitions, dispositions, incurrence of indebtedness above certain thresholds, related party transactions and bankruptcy, require approval of both members for so long as they continue to own certain ownership percentages. Disagreements with WHP regarding the management or direction of IPCo or the Marc Jacobs intellectual property could adversely affect our ability to operate the Marc Jacobs business effectively. In addition, we and WHP generally may not transfer our membership interests in IPCo prior to the third anniversary of closing, other than to permitted transferees or with the prior written consent of the other member, and any transfer after the third anniversary is subject to a right of first offer and tag along right in favor of the other party, which may limit our ability to exit or monetize our investment on favorable terms.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be unable to successfully transition and operate the Marc Jacobs business, and we may not realize the anticipated benefits of the Marc Jacobs Acquisition.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Following the closing, we will be required to transition the Marc Jacobs operating business away from the infrastructure and support systems currently provided by LVMH. Pursuant to a Transition Services Agreement to be entered into at closing, LVMH and/or third-party providers will provide certain transition services to Marc Jacobs International, L.L.C. and its subsidiaries for a limited period following the closing. Under the Transition Services Agreement, we will guarantee the due, prompt and full performance by Marc Jacobs International and its subsidiaries of all of their payment and indemnification obligations thereunder. Our ability to realize the expected benefits of the Marc Jacobs Acquisition is subject to a number of risks, including:</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build standalone operational capabilities for functions currently provided by LVMH prior to the expiration of the transition services;</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retaining key creative, design and management personnel who may be critical to the brand’s identity and market position;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certain operating assets and liabilities in China and Japan are sold to third-party buyers or retained by IPCo at closing, we will have no control over the operation of the Marc Jacobs brand in those markets, which could affect global brand perception and the value of the Marc Jacobs intellectual property.</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will incur substantial expenses in connection with the Marc Jacobs Acquisition and the transition of the business. Even if we are able to successfully transition and operate the Marc Jacobs business, the anticipated benefits may not be realized fully, or at all, or may take longer to realize than expected, which could adversely impact our business, results of operations and financial condition.</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62" w:name="Item5OtherInformation_516384"/>
      <w:bookmarkStart w:id="963" w:name="OtherInformation"/>
      <w:bookmarkStart w:id="964" w:name="_1b3eebb8_02aa_42c5_b0d5_29942fa08bce"/>
      <w:bookmarkEnd w:id="962"/>
      <w:bookmarkEnd w:id="963"/>
      <w:bookmarkEnd w:id="964"/>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three months ended April 30, 2026,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shd w:fill="FFFFFF" w:val="clear"/>
        </w:rPr>
      </w:pPr>
      <w:r>
        <w:rPr>
          <w:shd w:fill="FFFFFF" w:val="clea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65" w:name="Exhibits"/>
      <w:bookmarkStart w:id="966" w:name="_3479a434_dd9e_4fad_ba9b_b5a66463fb13"/>
      <w:bookmarkEnd w:id="965"/>
      <w:bookmarkEnd w:id="966"/>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0" w:type="dxa"/>
          <w:right w:w="0" w:type="dxa"/>
        </w:tblCellMar>
      </w:tblPr>
      <w:tblGrid>
        <w:gridCol w:w="656"/>
        <w:gridCol w:w="9549"/>
      </w:tblGrid>
      <w:tr>
        <w:trPr/>
        <w:tc>
          <w:tcPr>
            <w:tcW w:w="656" w:type="dxa"/>
            <w:tcBorders/>
            <w:vAlign w:val="center"/>
          </w:tcPr>
          <w:p>
            <w:pPr>
              <w:pStyle w:val="TableContents"/>
              <w:bidi w:val="0"/>
              <w:spacing w:before="0" w:after="283"/>
              <w:ind w:left="0" w:right="0" w:hanging="0"/>
              <w:jc w:val="left"/>
              <w:rPr>
                <w:sz w:val="4"/>
                <w:szCs w:val="4"/>
              </w:rPr>
            </w:pPr>
            <w:r>
              <w:rPr>
                <w:sz w:val="4"/>
                <w:szCs w:val="4"/>
              </w:rPr>
            </w:r>
          </w:p>
        </w:tc>
        <w:tc>
          <w:tcPr>
            <w:tcW w:w="9549" w:type="dxa"/>
            <w:tcBorders/>
            <w:vAlign w:val="center"/>
          </w:tcPr>
          <w:p>
            <w:pPr>
              <w:pStyle w:val="TableContents"/>
              <w:bidi w:val="0"/>
              <w:spacing w:before="0" w:after="283"/>
              <w:ind w:left="0" w:right="0" w:hanging="0"/>
              <w:jc w:val="left"/>
              <w:rPr>
                <w:sz w:val="4"/>
                <w:szCs w:val="4"/>
              </w:rPr>
            </w:pPr>
            <w:r>
              <w:rPr>
                <w:sz w:val="4"/>
                <w:szCs w:val="4"/>
              </w:rPr>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54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Certificate of Incorporation (incorporated by reference to Exhibit 3.1 to the Company’s Registration Statement on Form S-1, dated November 3, 1989).</w:t>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3.1(a)</w:t>
            </w:r>
          </w:p>
        </w:tc>
        <w:tc>
          <w:tcPr>
            <w:tcW w:w="9549"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Certificate of Amendment of Certificate of Incorporation, dated June 8, 2006 (incorporated by reference to Exhibit 3.1 to the Company’s Form 10-Q, dated September 13, 2006).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3.1(b)</w:t>
            </w:r>
          </w:p>
        </w:tc>
        <w:tc>
          <w:tcPr>
            <w:tcW w:w="9549"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Certificate of Amendment of Certificate of Incorporation, dated June 7, 2011 (incorporated by reference to Exhibit 3.1 to the Company’s Form 8-K, dated June 9, 2011).</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3.1(c)</w:t>
            </w:r>
          </w:p>
        </w:tc>
        <w:tc>
          <w:tcPr>
            <w:tcW w:w="9549"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Amendment of Certificate of Incorporation, dated June 30, 2015 (incorporated by reference to Exhibit 3.1 to the Company’s Form 8-K, dated July 1, 2015).</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549"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By-Laws, as amended, of G-III (incorporated by reference to Exhibit 3.1 to the Company’s Form 8-K, dated March 15, 2013).</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549"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Form of Performance Share Unit Agreement for April 30, 2026 PSU awards (incorporated by reference to Exhibit 10.1 to the Company’s Form 8-K, dated May 4,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9549"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Equity Commitment Letter, dated as of May 14, 2026, by and between the Company and MJ Topco, LLC (incorporated by reference to Exhibit 10.1 to the Company’s Form 8-K, dated May 14,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9549"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Equity Purchase and Distribution Agreement, dated as of May 14, 2026, by and among G-III Leather Fashions, Inc., MJ Topco, LLC and MJ Buyer Parent, LLC, and, solely for specified sections, G-III Apparel Group, Ltd. and WH Borrower, LLC (incorporated by reference to Exhibit 10.2 to the Company’s Form 8-K, dated May 14,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549"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Form of the Amended and Restated Operating Agreement of MJ Topco, LLC, dated as of May 14, 2026, by and among MJ Topco, LLC, MJWHP, LLC and G-III Investments, Inc. (incorporated by reference to Exhibit 10.3 to the Company’s Form 8-K, dated May 14,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549" w:type="dxa"/>
            <w:tcBorders/>
            <w:vAlign w:val="center"/>
          </w:tcPr>
          <w:p>
            <w:pPr>
              <w:pStyle w:val="TableContents"/>
              <w:bidi w:val="0"/>
              <w:spacing w:before="0" w:after="0"/>
              <w:ind w:left="0" w:right="0" w:hanging="0"/>
              <w:jc w:val="both"/>
              <w:rPr/>
            </w:pPr>
            <w:hyperlink w:anchor="giii-20260430xex31d1.htm">
              <w:r>
                <w:rPr>
                  <w:rStyle w:val="InternetLink"/>
                  <w:rFonts w:ascii="Times New Roman;Times;serif" w:hAnsi="Times New Roman;Times;serif"/>
                  <w:b w:val="false"/>
                  <w:i w:val="false"/>
                  <w:caps w:val="false"/>
                  <w:smallCaps w:val="false"/>
                  <w:sz w:val="20"/>
                </w:rPr>
                <w:t>Certification by Morris Goldfarb, Chief Executive Officer of G-III Apparel Group, Ltd., pursuant to Rule 13a-14(a) or Rule 15d-14(a) of the Securities Exchange Act of 1934, as amended, in connection with G-III Apparel Group, Ltd.’s Quarterly Report on Form 10-Q for the fiscal quarter ended April 30,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549" w:type="dxa"/>
            <w:tcBorders/>
            <w:vAlign w:val="center"/>
          </w:tcPr>
          <w:p>
            <w:pPr>
              <w:pStyle w:val="TableContents"/>
              <w:bidi w:val="0"/>
              <w:spacing w:before="0" w:after="0"/>
              <w:ind w:left="0" w:right="0" w:hanging="0"/>
              <w:jc w:val="both"/>
              <w:rPr/>
            </w:pPr>
            <w:hyperlink w:anchor="giii-20260430xex31d2.htm">
              <w:r>
                <w:rPr>
                  <w:rStyle w:val="InternetLink"/>
                  <w:rFonts w:ascii="Times New Roman;Times;serif" w:hAnsi="Times New Roman;Times;serif"/>
                  <w:b w:val="false"/>
                  <w:i w:val="false"/>
                  <w:caps w:val="false"/>
                  <w:smallCaps w:val="false"/>
                  <w:sz w:val="20"/>
                </w:rPr>
                <w:t>Certification by Neal S. Nackman, Chief Financial Officer of G-III Apparel Group, Ltd., pursuant to Rule 13a-14(a) or Rule 15d-14(a) of the Securities Exchange Act of 1934, as amended, in connection with G-III Apparel Group, Ltd.’s Quarterly Report on Form 10-Q for the fiscal quarter ended April 30,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549" w:type="dxa"/>
            <w:tcBorders/>
            <w:vAlign w:val="center"/>
          </w:tcPr>
          <w:p>
            <w:pPr>
              <w:pStyle w:val="TableContents"/>
              <w:bidi w:val="0"/>
              <w:spacing w:before="0" w:after="0"/>
              <w:ind w:left="0" w:right="0" w:hanging="0"/>
              <w:jc w:val="both"/>
              <w:rPr/>
            </w:pPr>
            <w:hyperlink w:anchor="giii-20260430xex32d1.htm">
              <w:r>
                <w:rPr>
                  <w:rStyle w:val="InternetLink"/>
                  <w:rFonts w:ascii="Times New Roman;Times;serif" w:hAnsi="Times New Roman;Times;serif"/>
                  <w:b w:val="false"/>
                  <w:i w:val="false"/>
                  <w:caps w:val="false"/>
                  <w:smallCaps w:val="false"/>
                  <w:sz w:val="20"/>
                </w:rPr>
                <w:t>Certification by Morris Goldfarb, Chief Executive Officer of G-III Apparel Group, Ltd., pursuant to 18 U.S.C. Section 1350, as adopted pursuant to Section 906 of the Sarbanes-Oxley Act of 2002, in connection with G-III Apparel Group, Ltd.’s Quarterly Report on Form 10-Q for the fiscal quarter ended April 30,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549" w:type="dxa"/>
            <w:tcBorders/>
            <w:vAlign w:val="center"/>
          </w:tcPr>
          <w:p>
            <w:pPr>
              <w:pStyle w:val="TableContents"/>
              <w:bidi w:val="0"/>
              <w:spacing w:before="0" w:after="0"/>
              <w:ind w:left="0" w:right="0" w:hanging="0"/>
              <w:jc w:val="both"/>
              <w:rPr/>
            </w:pPr>
            <w:hyperlink w:anchor="giii-20260430xex32d2.htm">
              <w:r>
                <w:rPr>
                  <w:rStyle w:val="InternetLink"/>
                  <w:rFonts w:ascii="Times New Roman;Times;serif" w:hAnsi="Times New Roman;Times;serif"/>
                  <w:b w:val="false"/>
                  <w:i w:val="false"/>
                  <w:caps w:val="false"/>
                  <w:smallCaps w:val="false"/>
                  <w:sz w:val="20"/>
                </w:rPr>
                <w:t>Certification by Neal S. Nackman, Chief Financial Officer of G-III Apparel Group, Ltd., pursuant to 18 U.S.C. Section 1350, as adopted pursuant to Section 906 of the Sarbanes-Oxley Act of 2002, in connection with G-III Apparel Group, Ltd.’s Quarterly Report on Form 10-Q for the fiscal quarter ended April 30, 2026.</w:t>
              </w:r>
            </w:hyperlink>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Schema Document.</w:t>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Calculation Linkbase Document.</w:t>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Definition.</w:t>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Label Linkbase Document.</w:t>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Presentation Linkbase Document.</w:t>
            </w:r>
          </w:p>
        </w:tc>
      </w:tr>
      <w:tr>
        <w:trPr/>
        <w:tc>
          <w:tcPr>
            <w:tcW w:w="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This certification is deemed furnished, and not filed, for purposes of section 18 of the Securities Exchange Act of 1934, as amended, or otherwise subject to the liability of that section, nor shall it be deemed incorporated by reference into any filing under the Securities Act of 1933, as amended, or the Exchange 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Indicates a management contract.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967" w:name="_f85c5d73_8917_40ec_a176_c002bdcbf4e7"/>
      <w:bookmarkEnd w:id="967"/>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261" w:type="dxa"/>
        <w:jc w:val="left"/>
        <w:tblInd w:w="0" w:type="dxa"/>
        <w:tblLayout w:type="fixed"/>
        <w:tblCellMar>
          <w:top w:w="0" w:type="dxa"/>
          <w:left w:w="0" w:type="dxa"/>
          <w:bottom w:w="0" w:type="dxa"/>
          <w:right w:w="0" w:type="dxa"/>
        </w:tblCellMar>
      </w:tblPr>
      <w:tblGrid>
        <w:gridCol w:w="1636"/>
        <w:gridCol w:w="430"/>
        <w:gridCol w:w="2195"/>
      </w:tblGrid>
      <w:tr>
        <w:trPr/>
        <w:tc>
          <w:tcPr>
            <w:tcW w:w="1636" w:type="dxa"/>
            <w:tcBorders/>
            <w:vAlign w:val="center"/>
          </w:tcPr>
          <w:p>
            <w:pPr>
              <w:pStyle w:val="TableContents"/>
              <w:bidi w:val="0"/>
              <w:spacing w:before="0" w:after="0"/>
              <w:ind w:left="0" w:right="0" w:hanging="0"/>
              <w:jc w:val="left"/>
              <w:rPr/>
            </w:pPr>
            <w:r>
              <w:rPr/>
              <w:t>​</w:t>
            </w:r>
          </w:p>
        </w:tc>
        <w:tc>
          <w:tcPr>
            <w:tcW w:w="26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G-III APPAREL GROUP, LTD.</w:t>
              <w:br/>
              <w:t>                  (Registrant)</w:t>
            </w:r>
          </w:p>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June 8, 2026</w:t>
            </w:r>
          </w:p>
        </w:tc>
        <w:tc>
          <w:tcPr>
            <w:tcW w:w="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June 8, 2026</w:t>
            </w:r>
          </w:p>
        </w:tc>
        <w:tc>
          <w:tcPr>
            <w:tcW w:w="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tLeast" w:line="220" w:before="0" w:after="200"/>
        <w:ind w:left="0" w:right="0" w:hanging="0"/>
        <w:jc w:val="right"/>
        <w:rPr>
          <w:rFonts w:ascii="Times New Roman;Times;serif" w:hAnsi="Times New Roman;Times;serif"/>
          <w:b/>
          <w:sz w:val="20"/>
        </w:rPr>
      </w:pPr>
      <w:bookmarkStart w:id="968" w:name="_Hlk167288405"/>
      <w:bookmarkStart w:id="969" w:name="giii-20260430xex31d1.htm"/>
      <w:bookmarkStart w:id="970" w:name="ksgiii20260430xex31d1"/>
      <w:bookmarkEnd w:id="968"/>
      <w:bookmarkEnd w:id="969"/>
      <w:bookmarkEnd w:id="970"/>
      <w:r>
        <w:rPr>
          <w:rFonts w:ascii="Times New Roman;Times;serif" w:hAnsi="Times New Roman;Times;serif"/>
          <w:b/>
          <w:sz w:val="20"/>
        </w:rPr>
        <w:t>Exhibit 31.1</w:t>
      </w:r>
      <w:r>
        <w:br w:type="page"/>
      </w:r>
    </w:p>
    <w:p>
      <w:pPr>
        <w:pStyle w:val="TextBody"/>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lineRule="atLeast" w:line="220" w:before="0" w:after="200"/>
        <w:ind w:left="0" w:right="0" w:hanging="0"/>
        <w:jc w:val="center"/>
        <w:rPr>
          <w:rFonts w:ascii="Times New Roman;Times;serif" w:hAnsi="Times New Roman;Times;serif"/>
          <w:sz w:val="20"/>
        </w:rPr>
      </w:pPr>
      <w:r>
        <w:rPr>
          <w:rFonts w:ascii="Times New Roman;Times;serif" w:hAnsi="Times New Roman;Times;serif"/>
          <w:sz w:val="20"/>
        </w:rPr>
        <w:t>RULE 13a - 14(a) OR RULE 15d - 14(a) OF THE SECURITIES EXCHANGE ACT OF 1934, AS AMENDED</w:t>
      </w:r>
    </w:p>
    <w:p>
      <w:pPr>
        <w:pStyle w:val="TextBody"/>
        <w:bidi w:val="0"/>
        <w:spacing w:lineRule="atLeast" w:line="220" w:before="0" w:after="200"/>
        <w:ind w:left="0" w:right="0" w:hanging="0"/>
        <w:jc w:val="both"/>
        <w:rPr>
          <w:rFonts w:ascii="Times New Roman;Times;serif" w:hAnsi="Times New Roman;Times;serif"/>
          <w:sz w:val="20"/>
        </w:rPr>
      </w:pPr>
      <w:r>
        <w:rPr>
          <w:rFonts w:ascii="Times New Roman;Times;serif" w:hAnsi="Times New Roman;Times;serif"/>
          <w:sz w:val="20"/>
        </w:rPr>
        <w:t>I, Morris Goldfarb, certify that:</w:t>
      </w:r>
    </w:p>
    <w:tbl>
      <w:tblPr>
        <w:tblW w:w="6603" w:type="dxa"/>
        <w:jc w:val="left"/>
        <w:tblInd w:w="0" w:type="dxa"/>
        <w:tblLayout w:type="fixed"/>
        <w:tblCellMar>
          <w:top w:w="0" w:type="dxa"/>
          <w:left w:w="0" w:type="dxa"/>
          <w:bottom w:w="0" w:type="dxa"/>
          <w:right w:w="0" w:type="dxa"/>
        </w:tblCellMar>
      </w:tblPr>
      <w:tblGrid>
        <w:gridCol w:w="23"/>
        <w:gridCol w:w="17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G-III Apparel Group, Ltd.</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Date: June 8, 2026</w:t>
      </w:r>
    </w:p>
    <w:tbl>
      <w:tblPr>
        <w:tblW w:w="2232" w:type="dxa"/>
        <w:jc w:val="center"/>
        <w:tblInd w:w="0" w:type="dxa"/>
        <w:tblLayout w:type="fixed"/>
        <w:tblCellMar>
          <w:top w:w="0" w:type="dxa"/>
          <w:left w:w="0" w:type="dxa"/>
          <w:bottom w:w="0" w:type="dxa"/>
          <w:right w:w="0" w:type="dxa"/>
        </w:tblCellMar>
      </w:tblPr>
      <w:tblGrid>
        <w:gridCol w:w="161"/>
        <w:gridCol w:w="207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6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tLeast" w:line="220" w:before="0" w:after="200"/>
        <w:ind w:left="0" w:right="0" w:hanging="0"/>
        <w:jc w:val="right"/>
        <w:rPr>
          <w:rFonts w:ascii="Times New Roman;Times;serif" w:hAnsi="Times New Roman;Times;serif"/>
          <w:b/>
          <w:sz w:val="20"/>
        </w:rPr>
      </w:pPr>
      <w:bookmarkStart w:id="971" w:name="_Hlk143762188"/>
      <w:bookmarkStart w:id="972" w:name="giii-20260430xex31d2.htm"/>
      <w:bookmarkStart w:id="973" w:name="ksgiii20260430xex31d2"/>
      <w:bookmarkEnd w:id="971"/>
      <w:bookmarkEnd w:id="972"/>
      <w:bookmarkEnd w:id="973"/>
      <w:r>
        <w:rPr>
          <w:rFonts w:ascii="Times New Roman;Times;serif" w:hAnsi="Times New Roman;Times;serif"/>
          <w:b/>
          <w:sz w:val="20"/>
        </w:rPr>
        <w:t>Exhibit 31.2</w:t>
      </w:r>
      <w:r>
        <w:br w:type="page"/>
      </w:r>
    </w:p>
    <w:p>
      <w:pPr>
        <w:pStyle w:val="TextBody"/>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lineRule="atLeast" w:line="220" w:before="0" w:after="200"/>
        <w:ind w:left="0" w:right="0" w:hanging="0"/>
        <w:jc w:val="center"/>
        <w:rPr>
          <w:rFonts w:ascii="Times New Roman;Times;serif" w:hAnsi="Times New Roman;Times;serif"/>
          <w:sz w:val="20"/>
        </w:rPr>
      </w:pPr>
      <w:r>
        <w:rPr>
          <w:rFonts w:ascii="Times New Roman;Times;serif" w:hAnsi="Times New Roman;Times;serif"/>
          <w:sz w:val="20"/>
        </w:rPr>
        <w:t>RULE 13a - 14(a) OR RULE 15d - 14(a) OF THE SECURITIES EXCHANGE ACT OF 1934, AS AMENDED</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I, Neal S. Nackman, certify that:</w:t>
      </w:r>
    </w:p>
    <w:tbl>
      <w:tblPr>
        <w:tblW w:w="6603" w:type="dxa"/>
        <w:jc w:val="left"/>
        <w:tblInd w:w="0" w:type="dxa"/>
        <w:tblLayout w:type="fixed"/>
        <w:tblCellMar>
          <w:top w:w="0" w:type="dxa"/>
          <w:left w:w="0" w:type="dxa"/>
          <w:bottom w:w="0" w:type="dxa"/>
          <w:right w:w="0" w:type="dxa"/>
        </w:tblCellMar>
      </w:tblPr>
      <w:tblGrid>
        <w:gridCol w:w="23"/>
        <w:gridCol w:w="17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G-III Apparel Group, Ltd.</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Date: June 8, 2026</w:t>
      </w:r>
    </w:p>
    <w:tbl>
      <w:tblPr>
        <w:tblW w:w="2172" w:type="dxa"/>
        <w:jc w:val="center"/>
        <w:tblInd w:w="0" w:type="dxa"/>
        <w:tblLayout w:type="fixed"/>
        <w:tblCellMar>
          <w:top w:w="0" w:type="dxa"/>
          <w:left w:w="0" w:type="dxa"/>
          <w:bottom w:w="0" w:type="dxa"/>
          <w:right w:w="0" w:type="dxa"/>
        </w:tblCellMar>
      </w:tblPr>
      <w:tblGrid>
        <w:gridCol w:w="161"/>
        <w:gridCol w:w="201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tLeast" w:line="220" w:before="0" w:after="200"/>
        <w:ind w:left="0" w:right="0" w:hanging="0"/>
        <w:jc w:val="right"/>
        <w:rPr>
          <w:rFonts w:ascii="Times New Roman;Times;serif" w:hAnsi="Times New Roman;Times;serif"/>
          <w:b/>
          <w:sz w:val="20"/>
        </w:rPr>
      </w:pPr>
      <w:bookmarkStart w:id="974" w:name="_Hlk143762242"/>
      <w:bookmarkStart w:id="975" w:name="giii-20260430xex32d1.htm"/>
      <w:bookmarkStart w:id="976" w:name="ksgiii20260430xex32d1"/>
      <w:bookmarkEnd w:id="974"/>
      <w:bookmarkEnd w:id="975"/>
      <w:bookmarkEnd w:id="976"/>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firstLine="461"/>
        <w:jc w:val="both"/>
        <w:rPr>
          <w:rFonts w:ascii="Times New Roman;Times;serif" w:hAnsi="Times New Roman;Times;serif"/>
          <w:sz w:val="20"/>
        </w:rPr>
      </w:pPr>
      <w:r>
        <w:rPr>
          <w:rFonts w:ascii="Times New Roman;Times;serif" w:hAnsi="Times New Roman;Times;serif"/>
          <w:sz w:val="20"/>
        </w:rPr>
        <w:t>In connection with the Quarterly Report of G-III Apparel Group, Ltd. (the “Company”) on Form 10-Q for the quarterly period ended April 30, 2026,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tbl>
      <w:tblPr>
        <w:tblW w:w="2232" w:type="dxa"/>
        <w:jc w:val="center"/>
        <w:tblInd w:w="0" w:type="dxa"/>
        <w:tblLayout w:type="fixed"/>
        <w:tblCellMar>
          <w:top w:w="0" w:type="dxa"/>
          <w:left w:w="0" w:type="dxa"/>
          <w:bottom w:w="0" w:type="dxa"/>
          <w:right w:w="0" w:type="dxa"/>
        </w:tblCellMar>
      </w:tblPr>
      <w:tblGrid>
        <w:gridCol w:w="161"/>
        <w:gridCol w:w="207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June 8,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tLeast" w:line="220" w:before="0" w:after="200"/>
        <w:ind w:left="0" w:right="0" w:hanging="0"/>
        <w:jc w:val="right"/>
        <w:rPr>
          <w:rFonts w:ascii="Times New Roman;Times;serif" w:hAnsi="Times New Roman;Times;serif"/>
          <w:b/>
          <w:sz w:val="20"/>
        </w:rPr>
      </w:pPr>
      <w:bookmarkStart w:id="977" w:name="_Hlk167288594"/>
      <w:bookmarkStart w:id="978" w:name="_Hlk143762286"/>
      <w:bookmarkStart w:id="979" w:name="giii-20260430xex32d2.htm"/>
      <w:bookmarkStart w:id="980" w:name="ksgiii20260430xex32d2"/>
      <w:bookmarkEnd w:id="977"/>
      <w:bookmarkEnd w:id="978"/>
      <w:bookmarkEnd w:id="979"/>
      <w:bookmarkEnd w:id="980"/>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firstLine="461"/>
        <w:jc w:val="both"/>
        <w:rPr>
          <w:rFonts w:ascii="Times New Roman;Times;serif" w:hAnsi="Times New Roman;Times;serif"/>
          <w:sz w:val="20"/>
        </w:rPr>
      </w:pPr>
      <w:r>
        <w:rPr>
          <w:rFonts w:ascii="Times New Roman;Times;serif" w:hAnsi="Times New Roman;Times;serif"/>
          <w:sz w:val="20"/>
        </w:rPr>
        <w:t>In connection with the Quarterly Report of G-III Apparel Group, Ltd. (the “Company”) on Form 10-Q for the quarterly period ended April 30, 2026,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tbl>
      <w:tblPr>
        <w:tblW w:w="2172" w:type="dxa"/>
        <w:jc w:val="center"/>
        <w:tblInd w:w="0" w:type="dxa"/>
        <w:tblLayout w:type="fixed"/>
        <w:tblCellMar>
          <w:top w:w="0" w:type="dxa"/>
          <w:left w:w="0" w:type="dxa"/>
          <w:bottom w:w="0" w:type="dxa"/>
          <w:right w:w="0" w:type="dxa"/>
        </w:tblCellMar>
      </w:tblPr>
      <w:tblGrid>
        <w:gridCol w:w="161"/>
        <w:gridCol w:w="201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June 8,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21002/000095013606007680/file2.htm" TargetMode="External"/><Relationship Id="rId3" Type="http://schemas.openxmlformats.org/officeDocument/2006/relationships/hyperlink" Target="https://www.sec.gov/Archives/edgar/data/821002/000095012311057737/y04932exv3w1.htm" TargetMode="External"/><Relationship Id="rId4" Type="http://schemas.openxmlformats.org/officeDocument/2006/relationships/hyperlink" Target="https://www.sec.gov/Archives/edgar/data/821002/000157104915005420/t1501536_ex3-1.htm" TargetMode="External"/><Relationship Id="rId5" Type="http://schemas.openxmlformats.org/officeDocument/2006/relationships/hyperlink" Target="https://www.sec.gov/Archives/edgar/data/821002/000119312513107874/d503217dex31.htm" TargetMode="External"/><Relationship Id="rId6" Type="http://schemas.openxmlformats.org/officeDocument/2006/relationships/hyperlink" Target="https://www.sec.gov/Archives/edgar/data/821002/000110465926054873/giii-20260430xex10d1.htm" TargetMode="External"/><Relationship Id="rId7" Type="http://schemas.openxmlformats.org/officeDocument/2006/relationships/hyperlink" Target="https://www.sec.gov/Archives/edgar/data/821002/000095014226001394/eh260778952_ex1001.htm" TargetMode="External"/><Relationship Id="rId8" Type="http://schemas.openxmlformats.org/officeDocument/2006/relationships/hyperlink" Target="https://www.sec.gov/Archives/edgar/data/821002/000095014226001394/eh260778952_ex1002.htm" TargetMode="External"/><Relationship Id="rId9" Type="http://schemas.openxmlformats.org/officeDocument/2006/relationships/hyperlink" Target="https://www.sec.gov/Archives/edgar/data/821002/000095014226001394/eh260778952_ex1003.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19750</Words>
  <Characters>108638</Characters>
  <CharactersWithSpaces>129315</CharactersWithSpaces>
  <Paragraphs>3737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