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spacing w:before="0" w:after="240"/>
        <w:ind w:left="0" w:right="0" w:hanging="0"/>
        <w:jc w:val="center"/>
        <w:rPr>
          <w:bdr w:val="single" w:sz="24" w:space="1" w:color="000000"/>
        </w:rPr>
      </w:pPr>
      <w:bookmarkStart w:id="0" w:name="giii-20260430x8k.htm"/>
      <w:bookmarkStart w:id="1" w:name="ksgiii20260430x8k"/>
      <w:bookmarkEnd w:id="0"/>
      <w:bookmarkEnd w:id="1"/>
      <w:r>
        <w:rPr>
          <w:bdr w:val="single" w:sz="24" w:space="1" w:color="000000"/>
        </w:rPr>
        <w:t>​</w:t>
      </w:r>
    </w:p>
    <w:p>
      <w:pPr>
        <w:pStyle w:val="TextBody"/>
        <w:pBdr/>
        <w:bidi w:val="0"/>
        <w:spacing w:before="0" w:after="0"/>
        <w:ind w:left="0" w:right="0" w:hanging="0"/>
        <w:jc w:val="center"/>
        <w:rPr>
          <w:rFonts w:ascii="Times New Roman;Times;serif" w:hAnsi="Times New Roman;Times;serif"/>
          <w:b/>
          <w:sz w:val="20"/>
        </w:rPr>
      </w:pPr>
      <w:bookmarkStart w:id="2" w:name="_6094679a_757e_4fe3_a657_ccec2a8a33e2"/>
      <w:bookmarkEnd w:id="2"/>
      <w:r>
        <w:rPr>
          <w:rFonts w:ascii="Times New Roman;Times;serif" w:hAnsi="Times New Roman;Times;serif"/>
          <w:b/>
          <w:sz w:val="20"/>
        </w:rPr>
        <w:t>UNITED STATES</w:t>
        <w:b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CURRENT REPORT</w:t>
        <w:br/>
        <w:br/>
        <w:t>PURSUANT TO SECTION 13 OR 15(d) OF THE</w:t>
        <w:br/>
        <w:t>SECURITIES EXCHANGE ACT OF 1934</w:t>
      </w:r>
    </w:p>
    <w:p>
      <w:pPr>
        <w:pStyle w:val="TextBody"/>
        <w:bidi w:val="0"/>
        <w:spacing w:before="0" w:after="240"/>
        <w:ind w:left="0" w:right="0" w:hanging="0"/>
        <w:jc w:val="center"/>
        <w:rPr>
          <w:rFonts w:ascii="Times New Roman;Times;serif" w:hAnsi="Times New Roman;Times;serif"/>
          <w:b w:val="false"/>
          <w:sz w:val="20"/>
        </w:rPr>
      </w:pPr>
      <w:r>
        <w:rPr>
          <w:rFonts w:ascii="Times New Roman;Times;serif" w:hAnsi="Times New Roman;Times;serif"/>
          <w:b w:val="false"/>
          <w:sz w:val="20"/>
        </w:rPr>
        <w:t xml:space="preserve">Date of Report (Date of earliest event reported): May 4, 2026 (April 30, 2026)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G-III APPAREL GROUP, LTD.</w:t>
      </w:r>
    </w:p>
    <w:p>
      <w:pPr>
        <w:pStyle w:val="TextBody"/>
        <w:bidi w:val="0"/>
        <w:spacing w:before="0" w:after="240"/>
        <w:ind w:left="0" w:right="0" w:hanging="0"/>
        <w:jc w:val="center"/>
        <w:rPr>
          <w:rFonts w:ascii="Times New Roman;Times;serif" w:hAnsi="Times New Roman;Times;serif"/>
          <w:b w:val="false"/>
          <w:sz w:val="20"/>
        </w:rPr>
      </w:pPr>
      <w:r>
        <w:rPr>
          <w:rFonts w:ascii="Times New Roman;Times;serif" w:hAnsi="Times New Roman;Times;serif"/>
          <w:b w:val="false"/>
          <w:sz w:val="20"/>
        </w:rPr>
        <w:t>(Exact Name of Registrant as Specified in its Charter)</w:t>
      </w:r>
    </w:p>
    <w:p>
      <w:pPr>
        <w:pStyle w:val="TextBody"/>
        <w:bidi w:val="0"/>
        <w:spacing w:before="0" w:after="240"/>
        <w:ind w:left="0" w:right="0" w:hanging="0"/>
        <w:jc w:val="center"/>
        <w:rPr/>
      </w:pPr>
      <w:r>
        <w:rPr/>
        <w:t>​</w:t>
      </w:r>
    </w:p>
    <w:tbl>
      <w:tblPr>
        <w:tblW w:w="6242" w:type="dxa"/>
        <w:jc w:val="left"/>
        <w:tblInd w:w="0" w:type="dxa"/>
        <w:tblLayout w:type="fixed"/>
        <w:tblCellMar>
          <w:top w:w="0" w:type="dxa"/>
          <w:left w:w="0" w:type="dxa"/>
          <w:bottom w:w="0" w:type="dxa"/>
          <w:right w:w="0" w:type="dxa"/>
        </w:tblCellMar>
      </w:tblPr>
      <w:tblGrid>
        <w:gridCol w:w="2296"/>
        <w:gridCol w:w="1136"/>
        <w:gridCol w:w="1159"/>
        <w:gridCol w:w="1651"/>
      </w:tblGrid>
      <w:tr>
        <w:trPr/>
        <w:tc>
          <w:tcPr>
            <w:tcW w:w="2296" w:type="dxa"/>
            <w:tcBorders/>
            <w:vAlign w:val="center"/>
          </w:tcPr>
          <w:p>
            <w:pPr>
              <w:pStyle w:val="TableContents"/>
              <w:bidi w:val="0"/>
              <w:spacing w:before="0" w:after="0"/>
              <w:ind w:left="0" w:right="0" w:hanging="0"/>
              <w:jc w:val="left"/>
              <w:rPr/>
            </w:pPr>
            <w:r>
              <w:rPr/>
              <w:t>​</w:t>
            </w:r>
          </w:p>
        </w:tc>
        <w:tc>
          <w:tcPr>
            <w:tcW w:w="2295" w:type="dxa"/>
            <w:gridSpan w:val="2"/>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Delaware</w:t>
              <w:br/>
            </w:r>
            <w:r>
              <w:rPr>
                <w:rFonts w:ascii="Times New Roman;Times;serif" w:hAnsi="Times New Roman;Times;serif"/>
                <w:b w:val="false"/>
                <w:sz w:val="20"/>
              </w:rPr>
              <w:t>(State or Other Jurisdiction</w:t>
              <w:br/>
              <w:t>of Incorporation)</w:t>
            </w:r>
          </w:p>
        </w:tc>
        <w:tc>
          <w:tcPr>
            <w:tcW w:w="2295" w:type="dxa"/>
            <w:gridSpan w:val="2"/>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0-18183</w:t>
              <w:br/>
            </w:r>
            <w:r>
              <w:rPr>
                <w:rFonts w:ascii="Times New Roman;Times;serif" w:hAnsi="Times New Roman;Times;serif"/>
                <w:b w:val="false"/>
                <w:sz w:val="20"/>
              </w:rPr>
              <w:t>(Commission File Number)</w:t>
            </w:r>
          </w:p>
        </w:tc>
        <w:tc>
          <w:tcPr>
            <w:tcW w:w="1651" w:type="dxa"/>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41-1590959</w:t>
              <w:br/>
            </w:r>
            <w:r>
              <w:rPr>
                <w:rFonts w:ascii="Times New Roman;Times;serif" w:hAnsi="Times New Roman;Times;serif"/>
                <w:b w:val="false"/>
                <w:sz w:val="20"/>
              </w:rPr>
              <w:t>(IRS Employer</w:t>
              <w:br/>
              <w:t>Identification No.)</w:t>
            </w:r>
          </w:p>
        </w:tc>
      </w:tr>
      <w:tr>
        <w:trPr/>
        <w:tc>
          <w:tcPr>
            <w:tcW w:w="3432" w:type="dxa"/>
            <w:gridSpan w:val="2"/>
            <w:tcBorders/>
            <w:vAlign w:val="center"/>
          </w:tcPr>
          <w:p>
            <w:pPr>
              <w:pStyle w:val="TableContents"/>
              <w:bidi w:val="0"/>
              <w:spacing w:before="0" w:after="0"/>
              <w:ind w:left="0" w:right="0" w:hanging="0"/>
              <w:jc w:val="center"/>
              <w:rPr/>
            </w:pPr>
            <w:r>
              <w:rPr/>
              <w:t>​</w:t>
            </w:r>
            <w:r>
              <w:rPr>
                <w:rFonts w:ascii="Times New Roman;Times;serif" w:hAnsi="Times New Roman;Times;serif"/>
                <w:b/>
                <w:sz w:val="20"/>
              </w:rPr>
              <w:br/>
            </w:r>
            <w:r>
              <w:rPr>
                <w:rFonts w:ascii="Times New Roman;Times;serif" w:hAnsi="Times New Roman;Times;serif"/>
                <w:b w:val="false"/>
                <w:sz w:val="20"/>
              </w:rPr>
              <w:t>(Address of principal executive offices)</w:t>
            </w:r>
          </w:p>
          <w:p>
            <w:pPr>
              <w:pStyle w:val="TableContents"/>
              <w:bidi w:val="0"/>
              <w:spacing w:before="0" w:after="0"/>
              <w:ind w:left="0" w:right="0" w:hanging="0"/>
              <w:jc w:val="left"/>
              <w:rPr/>
            </w:pPr>
            <w:r>
              <w:rPr/>
              <w:t>​</w:t>
            </w:r>
          </w:p>
        </w:tc>
        <w:tc>
          <w:tcPr>
            <w:tcW w:w="2810" w:type="dxa"/>
            <w:gridSpan w:val="2"/>
            <w:tcBorders/>
            <w:vAlign w:val="center"/>
          </w:tcPr>
          <w:p>
            <w:pPr>
              <w:pStyle w:val="TableContents"/>
              <w:bidi w:val="0"/>
              <w:spacing w:before="0" w:after="0"/>
              <w:ind w:left="0" w:right="0" w:hanging="0"/>
              <w:jc w:val="left"/>
              <w:rPr/>
            </w:pPr>
            <w:r>
              <w:rPr/>
              <w:t>​</w:t>
            </w:r>
          </w:p>
        </w:tc>
      </w:tr>
      <w:tr>
        <w:trPr/>
        <w:tc>
          <w:tcPr>
            <w:tcW w:w="343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512 Seventh Avenue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br/>
            </w:r>
            <w:r>
              <w:rPr>
                <w:rFonts w:ascii="Times New Roman;Times;serif" w:hAnsi="Times New Roman;Times;serif"/>
                <w:b w:val="false"/>
                <w:sz w:val="20"/>
              </w:rPr>
              <w:t>(Address of Principal Executive Offices)</w:t>
            </w:r>
          </w:p>
        </w:tc>
        <w:tc>
          <w:tcPr>
            <w:tcW w:w="2810" w:type="dxa"/>
            <w:gridSpan w:val="2"/>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10018</w:t>
              <w:br/>
            </w:r>
            <w:r>
              <w:rPr>
                <w:rFonts w:ascii="Times New Roman;Times;serif" w:hAnsi="Times New Roman;Times;serif"/>
                <w:b w:val="false"/>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(212) 403-0500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val="false"/>
          <w:sz w:val="20"/>
        </w:rPr>
        <w:t>(Registrant’s telephone number, including area code)</w:t>
      </w:r>
      <w:r>
        <w:rPr>
          <w:rFonts w:ascii="Times New Roman;Times;serif" w:hAnsi="Times New Roman;Times;serif"/>
          <w:b/>
          <w:sz w:val="20"/>
        </w:rPr>
        <w:br/>
        <w:br/>
        <w:t>Not Applicable</w:t>
        <w:br/>
      </w:r>
      <w:r>
        <w:rPr>
          <w:rFonts w:ascii="Times New Roman;Times;serif" w:hAnsi="Times New Roman;Times;serif"/>
          <w:b w:val="false"/>
          <w:sz w:val="20"/>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Check the appropriate box below if the Form 8-K filing is intended to simultaneously satisfy the filing obligation of the registrant under any of the following provisions (see</w:t>
      </w:r>
      <w:r>
        <w:rPr>
          <w:rFonts w:ascii="Times New Roman;Times;serif" w:hAnsi="Times New Roman;Times;serif"/>
          <w:b/>
          <w:sz w:val="20"/>
        </w:rPr>
        <w:t xml:space="preserve"> </w:t>
      </w:r>
      <w:r>
        <w:rPr>
          <w:rFonts w:ascii="Times New Roman;Times;serif" w:hAnsi="Times New Roman;Times;serif"/>
          <w:b w:val="false"/>
          <w:sz w:val="20"/>
        </w:rPr>
        <w:t>General Instruction A.2 below):</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40"/>
              <w:jc w:val="left"/>
              <w:rPr/>
            </w:pPr>
            <w:r>
              <w:rPr/>
              <w:t>☐</w:t>
            </w:r>
          </w:p>
        </w:tc>
        <w:tc>
          <w:tcPr>
            <w:tcW w:w="741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40"/>
              <w:jc w:val="left"/>
              <w:rPr/>
            </w:pPr>
            <w:r>
              <w:rPr/>
              <w:t>☐</w:t>
            </w:r>
          </w:p>
        </w:tc>
        <w:tc>
          <w:tcPr>
            <w:tcW w:w="744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40"/>
              <w:jc w:val="left"/>
              <w:rPr/>
            </w:pPr>
            <w:r>
              <w:rPr/>
              <w:t>☐</w:t>
            </w:r>
          </w:p>
        </w:tc>
        <w:tc>
          <w:tcPr>
            <w:tcW w:w="918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40"/>
              <w:jc w:val="left"/>
              <w:rPr/>
            </w:pPr>
            <w:r>
              <w:rPr/>
              <w:t>☐</w:t>
            </w:r>
          </w:p>
        </w:tc>
        <w:tc>
          <w:tcPr>
            <w:tcW w:w="912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Pre-commencement communications pursuant to Rule 13e-4(c) under the Exchange Act (17 CFR 240.13e-4(c))</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5fLNJUbG4UulRG87cMbBAw_1_2"/>
      <w:bookmarkStart w:id="4" w:name="Tc_QRkhW89aoEyBsJQhOQbZlA_1_1"/>
      <w:bookmarkStart w:id="5" w:name="Tc_X6O_DS8ipk2ZdenVI5qRUg_1_0"/>
      <w:bookmarkStart w:id="6" w:name="_35c73e73_d4c0_4163_9aa9_a67c27541a48"/>
      <w:bookmarkStart w:id="7" w:name="Tc_5fLNJUbG4UulRG87cMbBAw_1_2"/>
      <w:bookmarkStart w:id="8" w:name="Tc_QRkhW89aoEyBsJQhOQbZlA_1_1"/>
      <w:bookmarkStart w:id="9" w:name="Tc_X6O_DS8ipk2ZdenVI5qRUg_1_0"/>
      <w:bookmarkStart w:id="10" w:name="_35c73e73_d4c0_4163_9aa9_a67c27541a48"/>
      <w:bookmarkEnd w:id="7"/>
      <w:bookmarkEnd w:id="8"/>
      <w:bookmarkEnd w:id="9"/>
      <w:bookmarkEnd w:id="10"/>
    </w:p>
    <w:tbl>
      <w:tblPr>
        <w:tblW w:w="8823" w:type="dxa"/>
        <w:jc w:val="left"/>
        <w:tblInd w:w="0" w:type="dxa"/>
        <w:tblLayout w:type="fixed"/>
        <w:tblCellMar>
          <w:top w:w="0" w:type="dxa"/>
          <w:left w:w="0" w:type="dxa"/>
          <w:bottom w:w="0" w:type="dxa"/>
          <w:right w:w="0" w:type="dxa"/>
        </w:tblCellMar>
      </w:tblPr>
      <w:tblGrid>
        <w:gridCol w:w="3496"/>
        <w:gridCol w:w="1621"/>
        <w:gridCol w:w="370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Common Stock, $0.01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GIII</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The Nasdaq Stock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12" w:space="1" w:color="000000"/>
        </w:pBdr>
        <w:bidi w:val="0"/>
        <w:spacing w:before="0" w:after="24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 Bold" w:hAnsi="Times New Roman Bold"/>
          <w:b/>
          <w:sz w:val="20"/>
        </w:rPr>
      </w:pPr>
      <w:r>
        <w:rPr>
          <w:rFonts w:ascii="Times New Roman Bold" w:hAnsi="Times New Roman Bold"/>
          <w:b/>
          <w:sz w:val="20"/>
        </w:rPr>
        <w:t>Item 1.01     Entry into a Material Definitive Agreement</w:t>
      </w:r>
    </w:p>
    <w:p>
      <w:pPr>
        <w:pStyle w:val="TextBody"/>
        <w:pBdr/>
        <w:bidi w:val="0"/>
        <w:spacing w:before="0" w:after="0"/>
        <w:ind w:left="0" w:right="0" w:hanging="144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Compensation Committee (the “Committee”) of the Board of Directors of G-III Apparel Group, Ltd. (the “Company”) awarded performance share units (“PSUs”) pursuant to the Company’s 2023 Long-Term Incentive Plan  (the “2023 Plan”), to the named executive officers of the Company (the “Named Executive Officers”) in the amounts specified in the table below. The PSUs will enable the Named Executive Officers to receive shares of our common stock if and to the extent that the PSU awards vest based on the Company’s performance against two metrics:  three-year cumulative earnings before interest and taxes (“Adjusted EBIT”) and three-year average return on invested capital (“ROIC”), each of which is described further below.  The actual number of PSUs that may vest is subject to adjustment based on the performance level achieved relative to each metric, as described further below, and therefore may be equal to, greater than, or less than the “Number of PSUs Awarded” specified in the table.</w:t>
      </w:r>
    </w:p>
    <w:p>
      <w:pPr>
        <w:pStyle w:val="TextBody"/>
        <w:bidi w:val="0"/>
        <w:spacing w:before="0" w:after="120"/>
        <w:ind w:left="0" w:right="0" w:firstLine="36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i/>
          <w:sz w:val="20"/>
        </w:rPr>
        <w:t>PSUs Awarded</w:t>
      </w:r>
    </w:p>
    <w:p>
      <w:pPr>
        <w:pStyle w:val="TextBody"/>
        <w:bidi w:val="0"/>
        <w:spacing w:before="0" w:after="120"/>
        <w:ind w:left="0" w:right="0" w:firstLine="360"/>
        <w:jc w:val="both"/>
        <w:rPr/>
      </w:pPr>
      <w:r>
        <w:rPr/>
        <w:t>​</w:t>
      </w:r>
    </w:p>
    <w:tbl>
      <w:tblPr>
        <w:tblW w:w="7712" w:type="dxa"/>
        <w:jc w:val="left"/>
        <w:tblInd w:w="0" w:type="dxa"/>
        <w:tblLayout w:type="fixed"/>
        <w:tblCellMar>
          <w:top w:w="0" w:type="dxa"/>
          <w:left w:w="0" w:type="dxa"/>
          <w:bottom w:w="0" w:type="dxa"/>
          <w:right w:w="0" w:type="dxa"/>
        </w:tblCellMar>
      </w:tblPr>
      <w:tblGrid>
        <w:gridCol w:w="5371"/>
        <w:gridCol w:w="2341"/>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283"/>
              <w:ind w:left="0" w:right="0" w:hanging="0"/>
              <w:jc w:val="left"/>
              <w:rPr>
                <w:sz w:val="4"/>
                <w:szCs w:val="4"/>
              </w:rPr>
            </w:pPr>
            <w:r>
              <w:rPr>
                <w:sz w:val="4"/>
                <w:szCs w:val="4"/>
              </w:rPr>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Name and Position(s)</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Number of PSUs Awarded</w:t>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Morris Goldfarb, Chairman, Chief Executive Officer and Director</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115,163</w:t>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Sammy Aaron, Vice Chairman, President and Director</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86,372</w:t>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Jeffrey Goldfarb, Executive Vice President and Director</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33,589</w:t>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Dana Perlman, Chief Growth and Operations Officer</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15,994</w:t>
            </w:r>
          </w:p>
        </w:tc>
      </w:tr>
      <w:tr>
        <w:trPr/>
        <w:tc>
          <w:tcPr>
            <w:tcW w:w="53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Neal S. Nackman, Chief Financial Officer</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7,997</w:t>
            </w:r>
          </w:p>
        </w:tc>
      </w:tr>
    </w:tbl>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i/>
          <w:sz w:val="20"/>
        </w:rPr>
        <w:t>Adjusted EBIT Metric</w:t>
      </w:r>
      <w:r>
        <w:rPr>
          <w:rFonts w:ascii="Times New Roman;Times;serif" w:hAnsi="Times New Roman;Times;serif"/>
          <w:sz w:val="20"/>
        </w:rPr>
        <w:t>.  Satisfaction of this metric will be based on the Company achieving a targeted aggregate cumulative Adjusted EBIT during the three-year performance period of fiscal 2027 through fiscal 2029 (the “Performance Period”). In determining Adjusted EBIT for a fiscal year, certain pre-established adjustments to financial results as reported under generally accepted accounting principles (“GAAP”) may apply in certain specified situations.</w:t>
      </w:r>
    </w:p>
    <w:p>
      <w:pPr>
        <w:pStyle w:val="TextBody"/>
        <w:bidi w:val="0"/>
        <w:spacing w:before="0" w:after="0"/>
        <w:ind w:left="0" w:right="0" w:firstLine="36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i/>
          <w:sz w:val="20"/>
        </w:rPr>
        <w:t>ROIC Metric</w:t>
      </w:r>
      <w:r>
        <w:rPr>
          <w:rFonts w:ascii="Times New Roman;Times;serif" w:hAnsi="Times New Roman;Times;serif"/>
          <w:sz w:val="20"/>
        </w:rPr>
        <w:t>.  Satisfaction of this metric will be based on the Company achieving a target average three-year ROIC during the Performance Period, reduced by a hypothetical tax rate of 28.5%. In determining ROIC for a fiscal year, certain pre-established adjustments to financial results as reported under GAAP may apply in certain specified situations.</w:t>
      </w:r>
    </w:p>
    <w:p>
      <w:pPr>
        <w:pStyle w:val="TextBody"/>
        <w:bidi w:val="0"/>
        <w:spacing w:before="0" w:after="0"/>
        <w:ind w:left="0" w:right="0" w:firstLine="36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i/>
          <w:sz w:val="20"/>
        </w:rPr>
        <w:t>Weighting of Metrics</w:t>
      </w:r>
      <w:r>
        <w:rPr>
          <w:rFonts w:ascii="Times New Roman;Times;serif" w:hAnsi="Times New Roman;Times;serif"/>
          <w:sz w:val="20"/>
        </w:rPr>
        <w:t>.  Vesting of 75% of each Named Executive Officer’s PSU award is subject to achievement of the Adjusted EBIT metric target and the remaining 25% is subject to achievement of the ROIC metric target. 100% of each Named Executive Officer’s PSU award relative to each metric would vest if the target for that metric is achieved. For example, if the Adjusted EBIT metric target is satisfied (but the target is not exceeded and there is no shortfall relative to the target), 75% of the total PSUs awarded to the Named Executive Officer would vest.</w:t>
      </w:r>
    </w:p>
    <w:p>
      <w:pPr>
        <w:pStyle w:val="TextBody"/>
        <w:bidi w:val="0"/>
        <w:spacing w:before="0" w:after="0"/>
        <w:ind w:left="0" w:right="0" w:firstLine="36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i/>
          <w:sz w:val="20"/>
        </w:rPr>
        <w:t>Upward and Downward Adjustments for Exceeding or Falling Short of Metric Targets</w:t>
      </w:r>
      <w:r>
        <w:rPr>
          <w:rFonts w:ascii="Times New Roman;Times;serif" w:hAnsi="Times New Roman;Times;serif"/>
          <w:sz w:val="20"/>
        </w:rPr>
        <w:t>.  The percentage of each Named Executive Officer’s PSU award that may vest with respect to each metric will (a) increase to a maximum of 150% of the PSUs awarded to the executive relative to that metric if the results achieved for that metric exceed the metric’s performance target by a specified amount and (b) decrease to a minimum of 50% of the PSUs awarded to the Named Executive Officer relative to that metric if results achieved for that metric fall below the metric’s performance target but still satisfy the minimum performance level for the applicable metric. The number of PSUs awarded will increase or decrease ratably if actual results are above or below a metric’s target. None of the Named Executive Officer’s PSU award will vest with respect to a metric if the results achieved are less than the minimum threshold performance level for that metric, and no more than 150% of the Named Executive Officer’s PSU award will vest with respect to a metric even if the results achieved exceed the maximum performance level for that metric.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i/>
          <w:sz w:val="20"/>
        </w:rPr>
        <w:t>Settlement Upon PSU Vesting</w:t>
      </w:r>
      <w:r>
        <w:rPr>
          <w:rFonts w:ascii="Times New Roman;Times;serif" w:hAnsi="Times New Roman;Times;serif"/>
          <w:sz w:val="20"/>
        </w:rPr>
        <w:t>.  If a Named Executive Officer’s PSUs vest based on satisfaction of the metrics as described above, settlement of the applicable award that has vested based upon the performance levels achieved will occur on or within 90 days after the time vesting date of April 15, 2029, contingent on continued employment or other service to the Company through this vesting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number of shares of common stock to which the PSU awards relate will be appropriately adjusted in the event of stock splits, stock dividends and other extraordinary corporate events.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foregoing descriptions of the terms of the PSU awards are qualified by reference to the full text of the form of Performance Share Unit Agreement for these awards under the 2023 Plan, which is filed herewith as Exhibit 10.1.</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both"/>
        <w:rPr>
          <w:rFonts w:ascii="Times New Roman Bold" w:hAnsi="Times New Roman Bold"/>
          <w:b/>
          <w:sz w:val="20"/>
        </w:rPr>
      </w:pPr>
      <w:r>
        <w:rPr>
          <w:rFonts w:ascii="Times New Roman Bold" w:hAnsi="Times New Roman Bold"/>
          <w:b/>
          <w:sz w:val="20"/>
        </w:rPr>
        <w:t>Item 5.02     Departure of Directors or Certain Officers; Election of Directors; Appointment of Certain Officers; Compensatory Arrangements of Certain Officers.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 See “Item 1.01 Entry into a Material Definitive Agreement” above with respect to PSU awards to our Named Executive Officers, Morris Goldfarb, Sammy Aaron, Jeffrey Goldfarb, Dana Perlman and Neal S. Nackman.</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t>​</w:t>
      </w:r>
    </w:p>
    <w:p>
      <w:pPr>
        <w:pStyle w:val="TextBody"/>
        <w:bidi w:val="0"/>
        <w:spacing w:before="0" w:after="120"/>
        <w:ind w:left="0" w:right="0" w:hanging="0"/>
        <w:jc w:val="both"/>
        <w:rPr>
          <w:rFonts w:ascii="Times New Roman Bold" w:hAnsi="Times New Roman Bold"/>
          <w:b/>
          <w:sz w:val="20"/>
        </w:rPr>
      </w:pPr>
      <w:r>
        <w:rPr>
          <w:rFonts w:ascii="Times New Roman Bold" w:hAnsi="Times New Roman Bold"/>
          <w:b/>
          <w:sz w:val="20"/>
        </w:rPr>
        <w:t>Item 9.01     Financial Statements and Exhibits.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firstLine="360"/>
        <w:jc w:val="both"/>
        <w:rPr/>
      </w:pPr>
      <w:r>
        <w:rPr/>
        <w:t>​</w:t>
      </w:r>
    </w:p>
    <w:p>
      <w:pPr>
        <w:pStyle w:val="TextBody"/>
        <w:bidi w:val="0"/>
        <w:spacing w:before="0" w:after="240"/>
        <w:ind w:left="0" w:right="0" w:hanging="0"/>
        <w:jc w:val="left"/>
        <w:rPr/>
      </w:pPr>
      <w:r>
        <w:rPr>
          <w:rFonts w:ascii="Times New Roman;Times;serif" w:hAnsi="Times New Roman;Times;serif"/>
          <w:b w:val="false"/>
          <w:i w:val="false"/>
          <w:caps w:val="false"/>
          <w:smallCaps w:val="false"/>
          <w:sz w:val="20"/>
        </w:rPr>
        <w:t>10.1</w:t>
      </w:r>
      <w:hyperlink w:anchor="giii-20260430xex10d1.htm">
        <w:r>
          <w:rPr>
            <w:rStyle w:val="InternetLink"/>
            <w:rFonts w:ascii="Times New Roman;Times;serif" w:hAnsi="Times New Roman;Times;serif"/>
            <w:b w:val="false"/>
            <w:i w:val="false"/>
            <w:caps w:val="false"/>
            <w:smallCaps w:val="false"/>
            <w:sz w:val="20"/>
          </w:rPr>
          <w:t>Form of Performance Share Unit Agreement for PSU awards.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the Inline XBRL document).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97" w:type="dxa"/>
        <w:jc w:val="left"/>
        <w:tblInd w:w="0" w:type="dxa"/>
        <w:tblLayout w:type="fixed"/>
        <w:tblCellMar>
          <w:top w:w="0" w:type="dxa"/>
          <w:left w:w="0" w:type="dxa"/>
          <w:bottom w:w="0" w:type="dxa"/>
          <w:right w:w="0" w:type="dxa"/>
        </w:tblCellMar>
      </w:tblPr>
      <w:tblGrid>
        <w:gridCol w:w="751"/>
        <w:gridCol w:w="6646"/>
      </w:tblGrid>
      <w:tr>
        <w:trPr/>
        <w:tc>
          <w:tcPr>
            <w:tcW w:w="751" w:type="dxa"/>
            <w:tcBorders/>
            <w:vAlign w:val="center"/>
          </w:tcPr>
          <w:p>
            <w:pPr>
              <w:pStyle w:val="TableContents"/>
              <w:bidi w:val="0"/>
              <w:spacing w:before="0" w:after="0"/>
              <w:ind w:left="0" w:right="0" w:hanging="0"/>
              <w:jc w:val="both"/>
              <w:rPr/>
            </w:pPr>
            <w:r>
              <w:rPr/>
              <w:t>​</w:t>
            </w:r>
          </w:p>
        </w:tc>
        <w:tc>
          <w:tcPr>
            <w:tcW w:w="6646" w:type="dxa"/>
            <w:tcBorders/>
            <w:vAlign w:val="center"/>
          </w:tcPr>
          <w:p>
            <w:pPr>
              <w:pStyle w:val="TableContents"/>
              <w:bidi w:val="0"/>
              <w:spacing w:before="0" w:after="0"/>
              <w:ind w:left="0" w:right="0" w:hanging="0"/>
              <w:jc w:val="both"/>
              <w:rPr/>
            </w:pPr>
            <w:r>
              <w:rPr/>
              <w:t>​</w:t>
            </w:r>
          </w:p>
        </w:tc>
      </w:tr>
      <w:tr>
        <w:trPr/>
        <w:tc>
          <w:tcPr>
            <w:tcW w:w="7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w:t>
              <w:br/>
              <w:t>No.</w:t>
            </w:r>
          </w:p>
        </w:tc>
        <w:tc>
          <w:tcPr>
            <w:tcW w:w="6646" w:type="dxa"/>
            <w:tcBorders/>
            <w:vAlign w:val="center"/>
          </w:tcPr>
          <w:p>
            <w:pPr>
              <w:pStyle w:val="TableContents"/>
              <w:bidi w:val="0"/>
              <w:spacing w:before="0" w:after="0"/>
              <w:ind w:left="0" w:right="0" w:hanging="0"/>
              <w:jc w:val="both"/>
              <w:rPr/>
            </w:pPr>
            <w:r>
              <w:rPr/>
              <w:t>​</w:t>
            </w:r>
            <w:r>
              <w:rPr>
                <w:rFonts w:ascii="Times New Roman;Times;serif" w:hAnsi="Times New Roman;Times;serif"/>
                <w:b/>
                <w:sz w:val="20"/>
              </w:rPr>
              <w:br/>
              <w:t>Description</w:t>
            </w:r>
          </w:p>
        </w:tc>
      </w:tr>
      <w:tr>
        <w:trPr/>
        <w:tc>
          <w:tcPr>
            <w:tcW w:w="7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6646" w:type="dxa"/>
            <w:tcBorders/>
            <w:vAlign w:val="center"/>
          </w:tcPr>
          <w:p>
            <w:pPr>
              <w:pStyle w:val="TableContents"/>
              <w:bidi w:val="0"/>
              <w:spacing w:before="0" w:after="0"/>
              <w:ind w:left="0" w:right="0" w:hanging="0"/>
              <w:jc w:val="both"/>
              <w:rPr/>
            </w:pPr>
            <w:hyperlink w:anchor="giii-20260430xex10d1.htm">
              <w:r>
                <w:rPr>
                  <w:rStyle w:val="InternetLink"/>
                  <w:rFonts w:ascii="Times New Roman;Times;serif" w:hAnsi="Times New Roman;Times;serif"/>
                  <w:b w:val="false"/>
                  <w:i w:val="false"/>
                  <w:caps w:val="false"/>
                  <w:smallCaps w:val="false"/>
                  <w:sz w:val="20"/>
                </w:rPr>
                <w:t>Form of Performance Share Unit Agreement for PSU awards.</w:t>
              </w:r>
            </w:hyperlink>
          </w:p>
        </w:tc>
      </w:tr>
      <w:tr>
        <w:trPr/>
        <w:tc>
          <w:tcPr>
            <w:tcW w:w="7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6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480"/>
        <w:ind w:left="0" w:right="0" w:hanging="0"/>
        <w:jc w:val="center"/>
        <w:rPr>
          <w:rFonts w:ascii="Times New Roman;Times;serif" w:hAnsi="Times New Roman;Times;serif"/>
          <w:b w:val="false"/>
          <w:sz w:val="20"/>
        </w:rPr>
      </w:pPr>
      <w:r>
        <w:rPr>
          <w:rFonts w:ascii="Times New Roman;Times;serif" w:hAnsi="Times New Roman;Times;serif"/>
          <w:b w:val="false"/>
          <w:sz w:val="20"/>
        </w:rPr>
        <w:t>SIGNATURE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278" w:type="dxa"/>
        <w:jc w:val="left"/>
        <w:tblInd w:w="0" w:type="dxa"/>
        <w:tblLayout w:type="fixed"/>
        <w:tblCellMar>
          <w:top w:w="0" w:type="dxa"/>
          <w:left w:w="0" w:type="dxa"/>
          <w:bottom w:w="0" w:type="dxa"/>
          <w:right w:w="0" w:type="dxa"/>
        </w:tblCellMar>
      </w:tblPr>
      <w:tblGrid>
        <w:gridCol w:w="1636"/>
        <w:gridCol w:w="631"/>
        <w:gridCol w:w="2011"/>
      </w:tblGrid>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4,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right"/>
        <w:rPr>
          <w:rFonts w:ascii="Times New Roman;Times;serif" w:hAnsi="Times New Roman;Times;serif"/>
          <w:b/>
          <w:sz w:val="20"/>
        </w:rPr>
      </w:pPr>
      <w:bookmarkStart w:id="11" w:name="giii-20260430xex10d1.htm"/>
      <w:bookmarkStart w:id="12" w:name="ksgiii20260430xex10d1"/>
      <w:bookmarkEnd w:id="11"/>
      <w:bookmarkEnd w:id="12"/>
      <w:r>
        <w:rPr>
          <w:rFonts w:ascii="Times New Roman;Times;serif" w:hAnsi="Times New Roman;Times;serif"/>
          <w:b/>
          <w:sz w:val="20"/>
        </w:rPr>
        <w:t>Exhibit 10.1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LONG-TERM INCENTIVE PLAN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SHARE UNIT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AGREEMENT, made as of the 30</w:t>
      </w:r>
      <w:r>
        <w:rPr>
          <w:rFonts w:ascii="Times New Roman;Times;serif" w:hAnsi="Times New Roman;Times;serif"/>
          <w:sz w:val="15"/>
        </w:rPr>
        <w:t xml:space="preserve">th </w:t>
      </w:r>
      <w:r>
        <w:rPr>
          <w:rFonts w:ascii="Times New Roman;Times;serif" w:hAnsi="Times New Roman;Times;serif"/>
          <w:sz w:val="20"/>
        </w:rPr>
        <w:t>day of April, 2026, between G-III APPAREL GROUP, LTD. (the “Company”) and __________________ (the “Participant”), pursuant to the G-III Apparel Group, Ltd. 2023 Long-Term Incentive Plan, as amended (the “Plan”). Capitalized terms that are used but not defined in this Agreement shall have the meanings given to them by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Performance Share Unit Award</w:t>
      </w:r>
      <w:r>
        <w:rPr>
          <w:rFonts w:ascii="Times New Roman;Times;serif" w:hAnsi="Times New Roman;Times;serif"/>
          <w:sz w:val="20"/>
        </w:rPr>
        <w:t>. In accordance with the Plan, the Company hereby grants to the Participant ______ performance share units (“PSUs”). Each PSU represents the right to receive one share of the Company’s common stock (a “Share”), subject to the terms and conditions of this Agreement, the Plan and the Approval (as such term is hereinafter defined) including, without limitation, the potential upward or downward adjustment in the number of Shares issued to the Participant pursuant to this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Vesting Conditions</w:t>
      </w:r>
      <w:r>
        <w:rPr>
          <w:rFonts w:ascii="Times New Roman;Times;serif" w:hAnsi="Times New Roman;Times;serif"/>
          <w:sz w:val="20"/>
        </w:rPr>
        <w:t>.  The Participant’s right to receive Shares covered by this Agreement shall become vested on April 15, 2029, subject to (i) confirmation by the Compensation Committee (the “Committee”) of the Board of Directors of the Company of the attainment of the 3-Year Cumulative Adjusted EBIT (“Adjusted EBIT”) and/or Return on Invested Capital (“ROIC”) performance conditions and the performance levels achieved, and to the other provisions set forth in Exhibit A to the minutes of the meeting of the Committee approving (the “Approval”) the grant subject to this Agreement and (ii) the Participant’s continuous employment or other service with the Company through the vesting date.  The terms of this grant including the Adjusted EBIT and ROIC performance conditions; upward (up to a maximum award of 150% of the number of Shares) or downward (to the minimum award of 50% of the number of Shares) adjustments to the number of Shares earned, absence of vesting of any PSU shares if the minimum thresholds with respect to the performance conditions are not attained, based on actual performance compared to the performance conditions; the percentage of Shares earned based on satisfaction of the Adjusted EBIT or ROIC performance condition; accounting adjustments provided for in determining Adjusted EBIT and ROIC; and other matters related to the PSUs are all as set forth in the Approval.  All determinations with respect to the satisfaction of the Adjusted EBIT or ROIC performance condition and the other matters set forth in the Approval shall be made by the Committee and shall be in accordance with the terms set forth in the Approval.</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Settlement of PSUs.</w:t>
      </w:r>
      <w:r>
        <w:rPr>
          <w:rFonts w:ascii="Times New Roman;Times;serif" w:hAnsi="Times New Roman;Times;serif"/>
          <w:sz w:val="20"/>
        </w:rPr>
        <w:t xml:space="preserve"> If and when PSUs become vested, the Participant will have the right to receive a corresponding number of whole Shares from the Company in full settlement of such vested PSUs, unless the Committee shall decide to settle such award in cash, or a combination of Shares and cash, with any cash paid in lieu of Shares based on the Fair Market Value of such Shares on the vesting date. Such Shares will be issued and delivered in certificated or electronic form, or if applicable such cash paid, as soon as practicable after the applicable PSU vesting date (but not more than 90 days after such date and in no event later than March 15 of the year following the year in which the vesting date occurs), subject to any applicable tax withholding and other conditions set forth in the Plan, this Agreement and/or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Termination of Employment or Service</w:t>
      </w:r>
      <w:r>
        <w:rPr>
          <w:rFonts w:ascii="Times New Roman;Times;serif" w:hAnsi="Times New Roman;Times;serif"/>
          <w:sz w:val="20"/>
        </w:rPr>
        <w:t>. Upon the termination of the Participant’s employment or other service with the Company, any unvested PSUs then covered by this Agreement shall be canceled and the Participant shall have no further rights with respect thereto. For the avoidance of doubt, in the event of a Change in Control, the provisions set forth in Article 9 of the Plan shall apply.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No Rights as a Shareholder</w:t>
      </w:r>
      <w:r>
        <w:rPr>
          <w:rFonts w:ascii="Times New Roman;Times;serif" w:hAnsi="Times New Roman;Times;serif"/>
          <w:sz w:val="20"/>
        </w:rPr>
        <w:t>. Other than any special dividends (which shall be credited with respect to the PSUs hereunder in accordance with Section 6.4 of the Plan), the Participant shall have no ownership or other rights of a stockholder with respect to Shares underlying the PSUs (including any right to receive regular annual dividends or to vote such Shares) unless and until such Shares are issued to the Participant in settlement of vested PSUs.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Tax Withholding</w:t>
      </w:r>
      <w:r>
        <w:rPr>
          <w:rFonts w:ascii="Times New Roman;Times;serif" w:hAnsi="Times New Roman;Times;serif"/>
          <w:sz w:val="20"/>
        </w:rPr>
        <w:t>. Prior to any settlement of vested PSUs, the Participant shall be required to pay or make adequate arrangements satisfactory to the Company for the payment of all applicable tax withholding obligations. The Participant hereby authorizes the Company to satisfy all or part of the amount of such tax withholding obligations by deducting such amount from cash compensation or other payments that would otherwise be owed to the Participant. The Committee, acting in its sole discretion and pursuant to applicable law, may permit the Participant to satisfy any such tax withholding obligations with Shares that would otherwise be issued to the Participant in settlement of vested PSUs, and/or with previously-owned shares of the Company’s common stock held by the Participant. The amount of the Participant’s tax withholding obligation that is satisfied in shares of the Company’s common stock, if any, shall be based upon the Fair Market Value of such shares on the date such shares are delivered or withheld.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- 1</w:t>
      </w:r>
      <w:r>
        <w:rPr>
          <w:rFonts w:ascii="Times New Roman;Times;serif" w:hAnsi="Times New Roman;Times;serif"/>
          <w:sz w:val="20"/>
        </w:rPr>
        <w:t xml:space="preserve">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7.         </w:t>
      </w:r>
      <w:r>
        <w:rPr>
          <w:rFonts w:ascii="Times New Roman;Times;serif" w:hAnsi="Times New Roman;Times;serif"/>
          <w:sz w:val="20"/>
          <w:u w:val="single"/>
        </w:rPr>
        <w:t>Restrictions on Transfer</w:t>
      </w:r>
      <w:r>
        <w:rPr>
          <w:rFonts w:ascii="Times New Roman;Times;serif" w:hAnsi="Times New Roman;Times;serif"/>
          <w:sz w:val="20"/>
        </w:rPr>
        <w:t>. Except as otherwise permitted by the Committee acting in its discretion under the Plan, the PSUs and the Participant’s right to receive Shares in settlement of vested PSUs may not be sold, assigned, transferred, pledged or otherwise alienated or disposed of (except by will or the laws of descent and distribution), and may not become subject to attachment, garnishment, execution or other legal or equitable process, and any attempt to do so shall be null and void.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8.         </w:t>
      </w:r>
      <w:r>
        <w:rPr>
          <w:rFonts w:ascii="Times New Roman;Times;serif" w:hAnsi="Times New Roman;Times;serif"/>
          <w:sz w:val="20"/>
          <w:u w:val="single"/>
        </w:rPr>
        <w:t>No Other Rights Conferred</w:t>
      </w:r>
      <w:r>
        <w:rPr>
          <w:rFonts w:ascii="Times New Roman;Times;serif" w:hAnsi="Times New Roman;Times;serif"/>
          <w:sz w:val="20"/>
        </w:rPr>
        <w:t>. Nothing contained herein shall be deemed to give the Participant a right to be retained in the employ or other service of the Company or any affiliate or affect the right of the Company and its affiliates to terminate or amend the terms and conditions of the Participant’s employment or other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9.       </w:t>
      </w:r>
      <w:r>
        <w:rPr>
          <w:rFonts w:ascii="Times New Roman;Times;serif" w:hAnsi="Times New Roman;Times;serif"/>
          <w:sz w:val="20"/>
          <w:u w:val="single"/>
        </w:rPr>
        <w:t>Provisions of the Plan Control</w:t>
      </w:r>
      <w:r>
        <w:rPr>
          <w:rFonts w:ascii="Times New Roman;Times;serif" w:hAnsi="Times New Roman;Times;serif"/>
          <w:sz w:val="20"/>
        </w:rPr>
        <w:t>. The provisions of the Plan, the terms of which are incorporated in this Agreement, shall govern if and to the extent that there are inconsistencies between those provisions and the provisions 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sz w:val="20"/>
          <w:u w:val="single"/>
        </w:rPr>
        <w:t>Successors</w:t>
      </w:r>
      <w:r>
        <w:rPr>
          <w:rFonts w:ascii="Times New Roman;Times;serif" w:hAnsi="Times New Roman;Times;serif"/>
          <w:sz w:val="20"/>
        </w:rPr>
        <w:t>. This Agreement shall be binding upon and shall inure to the benefit of the parties hereto and their respective successors and permitted assigns.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Entire Agreement</w:t>
      </w:r>
      <w:r>
        <w:rPr>
          <w:rFonts w:ascii="Times New Roman;Times;serif" w:hAnsi="Times New Roman;Times;serif"/>
          <w:sz w:val="20"/>
        </w:rPr>
        <w:t>. This Agreement constitutes the entire agreement between the parties with respect to the subject matter hereof and may not be modified except by written instrument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sz w:val="20"/>
          <w:u w:val="single"/>
        </w:rPr>
        <w:t>Governing Law</w:t>
      </w:r>
      <w:r>
        <w:rPr>
          <w:rFonts w:ascii="Times New Roman;Times;serif" w:hAnsi="Times New Roman;Times;serif"/>
          <w:sz w:val="20"/>
        </w:rPr>
        <w:t>. This Agreement shall be governed by the laws of the State of Delaware, without regard to its principles of conflict of laws.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13.       </w:t>
      </w:r>
      <w:r>
        <w:rPr>
          <w:rFonts w:ascii="Times New Roman;Times;serif" w:hAnsi="Times New Roman;Times;serif"/>
          <w:sz w:val="20"/>
          <w:u w:val="single"/>
        </w:rPr>
        <w:t>Counterparts</w:t>
      </w:r>
      <w:r>
        <w:rPr>
          <w:rFonts w:ascii="Times New Roman;Times;serif" w:hAnsi="Times New Roman;Times;serif"/>
          <w:sz w:val="20"/>
        </w:rPr>
        <w:t>. This Agreement may be executed in separate counterparts, each of which will be an original and all of which taken together shall constitute one and the same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49" w:type="dxa"/>
        <w:jc w:val="left"/>
        <w:tblInd w:w="0" w:type="dxa"/>
        <w:tblLayout w:type="fixed"/>
        <w:tblCellMar>
          <w:top w:w="0" w:type="dxa"/>
          <w:left w:w="0" w:type="dxa"/>
          <w:bottom w:w="0" w:type="dxa"/>
          <w:right w:w="0" w:type="dxa"/>
        </w:tblCellMar>
      </w:tblPr>
      <w:tblGrid>
        <w:gridCol w:w="124"/>
        <w:gridCol w:w="1816"/>
        <w:gridCol w:w="80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153160" cy="175260"/>
                      <wp:effectExtent l="0" t="0" r="0" b="0"/>
                      <wp:wrapNone/>
                      <wp:docPr id="2" name="Frame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3715" cy="175260"/>
                      <wp:effectExtent l="0" t="0" r="0" b="0"/>
                      <wp:wrapNone/>
                      <wp:docPr id="3" name="Frame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- 2</w:t>
      </w:r>
      <w:r>
        <w:rPr>
          <w:rFonts w:ascii="Times New Roman;Times;serif" w:hAnsi="Times New Roman;Times;serif"/>
          <w:sz w:val="20"/>
        </w:rPr>
        <w:t xml:space="preserve"> </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2399</Words>
  <Characters>12629</Characters>
  <CharactersWithSpaces>15119</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