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4"/>
          <w:szCs w:val="24"/>
          <w:color w:val="auto"/>
        </w:rPr>
      </w:pPr>
    </w:p>
    <w:p>
      <w:pPr>
        <w:spacing w:after="0" w:line="338" w:lineRule="exact"/>
        <w:rPr>
          <w:sz w:val="24"/>
          <w:szCs w:val="24"/>
          <w:color w:val="auto"/>
        </w:rPr>
      </w:pPr>
    </w:p>
    <w:p>
      <w:pPr>
        <w:jc w:val="center"/>
        <w:ind w:right="-440"/>
        <w:spacing w:after="0"/>
        <w:rPr>
          <w:sz w:val="20"/>
          <w:szCs w:val="20"/>
          <w:color w:val="auto"/>
        </w:rPr>
      </w:pPr>
      <w:r>
        <w:rPr>
          <w:rFonts w:ascii="Arial" w:cs="Arial" w:eastAsia="Arial" w:hAnsi="Arial"/>
          <w:sz w:val="27"/>
          <w:szCs w:val="27"/>
          <w:b w:val="1"/>
          <w:bCs w:val="1"/>
          <w:color w:val="auto"/>
        </w:rPr>
        <w:t>UNITED STATES</w:t>
      </w:r>
    </w:p>
    <w:p>
      <w:pPr>
        <w:spacing w:after="0" w:line="28" w:lineRule="exact"/>
        <w:rPr>
          <w:sz w:val="24"/>
          <w:szCs w:val="24"/>
          <w:color w:val="auto"/>
        </w:rPr>
      </w:pPr>
    </w:p>
    <w:p>
      <w:pPr>
        <w:jc w:val="center"/>
        <w:ind w:right="-440"/>
        <w:spacing w:after="0"/>
        <w:rPr>
          <w:sz w:val="20"/>
          <w:szCs w:val="20"/>
          <w:color w:val="auto"/>
        </w:rPr>
      </w:pPr>
      <w:r>
        <w:rPr>
          <w:rFonts w:ascii="Arial" w:cs="Arial" w:eastAsia="Arial" w:hAnsi="Arial"/>
          <w:sz w:val="26"/>
          <w:szCs w:val="26"/>
          <w:b w:val="1"/>
          <w:bCs w:val="1"/>
          <w:color w:val="auto"/>
        </w:rPr>
        <w:t>SECURITIES AND EXCHANGE COMMISSION</w:t>
      </w:r>
    </w:p>
    <w:p>
      <w:pPr>
        <w:spacing w:after="0" w:line="9" w:lineRule="exact"/>
        <w:rPr>
          <w:sz w:val="24"/>
          <w:szCs w:val="24"/>
          <w:color w:val="auto"/>
        </w:rPr>
      </w:pPr>
    </w:p>
    <w:p>
      <w:pPr>
        <w:ind w:left="3840"/>
        <w:spacing w:after="0"/>
        <w:rPr>
          <w:sz w:val="20"/>
          <w:szCs w:val="20"/>
          <w:color w:val="auto"/>
        </w:rPr>
      </w:pPr>
      <w:r>
        <w:rPr>
          <w:rFonts w:ascii="Arial" w:cs="Arial" w:eastAsia="Arial" w:hAnsi="Arial"/>
          <w:sz w:val="20"/>
          <w:szCs w:val="20"/>
          <w:b w:val="1"/>
          <w:bCs w:val="1"/>
          <w:color w:val="auto"/>
        </w:rPr>
        <w:t>Washington, D.C. 20549</w:t>
      </w:r>
    </w:p>
    <w:p>
      <w:pPr>
        <w:spacing w:after="0" w:line="109" w:lineRule="exact"/>
        <w:rPr>
          <w:sz w:val="24"/>
          <w:szCs w:val="24"/>
          <w:color w:val="auto"/>
        </w:rPr>
      </w:pPr>
    </w:p>
    <w:p>
      <w:pPr>
        <w:jc w:val="center"/>
        <w:ind w:right="-440"/>
        <w:spacing w:after="0"/>
        <w:rPr>
          <w:sz w:val="20"/>
          <w:szCs w:val="20"/>
          <w:color w:val="auto"/>
        </w:rPr>
      </w:pPr>
      <w:r>
        <w:rPr>
          <w:rFonts w:ascii="Arial" w:cs="Arial" w:eastAsia="Arial" w:hAnsi="Arial"/>
          <w:sz w:val="27"/>
          <w:szCs w:val="27"/>
          <w:b w:val="1"/>
          <w:bCs w:val="1"/>
          <w:color w:val="auto"/>
        </w:rPr>
        <w:t>SCHEDULE 14A</w:t>
      </w:r>
    </w:p>
    <w:p>
      <w:pPr>
        <w:spacing w:after="0" w:line="39" w:lineRule="exact"/>
        <w:rPr>
          <w:sz w:val="24"/>
          <w:szCs w:val="24"/>
          <w:color w:val="auto"/>
        </w:rPr>
      </w:pPr>
    </w:p>
    <w:p>
      <w:pPr>
        <w:jc w:val="center"/>
        <w:ind w:right="-440"/>
        <w:spacing w:after="0"/>
        <w:rPr>
          <w:sz w:val="20"/>
          <w:szCs w:val="20"/>
          <w:color w:val="auto"/>
        </w:rPr>
      </w:pPr>
      <w:r>
        <w:rPr>
          <w:rFonts w:ascii="Arial" w:cs="Arial" w:eastAsia="Arial" w:hAnsi="Arial"/>
          <w:sz w:val="20"/>
          <w:szCs w:val="20"/>
          <w:b w:val="1"/>
          <w:bCs w:val="1"/>
          <w:color w:val="auto"/>
        </w:rPr>
        <w:t>Proxy Statement Pursuant to Section 14(a) of the</w:t>
      </w:r>
    </w:p>
    <w:p>
      <w:pPr>
        <w:jc w:val="center"/>
        <w:ind w:right="-440"/>
        <w:spacing w:after="0" w:line="225" w:lineRule="auto"/>
        <w:rPr>
          <w:sz w:val="20"/>
          <w:szCs w:val="20"/>
          <w:color w:val="auto"/>
        </w:rPr>
      </w:pPr>
      <w:r>
        <w:rPr>
          <w:rFonts w:ascii="Arial" w:cs="Arial" w:eastAsia="Arial" w:hAnsi="Arial"/>
          <w:sz w:val="20"/>
          <w:szCs w:val="20"/>
          <w:b w:val="1"/>
          <w:bCs w:val="1"/>
          <w:color w:val="auto"/>
        </w:rPr>
        <w:t>Securities Exchange Act of 1934</w:t>
      </w:r>
    </w:p>
    <w:p>
      <w:pPr>
        <w:jc w:val="center"/>
        <w:ind w:right="-440"/>
        <w:spacing w:after="0"/>
        <w:rPr>
          <w:sz w:val="20"/>
          <w:szCs w:val="20"/>
          <w:color w:val="auto"/>
        </w:rPr>
      </w:pPr>
      <w:r>
        <w:rPr>
          <w:rFonts w:ascii="Arial" w:cs="Arial" w:eastAsia="Arial" w:hAnsi="Arial"/>
          <w:sz w:val="20"/>
          <w:szCs w:val="20"/>
          <w:b w:val="1"/>
          <w:bCs w:val="1"/>
          <w:color w:val="auto"/>
        </w:rPr>
        <w:t>(Amendment No.)</w:t>
      </w:r>
    </w:p>
    <w:p>
      <w:pPr>
        <w:spacing w:after="0" w:line="345" w:lineRule="exact"/>
        <w:rPr>
          <w:sz w:val="24"/>
          <w:szCs w:val="24"/>
          <w:color w:val="auto"/>
        </w:rPr>
      </w:pPr>
    </w:p>
    <w:p>
      <w:pPr>
        <w:spacing w:after="0" w:line="215" w:lineRule="exact"/>
        <w:tabs>
          <w:tab w:leader="none" w:pos="3140" w:val="left"/>
        </w:tabs>
        <w:rPr>
          <w:sz w:val="20"/>
          <w:szCs w:val="20"/>
          <w:color w:val="auto"/>
        </w:rPr>
      </w:pPr>
      <w:r>
        <w:rPr>
          <w:rFonts w:ascii="Arial" w:cs="Arial" w:eastAsia="Arial" w:hAnsi="Arial"/>
          <w:sz w:val="16"/>
          <w:szCs w:val="16"/>
          <w:color w:val="auto"/>
        </w:rPr>
        <w:t xml:space="preserve">Filed by the Registrant </w:t>
      </w:r>
      <w:r>
        <w:rPr>
          <w:rFonts w:ascii="Arial Unicode MS" w:cs="Arial Unicode MS" w:eastAsia="Arial Unicode MS" w:hAnsi="Arial Unicode MS"/>
          <w:sz w:val="16"/>
          <w:szCs w:val="16"/>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Arial Unicode MS" w:cs="Arial Unicode MS" w:eastAsia="Arial Unicode MS" w:hAnsi="Arial Unicode MS"/>
          <w:sz w:val="16"/>
          <w:szCs w:val="16"/>
          <w:color w:val="auto"/>
        </w:rPr>
        <w:t>☐</w:t>
      </w:r>
    </w:p>
    <w:p>
      <w:pPr>
        <w:spacing w:after="0" w:line="199"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p>
      <w:pPr>
        <w:spacing w:after="0" w:line="208" w:lineRule="exact"/>
        <w:rPr>
          <w:sz w:val="24"/>
          <w:szCs w:val="24"/>
          <w:color w:val="auto"/>
        </w:rPr>
      </w:pPr>
    </w:p>
    <w:p>
      <w:pPr>
        <w:ind w:left="500" w:hanging="491"/>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Preliminary Proxy Statement</w:t>
      </w:r>
    </w:p>
    <w:p>
      <w:pPr>
        <w:spacing w:after="0" w:line="42" w:lineRule="exact"/>
        <w:rPr>
          <w:rFonts w:ascii="Arial" w:cs="Arial" w:eastAsia="Arial" w:hAnsi="Arial"/>
          <w:sz w:val="16"/>
          <w:szCs w:val="16"/>
          <w:color w:val="auto"/>
        </w:rPr>
      </w:pPr>
    </w:p>
    <w:p>
      <w:pPr>
        <w:ind w:left="500" w:hanging="491"/>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Confidential, for Use of the Commission Only (as permitted by Rule 14a-6(e)(2))</w:t>
      </w:r>
    </w:p>
    <w:p>
      <w:pPr>
        <w:spacing w:after="0" w:line="8" w:lineRule="exact"/>
        <w:rPr>
          <w:rFonts w:ascii="Arial" w:cs="Arial" w:eastAsia="Arial" w:hAnsi="Arial"/>
          <w:sz w:val="16"/>
          <w:szCs w:val="16"/>
          <w:color w:val="auto"/>
        </w:rPr>
      </w:pPr>
    </w:p>
    <w:p>
      <w:pPr>
        <w:spacing w:after="0" w:line="215" w:lineRule="exact"/>
        <w:rPr>
          <w:rFonts w:ascii="Arial" w:cs="Arial" w:eastAsia="Arial" w:hAnsi="Arial"/>
          <w:sz w:val="16"/>
          <w:szCs w:val="16"/>
          <w:color w:val="auto"/>
        </w:rPr>
      </w:pPr>
      <w:r>
        <w:rPr>
          <w:rFonts w:ascii="Arial Unicode MS" w:cs="Arial Unicode MS" w:eastAsia="Arial Unicode MS" w:hAnsi="Arial Unicode MS"/>
          <w:sz w:val="16"/>
          <w:szCs w:val="16"/>
          <w:color w:val="auto"/>
        </w:rPr>
        <w:t>⌧</w:t>
      </w:r>
      <w:r>
        <w:rPr>
          <w:rFonts w:ascii="Arial" w:cs="Arial" w:eastAsia="Arial" w:hAnsi="Arial"/>
          <w:sz w:val="16"/>
          <w:szCs w:val="16"/>
          <w:color w:val="auto"/>
        </w:rPr>
        <w:t>Definitive Proxy Statement</w:t>
      </w:r>
    </w:p>
    <w:p>
      <w:pPr>
        <w:spacing w:after="0" w:line="75" w:lineRule="exact"/>
        <w:rPr>
          <w:rFonts w:ascii="Arial" w:cs="Arial" w:eastAsia="Arial" w:hAnsi="Arial"/>
          <w:sz w:val="16"/>
          <w:szCs w:val="16"/>
          <w:color w:val="auto"/>
        </w:rPr>
      </w:pPr>
    </w:p>
    <w:p>
      <w:pPr>
        <w:ind w:left="500" w:hanging="491"/>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Definitive Additional Materials</w:t>
      </w:r>
    </w:p>
    <w:p>
      <w:pPr>
        <w:spacing w:after="0" w:line="42" w:lineRule="exact"/>
        <w:rPr>
          <w:rFonts w:ascii="Arial" w:cs="Arial" w:eastAsia="Arial" w:hAnsi="Arial"/>
          <w:sz w:val="16"/>
          <w:szCs w:val="16"/>
          <w:color w:val="auto"/>
        </w:rPr>
      </w:pPr>
    </w:p>
    <w:p>
      <w:pPr>
        <w:ind w:left="500" w:hanging="491"/>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 240.14a-12</w:t>
      </w:r>
    </w:p>
    <w:p>
      <w:pPr>
        <w:spacing w:after="0" w:line="391" w:lineRule="exact"/>
        <w:rPr>
          <w:sz w:val="24"/>
          <w:szCs w:val="24"/>
          <w:color w:val="auto"/>
        </w:rPr>
      </w:pPr>
    </w:p>
    <w:p>
      <w:pPr>
        <w:jc w:val="center"/>
        <w:ind w:right="-440"/>
        <w:spacing w:after="0"/>
        <w:rPr>
          <w:sz w:val="20"/>
          <w:szCs w:val="20"/>
          <w:color w:val="auto"/>
        </w:rPr>
      </w:pPr>
      <w:r>
        <w:rPr>
          <w:rFonts w:ascii="Arial" w:cs="Arial" w:eastAsia="Arial" w:hAnsi="Arial"/>
          <w:sz w:val="32"/>
          <w:szCs w:val="32"/>
          <w:b w:val="1"/>
          <w:bCs w:val="1"/>
          <w:color w:val="auto"/>
        </w:rPr>
        <w:t>G-III APPAREL GROUP, LTD.</w:t>
      </w:r>
    </w:p>
    <w:p>
      <w:pPr>
        <w:spacing w:after="0" w:line="42" w:lineRule="exact"/>
        <w:rPr>
          <w:sz w:val="24"/>
          <w:szCs w:val="24"/>
          <w:color w:val="auto"/>
        </w:rPr>
      </w:pPr>
    </w:p>
    <w:p>
      <w:pPr>
        <w:jc w:val="center"/>
        <w:ind w:right="-440"/>
        <w:spacing w:after="0"/>
        <w:rPr>
          <w:sz w:val="20"/>
          <w:szCs w:val="20"/>
          <w:color w:val="auto"/>
        </w:rPr>
      </w:pPr>
      <w:r>
        <w:rPr>
          <w:rFonts w:ascii="Arial" w:cs="Arial" w:eastAsia="Arial" w:hAnsi="Arial"/>
          <w:sz w:val="16"/>
          <w:szCs w:val="16"/>
          <w:b w:val="1"/>
          <w:bCs w:val="1"/>
          <w:color w:val="auto"/>
        </w:rPr>
        <w:t>(Name of Registrant as Specified In Its Charter)</w:t>
      </w:r>
    </w:p>
    <w:p>
      <w:pPr>
        <w:spacing w:after="0" w:line="93" w:lineRule="exact"/>
        <w:rPr>
          <w:sz w:val="24"/>
          <w:szCs w:val="24"/>
          <w:color w:val="auto"/>
        </w:rPr>
      </w:pPr>
    </w:p>
    <w:p>
      <w:pPr>
        <w:ind w:left="2820"/>
        <w:spacing w:after="0"/>
        <w:rPr>
          <w:sz w:val="20"/>
          <w:szCs w:val="20"/>
          <w:color w:val="auto"/>
        </w:rPr>
      </w:pPr>
      <w:r>
        <w:rPr>
          <w:rFonts w:ascii="Arial" w:cs="Arial" w:eastAsia="Arial" w:hAnsi="Arial"/>
          <w:sz w:val="13"/>
          <w:szCs w:val="13"/>
          <w:b w:val="1"/>
          <w:bCs w:val="1"/>
          <w:color w:val="auto"/>
        </w:rPr>
        <w:t>(Name of Person(s) Filing Proxy Statement, if other than the Registrant)</w:t>
      </w:r>
    </w:p>
    <w:p>
      <w:pPr>
        <w:spacing w:after="0" w:line="178" w:lineRule="exact"/>
        <w:rPr>
          <w:sz w:val="24"/>
          <w:szCs w:val="24"/>
          <w:color w:val="auto"/>
        </w:rPr>
      </w:pPr>
    </w:p>
    <w:p>
      <w:pPr>
        <w:spacing w:after="0"/>
        <w:rPr>
          <w:sz w:val="20"/>
          <w:szCs w:val="20"/>
          <w:color w:val="auto"/>
        </w:rPr>
      </w:pPr>
      <w:r>
        <w:rPr>
          <w:rFonts w:ascii="Arial" w:cs="Arial" w:eastAsia="Arial" w:hAnsi="Arial"/>
          <w:sz w:val="16"/>
          <w:szCs w:val="16"/>
          <w:color w:val="auto"/>
        </w:rPr>
        <w:t>Payment of filing fee (Check the appropriate box):</w:t>
      </w:r>
    </w:p>
    <w:p>
      <w:pPr>
        <w:spacing w:after="0" w:line="59" w:lineRule="exact"/>
        <w:rPr>
          <w:sz w:val="24"/>
          <w:szCs w:val="24"/>
          <w:color w:val="auto"/>
        </w:rPr>
      </w:pPr>
    </w:p>
    <w:p>
      <w:pPr>
        <w:ind w:left="520" w:hanging="511"/>
        <w:spacing w:after="0"/>
        <w:tabs>
          <w:tab w:leader="none" w:pos="520" w:val="left"/>
        </w:tabs>
        <w:numPr>
          <w:ilvl w:val="0"/>
          <w:numId w:val="2"/>
        </w:numPr>
        <w:rPr>
          <w:rFonts w:ascii="Arial" w:cs="Arial" w:eastAsia="Arial" w:hAnsi="Arial"/>
          <w:sz w:val="16"/>
          <w:szCs w:val="16"/>
          <w:color w:val="auto"/>
        </w:rPr>
      </w:pPr>
      <w:r>
        <w:rPr>
          <w:rFonts w:ascii="Arial" w:cs="Arial" w:eastAsia="Arial" w:hAnsi="Arial"/>
          <w:sz w:val="16"/>
          <w:szCs w:val="16"/>
          <w:color w:val="auto"/>
        </w:rPr>
        <w:t>No fee required.</w:t>
      </w:r>
    </w:p>
    <w:p>
      <w:pPr>
        <w:spacing w:after="0" w:line="96" w:lineRule="exact"/>
        <w:rPr>
          <w:sz w:val="24"/>
          <w:szCs w:val="24"/>
          <w:color w:val="auto"/>
        </w:rPr>
      </w:pPr>
    </w:p>
    <w:p>
      <w:pPr>
        <w:ind w:left="520" w:hanging="511"/>
        <w:spacing w:after="0"/>
        <w:tabs>
          <w:tab w:leader="none" w:pos="520" w:val="left"/>
        </w:tabs>
        <w:numPr>
          <w:ilvl w:val="0"/>
          <w:numId w:val="3"/>
        </w:numPr>
        <w:rPr>
          <w:rFonts w:ascii="Arial" w:cs="Arial" w:eastAsia="Arial" w:hAnsi="Arial"/>
          <w:sz w:val="16"/>
          <w:szCs w:val="16"/>
          <w:color w:val="auto"/>
        </w:rPr>
      </w:pPr>
      <w:r>
        <w:rPr>
          <w:rFonts w:ascii="Arial" w:cs="Arial" w:eastAsia="Arial" w:hAnsi="Arial"/>
          <w:sz w:val="16"/>
          <w:szCs w:val="16"/>
          <w:color w:val="auto"/>
        </w:rPr>
        <w:t>Fee paid previously with preliminary materials.</w:t>
      </w:r>
    </w:p>
    <w:p>
      <w:pPr>
        <w:spacing w:after="0" w:line="123" w:lineRule="exact"/>
        <w:rPr>
          <w:rFonts w:ascii="Arial" w:cs="Arial" w:eastAsia="Arial" w:hAnsi="Arial"/>
          <w:sz w:val="16"/>
          <w:szCs w:val="16"/>
          <w:color w:val="auto"/>
        </w:rPr>
      </w:pPr>
    </w:p>
    <w:p>
      <w:pPr>
        <w:ind w:left="520" w:hanging="511"/>
        <w:spacing w:after="0"/>
        <w:tabs>
          <w:tab w:leader="none" w:pos="520" w:val="left"/>
        </w:tabs>
        <w:numPr>
          <w:ilvl w:val="0"/>
          <w:numId w:val="3"/>
        </w:numPr>
        <w:rPr>
          <w:rFonts w:ascii="Arial" w:cs="Arial" w:eastAsia="Arial" w:hAnsi="Arial"/>
          <w:sz w:val="16"/>
          <w:szCs w:val="16"/>
          <w:color w:val="auto"/>
        </w:rPr>
      </w:pPr>
      <w:r>
        <w:rPr>
          <w:rFonts w:ascii="Arial" w:cs="Arial" w:eastAsia="Arial" w:hAnsi="Arial"/>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867410</wp:posOffset>
            </wp:positionV>
            <wp:extent cx="629221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661"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1346200</wp:posOffset>
            </wp:positionV>
            <wp:extent cx="1543050" cy="1045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43050" cy="1045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59"/>
        <w:spacing w:after="0"/>
        <w:rPr>
          <w:sz w:val="20"/>
          <w:szCs w:val="20"/>
          <w:color w:val="auto"/>
        </w:rPr>
      </w:pPr>
      <w:r>
        <w:rPr>
          <w:rFonts w:ascii="Arial" w:cs="Arial" w:eastAsia="Arial" w:hAnsi="Arial"/>
          <w:sz w:val="76"/>
          <w:szCs w:val="76"/>
          <w:color w:val="4A7EBB"/>
        </w:rPr>
        <w:t>2026</w:t>
      </w:r>
    </w:p>
    <w:p>
      <w:pPr>
        <w:spacing w:after="0" w:line="68" w:lineRule="exact"/>
        <w:rPr>
          <w:sz w:val="20"/>
          <w:szCs w:val="20"/>
          <w:color w:val="auto"/>
        </w:rPr>
      </w:pPr>
    </w:p>
    <w:p>
      <w:pPr>
        <w:jc w:val="center"/>
        <w:ind w:left="1040"/>
        <w:spacing w:after="0" w:line="253" w:lineRule="auto"/>
        <w:rPr>
          <w:sz w:val="20"/>
          <w:szCs w:val="20"/>
          <w:color w:val="auto"/>
        </w:rPr>
      </w:pPr>
      <w:r>
        <w:rPr>
          <w:rFonts w:ascii="Arial" w:cs="Arial" w:eastAsia="Arial" w:hAnsi="Arial"/>
          <w:sz w:val="40"/>
          <w:szCs w:val="40"/>
          <w:color w:val="auto"/>
        </w:rPr>
        <w:t>NOTICE OF ANNUAL MEETING OF STOCKHOLDERS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734695</wp:posOffset>
            </wp:positionV>
            <wp:extent cx="629221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2714625</wp:posOffset>
            </wp:positionH>
            <wp:positionV relativeFrom="paragraph">
              <wp:posOffset>360045</wp:posOffset>
            </wp:positionV>
            <wp:extent cx="874395" cy="471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74395"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G-III APPAREL GROUP, LTD.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512 SEVENTH AVENUE</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NEW YORK, NEW YORK 10018</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194"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You are cordially invited to attend the Annual Meeting of Stockholders of G-III Apparel Group, Ltd. which will be held on Thursday, June 11, 2026 at 10:00 a.m., New York time, at the offices of Paul, Weiss, Rifkind, Wharton &amp; Garrison LLP, 1285 Avenue of the Americas, 29</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New York, New York 10019.</w:t>
      </w:r>
    </w:p>
    <w:p>
      <w:pPr>
        <w:spacing w:after="0" w:line="5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Only stockholders of record at the close of business on April 16, 2026, the record date for the Annual Meeting, are entitled to notice of and to vote at the Annual Meeting and any adjournments thereof. Stockholders who own shares of our common stock beneficially through a bank, broker or other nominee will also be entitled to attend the Annual Meeting.</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 formal Notice of Meeting and the accompanying Proxy Statement set forth proposals for your consideration this year.</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You are being asked: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151765</wp:posOffset>
            </wp:positionV>
            <wp:extent cx="6292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p>
      <w:pPr>
        <w:spacing w:after="0" w:line="286" w:lineRule="exact"/>
        <w:rPr>
          <w:sz w:val="20"/>
          <w:szCs w:val="20"/>
          <w:color w:val="auto"/>
        </w:rPr>
      </w:pPr>
    </w:p>
    <w:p>
      <w:pPr>
        <w:ind w:left="240"/>
        <w:spacing w:after="0"/>
        <w:rPr>
          <w:sz w:val="20"/>
          <w:szCs w:val="20"/>
          <w:color w:val="auto"/>
        </w:rPr>
      </w:pPr>
      <w:r>
        <w:rPr>
          <w:rFonts w:ascii="Arial" w:cs="Arial" w:eastAsia="Arial" w:hAnsi="Arial"/>
          <w:sz w:val="28"/>
          <w:szCs w:val="28"/>
          <w:b w:val="1"/>
          <w:bCs w:val="1"/>
          <w:color w:val="4A7EBB"/>
        </w:rPr>
        <w:t>1</w:t>
      </w:r>
    </w:p>
    <w:p>
      <w:pPr>
        <w:spacing w:after="0" w:line="124" w:lineRule="exact"/>
        <w:rPr>
          <w:sz w:val="20"/>
          <w:szCs w:val="20"/>
          <w:color w:val="auto"/>
        </w:rPr>
      </w:pPr>
    </w:p>
    <w:p>
      <w:pPr>
        <w:ind w:left="240"/>
        <w:spacing w:after="0"/>
        <w:rPr>
          <w:sz w:val="20"/>
          <w:szCs w:val="20"/>
          <w:color w:val="auto"/>
        </w:rPr>
      </w:pPr>
      <w:r>
        <w:rPr>
          <w:rFonts w:ascii="Arial" w:cs="Arial" w:eastAsia="Arial" w:hAnsi="Arial"/>
          <w:sz w:val="28"/>
          <w:szCs w:val="28"/>
          <w:b w:val="1"/>
          <w:bCs w:val="1"/>
          <w:color w:val="4A7EBB"/>
        </w:rPr>
        <w:t>2</w:t>
      </w:r>
    </w:p>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To elect eleven directors to serve on our Board of Directors for the ensuing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86360</wp:posOffset>
            </wp:positionV>
            <wp:extent cx="6292215" cy="2832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28321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For an advisory and non-binding vote on the compensation of our named executive officers,</w:t>
      </w:r>
    </w:p>
    <w:p>
      <w:pPr>
        <w:spacing w:after="0" w:line="171" w:lineRule="exact"/>
        <w:rPr>
          <w:sz w:val="20"/>
          <w:szCs w:val="20"/>
          <w:color w:val="auto"/>
        </w:rPr>
      </w:pPr>
    </w:p>
    <w:p>
      <w:pPr>
        <w:sectPr>
          <w:pgSz w:w="11900" w:h="16838" w:orient="portrait"/>
          <w:cols w:equalWidth="0" w:num="2">
            <w:col w:w="400" w:space="320"/>
            <w:col w:w="9200"/>
          </w:cols>
          <w:pgMar w:left="980" w:top="513" w:right="999" w:bottom="1440" w:gutter="0" w:footer="0" w:header="0"/>
          <w:type w:val="continuous"/>
        </w:sectPr>
      </w:pPr>
    </w:p>
    <w:p>
      <w:pPr>
        <w:ind w:left="720" w:right="20" w:hanging="487"/>
        <w:spacing w:after="0" w:line="180" w:lineRule="auto"/>
        <w:tabs>
          <w:tab w:leader="none" w:pos="720" w:val="left"/>
        </w:tabs>
        <w:numPr>
          <w:ilvl w:val="0"/>
          <w:numId w:val="4"/>
        </w:numPr>
        <w:rPr>
          <w:rFonts w:ascii="Arial" w:cs="Arial" w:eastAsia="Arial" w:hAnsi="Arial"/>
          <w:sz w:val="36"/>
          <w:szCs w:val="36"/>
          <w:b w:val="1"/>
          <w:bCs w:val="1"/>
          <w:color w:val="4A7EBB"/>
          <w:vertAlign w:val="subscript"/>
        </w:rPr>
      </w:pPr>
      <w:r>
        <w:rPr>
          <w:rFonts w:ascii="Arial" w:cs="Arial" w:eastAsia="Arial" w:hAnsi="Arial"/>
          <w:sz w:val="15"/>
          <w:szCs w:val="15"/>
          <w:color w:val="auto"/>
        </w:rPr>
        <w:t>To approve our amended 2023 Long-Term Incentive Plan to increase the number of shares of common stock authorized for grant and issuance under the 2023 Long-Term Incentive Plan by 2,500,000 shares, and</w:t>
      </w:r>
    </w:p>
    <w:p>
      <w:pPr>
        <w:spacing w:after="0" w:line="73" w:lineRule="exact"/>
        <w:rPr>
          <w:sz w:val="20"/>
          <w:szCs w:val="20"/>
          <w:color w:val="auto"/>
        </w:rPr>
      </w:pPr>
    </w:p>
    <w:p>
      <w:pPr>
        <w:ind w:left="720" w:right="20" w:hanging="487"/>
        <w:spacing w:after="0" w:line="180" w:lineRule="auto"/>
        <w:tabs>
          <w:tab w:leader="none" w:pos="720" w:val="left"/>
        </w:tabs>
        <w:numPr>
          <w:ilvl w:val="0"/>
          <w:numId w:val="5"/>
        </w:numPr>
        <w:rPr>
          <w:rFonts w:ascii="Arial" w:cs="Arial" w:eastAsia="Arial" w:hAnsi="Arial"/>
          <w:sz w:val="36"/>
          <w:szCs w:val="36"/>
          <w:b w:val="1"/>
          <w:bCs w:val="1"/>
          <w:color w:val="4A7EBB"/>
          <w:vertAlign w:val="subscript"/>
        </w:rPr>
      </w:pPr>
      <w:r>
        <w:rPr>
          <w:rFonts w:ascii="Arial" w:cs="Arial" w:eastAsia="Arial" w:hAnsi="Arial"/>
          <w:sz w:val="15"/>
          <w:szCs w:val="15"/>
          <w:color w:val="auto"/>
        </w:rPr>
        <w:t>To ratify the appointment of Ernst &amp; Young LLP as our independent registered public accounting firm for the fiscal year ending January 31,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-300990</wp:posOffset>
            </wp:positionV>
            <wp:extent cx="6292215" cy="3340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334010"/>
                    </a:xfrm>
                    <a:prstGeom prst="rect">
                      <a:avLst/>
                    </a:prstGeom>
                    <a:noFill/>
                  </pic:spPr>
                </pic:pic>
              </a:graphicData>
            </a:graphic>
          </wp:anchor>
        </w:drawing>
      </w:r>
    </w:p>
    <w:p>
      <w:pPr>
        <w:spacing w:after="0" w:line="21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At the meeting, we will also report on the affairs of G-III, and a discussion period will be provided for questions and comments of general interest to stockholders.</w:t>
      </w:r>
    </w:p>
    <w:p>
      <w:pPr>
        <w:spacing w:after="0" w:line="15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look forward to greeting personally those of you who are able to be present at the meeting. However, whether or not you are able to attend the Annual Meeting, it is important that your shares be represented. Accordingly, you are requested to sign, date and mail, at your earliest convenience, the enclosed proxy in the envelope provided for your use, or vote your shares by calling the telephone number or visiting the website specified on your proxy card or voting instruction form.</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Thank you for your cooperation.</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3786505</wp:posOffset>
            </wp:positionH>
            <wp:positionV relativeFrom="paragraph">
              <wp:posOffset>43180</wp:posOffset>
            </wp:positionV>
            <wp:extent cx="1397000" cy="2825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97000" cy="28257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Morris Goldfarb</w:t>
      </w:r>
    </w:p>
    <w:p>
      <w:pPr>
        <w:spacing w:after="0" w:line="14"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Executive Officer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May 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617855</wp:posOffset>
            </wp:positionV>
            <wp:extent cx="62922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1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Various statements contained in this Proxy Statement, in future filings by us with the SEC, in our press releases and in oral statements made from time to time by us or on our behalf constitute “forward-looking statements” within the meaning of the Private Securities Litigation Reform Act of 1995. Forward-looking statements are based on current expectations and are indicated by words or phrases such as “anticipate,” “estimate,” “expect,” “will,” “project,” “we believe,” “is or remains optimistic,” “currently envisions,” “forecasts,” “goal” and similar words or phrases and involve known and unknown risks, uncertainties and other factors that may cause actual results, performance or achievements to be materially different from the future results, performance or achievements expressed in or implied by such forward-looking statements. Forward-looking statements also include representations of our expectations or beliefs concerning future events that involve risks and uncertainties. Any forward-looking statements are based largely on our expectations and judgments and are subject to a number of risks and uncertainties, many of which are unforeseeable and beyond our control. A detailed discussion of significant risk factors that have the potential to cause our actual results to differ materially from our expectations is described under the heading “Risk Factors” in our 2025 Annual Report. We undertake no obligation to publicly update or revise any forward-looking statements, whether as a result of new information, future events or otherwise,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732155</wp:posOffset>
            </wp:positionV>
            <wp:extent cx="629221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2714625</wp:posOffset>
            </wp:positionH>
            <wp:positionV relativeFrom="paragraph">
              <wp:posOffset>360045</wp:posOffset>
            </wp:positionV>
            <wp:extent cx="874395" cy="4718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74395"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G-III APPAREL GROUP, LTD.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512 SEVENTH AVENUE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NEW YORK, NEW YORK 10018</w:t>
      </w:r>
    </w:p>
    <w:p>
      <w:pPr>
        <w:spacing w:after="0" w:line="172" w:lineRule="exact"/>
        <w:rPr>
          <w:sz w:val="20"/>
          <w:szCs w:val="20"/>
          <w:color w:val="auto"/>
        </w:rPr>
      </w:pPr>
    </w:p>
    <w:p>
      <w:pPr>
        <w:ind w:right="20"/>
        <w:spacing w:after="0" w:line="288" w:lineRule="auto"/>
        <w:rPr>
          <w:sz w:val="20"/>
          <w:szCs w:val="20"/>
          <w:color w:val="auto"/>
        </w:rPr>
      </w:pPr>
      <w:r>
        <w:rPr>
          <w:rFonts w:ascii="Arial" w:cs="Arial" w:eastAsia="Arial" w:hAnsi="Arial"/>
          <w:sz w:val="29"/>
          <w:szCs w:val="29"/>
          <w:b w:val="1"/>
          <w:bCs w:val="1"/>
          <w:color w:val="auto"/>
        </w:rPr>
        <w:t>NOTICE OF ANNUAL MEETING OF STOCKHOLDERS AND NOTICE OF INTERNET AVAILABILITY OF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-57150</wp:posOffset>
            </wp:positionV>
            <wp:extent cx="62922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13"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NOTICE IS HEREBY GIVEN that the Annual Meeting of Stockholders (the “Annual Meeting”) of G-III Apparel Group, Ltd. will be held on:</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332"/>
        </w:trPr>
        <w:tc>
          <w:tcPr>
            <w:tcW w:w="3000" w:type="dxa"/>
            <w:vAlign w:val="bottom"/>
            <w:tcBorders>
              <w:top w:val="single" w:sz="8" w:color="4A7EBB"/>
            </w:tcBorders>
            <w:shd w:val="clear" w:color="auto" w:fill="DBE5F1"/>
          </w:tcPr>
          <w:p>
            <w:pPr>
              <w:ind w:left="1080"/>
              <w:spacing w:after="0"/>
              <w:rPr>
                <w:sz w:val="20"/>
                <w:szCs w:val="20"/>
                <w:color w:val="auto"/>
              </w:rPr>
            </w:pPr>
            <w:r>
              <w:rPr>
                <w:rFonts w:ascii="Arial" w:cs="Arial" w:eastAsia="Arial" w:hAnsi="Arial"/>
                <w:sz w:val="18"/>
                <w:szCs w:val="18"/>
                <w:color w:val="auto"/>
              </w:rPr>
              <w:t>Thursday,</w:t>
            </w:r>
          </w:p>
        </w:tc>
        <w:tc>
          <w:tcPr>
            <w:tcW w:w="3460" w:type="dxa"/>
            <w:vAlign w:val="bottom"/>
            <w:tcBorders>
              <w:top w:val="single" w:sz="8" w:color="4A7EBB"/>
            </w:tcBorders>
            <w:shd w:val="clear" w:color="auto" w:fill="DBE5F1"/>
          </w:tcPr>
          <w:p>
            <w:pPr>
              <w:ind w:left="780"/>
              <w:spacing w:after="0"/>
              <w:rPr>
                <w:sz w:val="20"/>
                <w:szCs w:val="20"/>
                <w:color w:val="auto"/>
              </w:rPr>
            </w:pPr>
            <w:r>
              <w:rPr>
                <w:rFonts w:ascii="Arial" w:cs="Arial" w:eastAsia="Arial" w:hAnsi="Arial"/>
                <w:sz w:val="18"/>
                <w:szCs w:val="18"/>
                <w:color w:val="auto"/>
              </w:rPr>
              <w:t>10:00 a.m., New York time</w:t>
            </w:r>
          </w:p>
        </w:tc>
        <w:tc>
          <w:tcPr>
            <w:tcW w:w="3460" w:type="dxa"/>
            <w:vAlign w:val="bottom"/>
            <w:tcBorders>
              <w:top w:val="single" w:sz="8" w:color="4A7EBB"/>
            </w:tcBorders>
            <w:vMerge w:val="restart"/>
            <w:shd w:val="clear" w:color="auto" w:fill="DBE5F1"/>
          </w:tcPr>
          <w:p>
            <w:pPr>
              <w:ind w:left="600"/>
              <w:spacing w:after="0"/>
              <w:rPr>
                <w:sz w:val="20"/>
                <w:szCs w:val="20"/>
                <w:color w:val="auto"/>
              </w:rPr>
            </w:pPr>
            <w:r>
              <w:rPr>
                <w:rFonts w:ascii="Arial" w:cs="Arial" w:eastAsia="Arial" w:hAnsi="Arial"/>
                <w:sz w:val="18"/>
                <w:szCs w:val="18"/>
                <w:color w:val="auto"/>
              </w:rPr>
              <w:t>The offices of Paul, Weiss, Rifkind,</w:t>
            </w:r>
          </w:p>
        </w:tc>
        <w:tc>
          <w:tcPr>
            <w:tcW w:w="0" w:type="dxa"/>
            <w:vAlign w:val="bottom"/>
          </w:tcPr>
          <w:p>
            <w:pPr>
              <w:spacing w:after="0"/>
              <w:rPr>
                <w:sz w:val="1"/>
                <w:szCs w:val="1"/>
                <w:color w:val="auto"/>
              </w:rPr>
            </w:pPr>
          </w:p>
        </w:tc>
      </w:tr>
      <w:tr>
        <w:trPr>
          <w:trHeight w:val="81"/>
        </w:trPr>
        <w:tc>
          <w:tcPr>
            <w:tcW w:w="3000" w:type="dxa"/>
            <w:vAlign w:val="bottom"/>
            <w:vMerge w:val="restart"/>
            <w:shd w:val="clear" w:color="auto" w:fill="DBE5F1"/>
          </w:tcPr>
          <w:p>
            <w:pPr>
              <w:ind w:left="1080"/>
              <w:spacing w:after="0"/>
              <w:rPr>
                <w:sz w:val="20"/>
                <w:szCs w:val="20"/>
                <w:color w:val="auto"/>
              </w:rPr>
            </w:pPr>
            <w:r>
              <w:rPr>
                <w:rFonts w:ascii="Arial" w:cs="Arial" w:eastAsia="Arial" w:hAnsi="Arial"/>
                <w:sz w:val="18"/>
                <w:szCs w:val="18"/>
                <w:b w:val="1"/>
                <w:bCs w:val="1"/>
                <w:color w:val="auto"/>
              </w:rPr>
              <w:t>June 11, 2026</w:t>
            </w:r>
          </w:p>
        </w:tc>
        <w:tc>
          <w:tcPr>
            <w:tcW w:w="3460" w:type="dxa"/>
            <w:vAlign w:val="bottom"/>
            <w:shd w:val="clear" w:color="auto" w:fill="DBE5F1"/>
          </w:tcPr>
          <w:p>
            <w:pPr>
              <w:spacing w:after="0"/>
              <w:rPr>
                <w:sz w:val="7"/>
                <w:szCs w:val="7"/>
                <w:color w:val="auto"/>
              </w:rPr>
            </w:pPr>
          </w:p>
        </w:tc>
        <w:tc>
          <w:tcPr>
            <w:tcW w:w="3460" w:type="dxa"/>
            <w:vAlign w:val="bottom"/>
            <w:vMerge w:val="continue"/>
            <w:shd w:val="clear" w:color="auto" w:fill="DBE5F1"/>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3000" w:type="dxa"/>
            <w:vAlign w:val="bottom"/>
            <w:vMerge w:val="continue"/>
            <w:shd w:val="clear" w:color="auto" w:fill="DBE5F1"/>
          </w:tcPr>
          <w:p>
            <w:pPr>
              <w:spacing w:after="0"/>
              <w:rPr>
                <w:sz w:val="14"/>
                <w:szCs w:val="14"/>
                <w:color w:val="auto"/>
              </w:rPr>
            </w:pPr>
          </w:p>
        </w:tc>
        <w:tc>
          <w:tcPr>
            <w:tcW w:w="3460" w:type="dxa"/>
            <w:vAlign w:val="bottom"/>
            <w:shd w:val="clear" w:color="auto" w:fill="DBE5F1"/>
          </w:tcPr>
          <w:p>
            <w:pPr>
              <w:spacing w:after="0"/>
              <w:rPr>
                <w:sz w:val="14"/>
                <w:szCs w:val="14"/>
                <w:color w:val="auto"/>
              </w:rPr>
            </w:pPr>
          </w:p>
        </w:tc>
        <w:tc>
          <w:tcPr>
            <w:tcW w:w="3460" w:type="dxa"/>
            <w:vAlign w:val="bottom"/>
            <w:vMerge w:val="restart"/>
            <w:shd w:val="clear" w:color="auto" w:fill="DBE5F1"/>
          </w:tcPr>
          <w:p>
            <w:pPr>
              <w:ind w:left="600"/>
              <w:spacing w:after="0" w:line="195" w:lineRule="exact"/>
              <w:rPr>
                <w:sz w:val="20"/>
                <w:szCs w:val="20"/>
                <w:color w:val="auto"/>
              </w:rPr>
            </w:pPr>
            <w:r>
              <w:rPr>
                <w:rFonts w:ascii="Arial" w:cs="Arial" w:eastAsia="Arial" w:hAnsi="Arial"/>
                <w:sz w:val="18"/>
                <w:szCs w:val="18"/>
                <w:color w:val="auto"/>
              </w:rPr>
              <w:t>Wharton &amp; Garrison LLP</w:t>
            </w:r>
          </w:p>
        </w:tc>
        <w:tc>
          <w:tcPr>
            <w:tcW w:w="0" w:type="dxa"/>
            <w:vAlign w:val="bottom"/>
          </w:tcPr>
          <w:p>
            <w:pPr>
              <w:spacing w:after="0"/>
              <w:rPr>
                <w:sz w:val="1"/>
                <w:szCs w:val="1"/>
                <w:color w:val="auto"/>
              </w:rPr>
            </w:pPr>
          </w:p>
        </w:tc>
      </w:tr>
      <w:tr>
        <w:trPr>
          <w:trHeight w:val="29"/>
        </w:trPr>
        <w:tc>
          <w:tcPr>
            <w:tcW w:w="3000" w:type="dxa"/>
            <w:vAlign w:val="bottom"/>
            <w:shd w:val="clear" w:color="auto" w:fill="DBE5F1"/>
          </w:tcPr>
          <w:p>
            <w:pPr>
              <w:spacing w:after="0"/>
              <w:rPr>
                <w:sz w:val="2"/>
                <w:szCs w:val="2"/>
                <w:color w:val="auto"/>
              </w:rPr>
            </w:pPr>
          </w:p>
        </w:tc>
        <w:tc>
          <w:tcPr>
            <w:tcW w:w="3460" w:type="dxa"/>
            <w:vAlign w:val="bottom"/>
            <w:shd w:val="clear" w:color="auto" w:fill="DBE5F1"/>
          </w:tcPr>
          <w:p>
            <w:pPr>
              <w:spacing w:after="0"/>
              <w:rPr>
                <w:sz w:val="2"/>
                <w:szCs w:val="2"/>
                <w:color w:val="auto"/>
              </w:rPr>
            </w:pPr>
          </w:p>
        </w:tc>
        <w:tc>
          <w:tcPr>
            <w:tcW w:w="3460" w:type="dxa"/>
            <w:vAlign w:val="bottom"/>
            <w:vMerge w:val="continue"/>
            <w:shd w:val="clear" w:color="auto" w:fill="DBE5F1"/>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000" w:type="dxa"/>
            <w:vAlign w:val="bottom"/>
            <w:shd w:val="clear" w:color="auto" w:fill="DBE5F1"/>
          </w:tcPr>
          <w:p>
            <w:pPr>
              <w:spacing w:after="0"/>
              <w:rPr>
                <w:sz w:val="18"/>
                <w:szCs w:val="18"/>
                <w:color w:val="auto"/>
              </w:rPr>
            </w:pPr>
          </w:p>
        </w:tc>
        <w:tc>
          <w:tcPr>
            <w:tcW w:w="3460" w:type="dxa"/>
            <w:vAlign w:val="bottom"/>
            <w:shd w:val="clear" w:color="auto" w:fill="DBE5F1"/>
          </w:tcPr>
          <w:p>
            <w:pPr>
              <w:spacing w:after="0"/>
              <w:rPr>
                <w:sz w:val="18"/>
                <w:szCs w:val="18"/>
                <w:color w:val="auto"/>
              </w:rPr>
            </w:pPr>
          </w:p>
        </w:tc>
        <w:tc>
          <w:tcPr>
            <w:tcW w:w="3460" w:type="dxa"/>
            <w:vAlign w:val="bottom"/>
            <w:shd w:val="clear" w:color="auto" w:fill="DBE5F1"/>
          </w:tcPr>
          <w:p>
            <w:pPr>
              <w:ind w:left="600"/>
              <w:spacing w:after="0" w:line="210" w:lineRule="exact"/>
              <w:rPr>
                <w:sz w:val="20"/>
                <w:szCs w:val="20"/>
                <w:color w:val="auto"/>
              </w:rPr>
            </w:pPr>
            <w:r>
              <w:rPr>
                <w:rFonts w:ascii="Arial" w:cs="Arial" w:eastAsia="Arial" w:hAnsi="Arial"/>
                <w:sz w:val="17"/>
                <w:szCs w:val="17"/>
                <w:color w:val="auto"/>
              </w:rPr>
              <w:t>1285 Avenue of the Americas 29</w:t>
            </w:r>
            <w:r>
              <w:rPr>
                <w:rFonts w:ascii="Arial" w:cs="Arial" w:eastAsia="Arial" w:hAnsi="Arial"/>
                <w:sz w:val="24"/>
                <w:szCs w:val="24"/>
                <w:color w:val="auto"/>
                <w:vertAlign w:val="superscript"/>
              </w:rPr>
              <w:t>th</w:t>
            </w:r>
          </w:p>
        </w:tc>
        <w:tc>
          <w:tcPr>
            <w:tcW w:w="0" w:type="dxa"/>
            <w:vAlign w:val="bottom"/>
          </w:tcPr>
          <w:p>
            <w:pPr>
              <w:spacing w:after="0"/>
              <w:rPr>
                <w:sz w:val="1"/>
                <w:szCs w:val="1"/>
                <w:color w:val="auto"/>
              </w:rPr>
            </w:pPr>
          </w:p>
        </w:tc>
      </w:tr>
      <w:tr>
        <w:trPr>
          <w:trHeight w:val="203"/>
        </w:trPr>
        <w:tc>
          <w:tcPr>
            <w:tcW w:w="3000" w:type="dxa"/>
            <w:vAlign w:val="bottom"/>
            <w:shd w:val="clear" w:color="auto" w:fill="DBE5F1"/>
          </w:tcPr>
          <w:p>
            <w:pPr>
              <w:spacing w:after="0"/>
              <w:rPr>
                <w:sz w:val="17"/>
                <w:szCs w:val="17"/>
                <w:color w:val="auto"/>
              </w:rPr>
            </w:pPr>
          </w:p>
        </w:tc>
        <w:tc>
          <w:tcPr>
            <w:tcW w:w="3460" w:type="dxa"/>
            <w:vAlign w:val="bottom"/>
            <w:shd w:val="clear" w:color="auto" w:fill="DBE5F1"/>
          </w:tcPr>
          <w:p>
            <w:pPr>
              <w:spacing w:after="0"/>
              <w:rPr>
                <w:sz w:val="17"/>
                <w:szCs w:val="17"/>
                <w:color w:val="auto"/>
              </w:rPr>
            </w:pPr>
          </w:p>
        </w:tc>
        <w:tc>
          <w:tcPr>
            <w:tcW w:w="3460" w:type="dxa"/>
            <w:vAlign w:val="bottom"/>
            <w:shd w:val="clear" w:color="auto" w:fill="DBE5F1"/>
          </w:tcPr>
          <w:p>
            <w:pPr>
              <w:ind w:left="600"/>
              <w:spacing w:after="0" w:line="202" w:lineRule="exact"/>
              <w:rPr>
                <w:sz w:val="20"/>
                <w:szCs w:val="20"/>
                <w:color w:val="auto"/>
              </w:rPr>
            </w:pPr>
            <w:r>
              <w:rPr>
                <w:rFonts w:ascii="Arial" w:cs="Arial" w:eastAsia="Arial" w:hAnsi="Arial"/>
                <w:sz w:val="18"/>
                <w:szCs w:val="18"/>
                <w:color w:val="auto"/>
              </w:rPr>
              <w:t>Floor</w:t>
            </w:r>
          </w:p>
        </w:tc>
        <w:tc>
          <w:tcPr>
            <w:tcW w:w="0" w:type="dxa"/>
            <w:vAlign w:val="bottom"/>
          </w:tcPr>
          <w:p>
            <w:pPr>
              <w:spacing w:after="0"/>
              <w:rPr>
                <w:sz w:val="1"/>
                <w:szCs w:val="1"/>
                <w:color w:val="auto"/>
              </w:rPr>
            </w:pPr>
          </w:p>
        </w:tc>
      </w:tr>
      <w:tr>
        <w:trPr>
          <w:trHeight w:val="228"/>
        </w:trPr>
        <w:tc>
          <w:tcPr>
            <w:tcW w:w="3000" w:type="dxa"/>
            <w:vAlign w:val="bottom"/>
            <w:tcBorders>
              <w:bottom w:val="single" w:sz="8" w:color="4A7EBB"/>
            </w:tcBorders>
            <w:shd w:val="clear" w:color="auto" w:fill="DBE5F1"/>
          </w:tcPr>
          <w:p>
            <w:pPr>
              <w:spacing w:after="0"/>
              <w:rPr>
                <w:sz w:val="19"/>
                <w:szCs w:val="19"/>
                <w:color w:val="auto"/>
              </w:rPr>
            </w:pPr>
          </w:p>
        </w:tc>
        <w:tc>
          <w:tcPr>
            <w:tcW w:w="3460" w:type="dxa"/>
            <w:vAlign w:val="bottom"/>
            <w:tcBorders>
              <w:bottom w:val="single" w:sz="8" w:color="4A7EBB"/>
            </w:tcBorders>
            <w:shd w:val="clear" w:color="auto" w:fill="DBE5F1"/>
          </w:tcPr>
          <w:p>
            <w:pPr>
              <w:spacing w:after="0"/>
              <w:rPr>
                <w:sz w:val="19"/>
                <w:szCs w:val="19"/>
                <w:color w:val="auto"/>
              </w:rPr>
            </w:pPr>
          </w:p>
        </w:tc>
        <w:tc>
          <w:tcPr>
            <w:tcW w:w="3460" w:type="dxa"/>
            <w:vAlign w:val="bottom"/>
            <w:tcBorders>
              <w:bottom w:val="single" w:sz="8" w:color="4A7EBB"/>
            </w:tcBorders>
            <w:shd w:val="clear" w:color="auto" w:fill="DBE5F1"/>
          </w:tcPr>
          <w:p>
            <w:pPr>
              <w:ind w:left="600"/>
              <w:spacing w:after="0"/>
              <w:rPr>
                <w:sz w:val="20"/>
                <w:szCs w:val="20"/>
                <w:color w:val="auto"/>
              </w:rPr>
            </w:pPr>
            <w:r>
              <w:rPr>
                <w:rFonts w:ascii="Arial" w:cs="Arial" w:eastAsia="Arial" w:hAnsi="Arial"/>
                <w:sz w:val="18"/>
                <w:szCs w:val="18"/>
                <w:color w:val="auto"/>
              </w:rPr>
              <w:t>New York, New York 10019</w:t>
            </w:r>
          </w:p>
        </w:tc>
        <w:tc>
          <w:tcPr>
            <w:tcW w:w="0" w:type="dxa"/>
            <w:vAlign w:val="bottom"/>
          </w:tcPr>
          <w:p>
            <w:pPr>
              <w:spacing w:after="0"/>
              <w:rPr>
                <w:sz w:val="1"/>
                <w:szCs w:val="1"/>
                <w:color w:val="auto"/>
              </w:rPr>
            </w:pPr>
          </w:p>
        </w:tc>
      </w:tr>
      <w:tr>
        <w:trPr>
          <w:trHeight w:val="355"/>
        </w:trPr>
        <w:tc>
          <w:tcPr>
            <w:tcW w:w="3000" w:type="dxa"/>
            <w:vAlign w:val="bottom"/>
          </w:tcPr>
          <w:p>
            <w:pPr>
              <w:spacing w:after="0"/>
              <w:rPr>
                <w:sz w:val="20"/>
                <w:szCs w:val="20"/>
                <w:color w:val="auto"/>
              </w:rPr>
            </w:pPr>
            <w:r>
              <w:rPr>
                <w:rFonts w:ascii="Arial" w:cs="Arial" w:eastAsia="Arial" w:hAnsi="Arial"/>
                <w:sz w:val="18"/>
                <w:szCs w:val="18"/>
                <w:color w:val="auto"/>
              </w:rPr>
              <w:t>For the following purposes:</w:t>
            </w:r>
          </w:p>
        </w:tc>
        <w:tc>
          <w:tcPr>
            <w:tcW w:w="34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57150</wp:posOffset>
            </wp:positionV>
            <wp:extent cx="62922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1977390</wp:posOffset>
            </wp:positionH>
            <wp:positionV relativeFrom="paragraph">
              <wp:posOffset>-962025</wp:posOffset>
            </wp:positionV>
            <wp:extent cx="300355" cy="291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00355" cy="291465"/>
                    </a:xfrm>
                    <a:prstGeom prst="rect">
                      <a:avLst/>
                    </a:prstGeom>
                    <a:noFill/>
                  </pic:spPr>
                </pic:pic>
              </a:graphicData>
            </a:graphic>
          </wp:anchor>
        </w:drawing>
        <w:drawing>
          <wp:anchor simplePos="0" relativeHeight="251657728" behindDoc="1" locked="0" layoutInCell="0" allowOverlap="1">
            <wp:simplePos x="0" y="0"/>
            <wp:positionH relativeFrom="column">
              <wp:posOffset>203200</wp:posOffset>
            </wp:positionH>
            <wp:positionV relativeFrom="paragraph">
              <wp:posOffset>-936625</wp:posOffset>
            </wp:positionV>
            <wp:extent cx="282575" cy="2832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2575" cy="283210"/>
                    </a:xfrm>
                    <a:prstGeom prst="rect">
                      <a:avLst/>
                    </a:prstGeom>
                    <a:noFill/>
                  </pic:spPr>
                </pic:pic>
              </a:graphicData>
            </a:graphic>
          </wp:anchor>
        </w:drawing>
        <w:drawing>
          <wp:anchor simplePos="0" relativeHeight="251657728" behindDoc="1" locked="0" layoutInCell="0" allowOverlap="1">
            <wp:simplePos x="0" y="0"/>
            <wp:positionH relativeFrom="column">
              <wp:posOffset>4120515</wp:posOffset>
            </wp:positionH>
            <wp:positionV relativeFrom="paragraph">
              <wp:posOffset>-936625</wp:posOffset>
            </wp:positionV>
            <wp:extent cx="205740" cy="3346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05740" cy="3346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p>
      <w:pPr>
        <w:spacing w:after="0" w:line="137" w:lineRule="exact"/>
        <w:rPr>
          <w:sz w:val="20"/>
          <w:szCs w:val="20"/>
          <w:color w:val="auto"/>
        </w:rPr>
      </w:pPr>
    </w:p>
    <w:p>
      <w:pPr>
        <w:ind w:left="240"/>
        <w:spacing w:after="0"/>
        <w:rPr>
          <w:sz w:val="20"/>
          <w:szCs w:val="20"/>
          <w:color w:val="auto"/>
        </w:rPr>
      </w:pPr>
      <w:r>
        <w:rPr>
          <w:rFonts w:ascii="Arial" w:cs="Arial" w:eastAsia="Arial" w:hAnsi="Arial"/>
          <w:sz w:val="28"/>
          <w:szCs w:val="28"/>
          <w:b w:val="1"/>
          <w:bCs w:val="1"/>
          <w:color w:val="4A7EBB"/>
        </w:rPr>
        <w:t>1</w:t>
      </w:r>
    </w:p>
    <w:p>
      <w:pPr>
        <w:spacing w:after="0" w:line="124" w:lineRule="exact"/>
        <w:rPr>
          <w:sz w:val="20"/>
          <w:szCs w:val="20"/>
          <w:color w:val="auto"/>
        </w:rPr>
      </w:pPr>
    </w:p>
    <w:p>
      <w:pPr>
        <w:ind w:left="240"/>
        <w:spacing w:after="0"/>
        <w:rPr>
          <w:sz w:val="20"/>
          <w:szCs w:val="20"/>
          <w:color w:val="auto"/>
        </w:rPr>
      </w:pPr>
      <w:r>
        <w:rPr>
          <w:rFonts w:ascii="Arial" w:cs="Arial" w:eastAsia="Arial" w:hAnsi="Arial"/>
          <w:sz w:val="28"/>
          <w:szCs w:val="28"/>
          <w:b w:val="1"/>
          <w:bCs w:val="1"/>
          <w:color w:val="4A7EBB"/>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To elect eleven directors to serve on our Board of Directors for the ensuing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86360</wp:posOffset>
            </wp:positionV>
            <wp:extent cx="6292215" cy="2825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8257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To hold an advisory and non-binding vote on the compensation of our named executive officers,</w:t>
      </w:r>
    </w:p>
    <w:p>
      <w:pPr>
        <w:spacing w:after="0" w:line="182" w:lineRule="exact"/>
        <w:rPr>
          <w:sz w:val="20"/>
          <w:szCs w:val="20"/>
          <w:color w:val="auto"/>
        </w:rPr>
      </w:pPr>
    </w:p>
    <w:p>
      <w:pPr>
        <w:sectPr>
          <w:pgSz w:w="11900" w:h="16838" w:orient="portrait"/>
          <w:cols w:equalWidth="0" w:num="2">
            <w:col w:w="400" w:space="320"/>
            <w:col w:w="9200"/>
          </w:cols>
          <w:pgMar w:left="980" w:top="513" w:right="999" w:bottom="1440" w:gutter="0" w:footer="0" w:header="0"/>
          <w:type w:val="continuous"/>
        </w:sectPr>
      </w:pPr>
    </w:p>
    <w:p>
      <w:pPr>
        <w:ind w:left="720" w:right="20" w:hanging="487"/>
        <w:spacing w:after="0" w:line="180" w:lineRule="auto"/>
        <w:tabs>
          <w:tab w:leader="none" w:pos="720" w:val="left"/>
        </w:tabs>
        <w:numPr>
          <w:ilvl w:val="0"/>
          <w:numId w:val="6"/>
        </w:numPr>
        <w:rPr>
          <w:rFonts w:ascii="Arial" w:cs="Arial" w:eastAsia="Arial" w:hAnsi="Arial"/>
          <w:sz w:val="36"/>
          <w:szCs w:val="36"/>
          <w:b w:val="1"/>
          <w:bCs w:val="1"/>
          <w:color w:val="4A7EBB"/>
          <w:vertAlign w:val="subscript"/>
        </w:rPr>
      </w:pPr>
      <w:r>
        <w:rPr>
          <w:rFonts w:ascii="Arial" w:cs="Arial" w:eastAsia="Arial" w:hAnsi="Arial"/>
          <w:sz w:val="15"/>
          <w:szCs w:val="15"/>
          <w:color w:val="auto"/>
        </w:rPr>
        <w:t>To approve our amended 2023 Long-Term Incentive Plan to increase the number of shares of common stock authorized for grant and issuance under the 2023 Plan by 2,500,000 shares,</w:t>
      </w:r>
    </w:p>
    <w:p>
      <w:pPr>
        <w:spacing w:after="0" w:line="73" w:lineRule="exact"/>
        <w:rPr>
          <w:sz w:val="20"/>
          <w:szCs w:val="20"/>
          <w:color w:val="auto"/>
        </w:rPr>
      </w:pPr>
    </w:p>
    <w:p>
      <w:pPr>
        <w:ind w:left="720" w:right="20" w:hanging="487"/>
        <w:spacing w:after="0" w:line="180" w:lineRule="auto"/>
        <w:tabs>
          <w:tab w:leader="none" w:pos="720" w:val="left"/>
        </w:tabs>
        <w:numPr>
          <w:ilvl w:val="0"/>
          <w:numId w:val="7"/>
        </w:numPr>
        <w:rPr>
          <w:rFonts w:ascii="Arial" w:cs="Arial" w:eastAsia="Arial" w:hAnsi="Arial"/>
          <w:sz w:val="36"/>
          <w:szCs w:val="36"/>
          <w:b w:val="1"/>
          <w:bCs w:val="1"/>
          <w:color w:val="4A7EBB"/>
          <w:vertAlign w:val="subscript"/>
        </w:rPr>
      </w:pPr>
      <w:r>
        <w:rPr>
          <w:rFonts w:ascii="Arial" w:cs="Arial" w:eastAsia="Arial" w:hAnsi="Arial"/>
          <w:sz w:val="15"/>
          <w:szCs w:val="15"/>
          <w:color w:val="auto"/>
        </w:rPr>
        <w:t>To ratify the appointment of Ernst &amp; Young LLP as our independent registered public accounting firm for the fiscal year ending January 31, 2027,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-300990</wp:posOffset>
            </wp:positionV>
            <wp:extent cx="6292215" cy="3257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325755"/>
                    </a:xfrm>
                    <a:prstGeom prst="rect">
                      <a:avLst/>
                    </a:prstGeom>
                    <a:noFill/>
                  </pic:spPr>
                </pic:pic>
              </a:graphicData>
            </a:graphic>
          </wp:anchor>
        </w:drawing>
      </w:r>
    </w:p>
    <w:p>
      <w:pPr>
        <w:spacing w:after="0" w:line="26" w:lineRule="exact"/>
        <w:rPr>
          <w:sz w:val="20"/>
          <w:szCs w:val="20"/>
          <w:color w:val="auto"/>
        </w:rPr>
      </w:pPr>
    </w:p>
    <w:p>
      <w:pPr>
        <w:ind w:left="720" w:hanging="487"/>
        <w:spacing w:after="0"/>
        <w:tabs>
          <w:tab w:leader="none" w:pos="720" w:val="left"/>
        </w:tabs>
        <w:numPr>
          <w:ilvl w:val="0"/>
          <w:numId w:val="8"/>
        </w:numPr>
        <w:rPr>
          <w:rFonts w:ascii="Arial" w:cs="Arial" w:eastAsia="Arial" w:hAnsi="Arial"/>
          <w:sz w:val="29"/>
          <w:szCs w:val="29"/>
          <w:b w:val="1"/>
          <w:bCs w:val="1"/>
          <w:color w:val="4A7EBB"/>
        </w:rPr>
      </w:pPr>
      <w:r>
        <w:rPr>
          <w:rFonts w:ascii="Arial" w:cs="Arial" w:eastAsia="Arial" w:hAnsi="Arial"/>
          <w:sz w:val="18"/>
          <w:szCs w:val="18"/>
          <w:color w:val="auto"/>
        </w:rPr>
        <w:t>To transact such other business as may properly come before the Annual Meeting or any adjournment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66040</wp:posOffset>
            </wp:positionV>
            <wp:extent cx="629221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54" w:lineRule="exact"/>
        <w:rPr>
          <w:sz w:val="20"/>
          <w:szCs w:val="20"/>
          <w:color w:val="auto"/>
        </w:rPr>
      </w:pPr>
    </w:p>
    <w:p>
      <w:pPr>
        <w:ind w:left="580" w:right="200"/>
        <w:spacing w:after="0" w:line="271" w:lineRule="auto"/>
        <w:rPr>
          <w:sz w:val="20"/>
          <w:szCs w:val="20"/>
          <w:color w:val="auto"/>
        </w:rPr>
      </w:pPr>
      <w:r>
        <w:rPr>
          <w:rFonts w:ascii="Arial" w:cs="Arial" w:eastAsia="Arial" w:hAnsi="Arial"/>
          <w:sz w:val="18"/>
          <w:szCs w:val="18"/>
          <w:color w:val="auto"/>
        </w:rPr>
        <w:t xml:space="preserve">Only stockholders of record at the close of business on </w:t>
      </w:r>
      <w:r>
        <w:rPr>
          <w:rFonts w:ascii="Arial" w:cs="Arial" w:eastAsia="Arial" w:hAnsi="Arial"/>
          <w:sz w:val="18"/>
          <w:szCs w:val="18"/>
          <w:b w:val="1"/>
          <w:bCs w:val="1"/>
          <w:color w:val="auto"/>
        </w:rPr>
        <w:t>April 16, 2026</w:t>
      </w:r>
      <w:r>
        <w:rPr>
          <w:rFonts w:ascii="Arial" w:cs="Arial" w:eastAsia="Arial" w:hAnsi="Arial"/>
          <w:sz w:val="18"/>
          <w:szCs w:val="18"/>
          <w:color w:val="auto"/>
        </w:rPr>
        <w:t xml:space="preserve"> will be entitled to notice of and to vote at the Annual Meeting or any adjournment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-284480</wp:posOffset>
            </wp:positionV>
            <wp:extent cx="197485" cy="2571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97485" cy="257175"/>
                    </a:xfrm>
                    <a:prstGeom prst="rect">
                      <a:avLst/>
                    </a:prstGeom>
                    <a:noFill/>
                  </pic:spPr>
                </pic:pic>
              </a:graphicData>
            </a:graphic>
          </wp:anchor>
        </w:drawing>
      </w:r>
    </w:p>
    <w:p>
      <w:pPr>
        <w:spacing w:after="0" w:line="13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 xml:space="preserve">All stockholders are cordially invited to attend the Annual Meeting in person. </w:t>
      </w:r>
      <w:r>
        <w:rPr>
          <w:rFonts w:ascii="Arial" w:cs="Arial" w:eastAsia="Arial" w:hAnsi="Arial"/>
          <w:sz w:val="18"/>
          <w:szCs w:val="18"/>
          <w:b w:val="1"/>
          <w:bCs w:val="1"/>
          <w:color w:val="auto"/>
        </w:rPr>
        <w:t>Whether or not you plan to attend the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Annual Meeting in person, each stockholder is urged to complete, date and sign the enclosed form of proxy and return it promptly in the envelope provided, or vote your shares by calling the telephone number or visiting the website specified on your proxy card or voting instruction form. </w:t>
      </w:r>
      <w:r>
        <w:rPr>
          <w:rFonts w:ascii="Arial" w:cs="Arial" w:eastAsia="Arial" w:hAnsi="Arial"/>
          <w:sz w:val="18"/>
          <w:szCs w:val="18"/>
          <w:color w:val="auto"/>
        </w:rPr>
        <w:t>No postage is required if the proxy is mailed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United States. If you vote by telephone or internet, you do not need to mail back your proxy. Stockholders who attend the Annual Meeting may revoke their proxies and vote their shares in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82550</wp:posOffset>
            </wp:positionV>
            <wp:extent cx="5031740" cy="7543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031740" cy="754380"/>
                    </a:xfrm>
                    <a:prstGeom prst="rect">
                      <a:avLst/>
                    </a:prstGeom>
                    <a:noFill/>
                  </pic:spPr>
                </pic:pic>
              </a:graphicData>
            </a:graphic>
          </wp:anchor>
        </w:drawing>
      </w:r>
    </w:p>
    <w:p>
      <w:pPr>
        <w:spacing w:after="0" w:line="361" w:lineRule="exact"/>
        <w:rPr>
          <w:sz w:val="20"/>
          <w:szCs w:val="20"/>
          <w:color w:val="auto"/>
        </w:rPr>
      </w:pPr>
    </w:p>
    <w:p>
      <w:pPr>
        <w:ind w:left="1100" w:right="1100"/>
        <w:spacing w:after="0" w:line="266" w:lineRule="auto"/>
        <w:rPr>
          <w:sz w:val="20"/>
          <w:szCs w:val="20"/>
          <w:color w:val="auto"/>
        </w:rPr>
      </w:pPr>
      <w:r>
        <w:rPr>
          <w:rFonts w:ascii="Arial" w:cs="Arial" w:eastAsia="Arial" w:hAnsi="Arial"/>
          <w:sz w:val="18"/>
          <w:szCs w:val="18"/>
          <w:b w:val="1"/>
          <w:bCs w:val="1"/>
          <w:color w:val="auto"/>
        </w:rPr>
        <w:t>Important Notice Regarding the Availability of Proxy Materials for the Annual Meeting of Stockholders to be Held on June 11, 2026.</w:t>
      </w:r>
    </w:p>
    <w:p>
      <w:pPr>
        <w:ind w:left="1100" w:right="1100"/>
        <w:spacing w:after="0" w:line="281" w:lineRule="auto"/>
        <w:rPr>
          <w:sz w:val="20"/>
          <w:szCs w:val="20"/>
          <w:color w:val="auto"/>
        </w:rPr>
      </w:pPr>
      <w:r>
        <w:rPr>
          <w:rFonts w:ascii="Arial" w:cs="Arial" w:eastAsia="Arial" w:hAnsi="Arial"/>
          <w:sz w:val="18"/>
          <w:szCs w:val="18"/>
          <w:b w:val="1"/>
          <w:bCs w:val="1"/>
          <w:color w:val="auto"/>
        </w:rPr>
        <w:t xml:space="preserve">The Proxy Statement and our 2025 Annual Report to Stockholders are available in the “Investors” section of our website at </w:t>
      </w:r>
      <w:r>
        <w:rPr>
          <w:rFonts w:ascii="Arial" w:cs="Arial" w:eastAsia="Arial" w:hAnsi="Arial"/>
          <w:sz w:val="18"/>
          <w:szCs w:val="18"/>
          <w:b w:val="1"/>
          <w:bCs w:val="1"/>
          <w:color w:val="4A7EBB"/>
        </w:rPr>
        <w:t>http://www.giii.com</w:t>
      </w:r>
      <w:r>
        <w:rPr>
          <w:rFonts w:ascii="Arial" w:cs="Arial" w:eastAsia="Arial" w:hAnsi="Arial"/>
          <w:sz w:val="18"/>
          <w:szCs w:val="18"/>
          <w:b w:val="1"/>
          <w:bCs w:val="1"/>
          <w:color w:val="auto"/>
        </w:rPr>
        <w:t>.</w:t>
      </w:r>
    </w:p>
    <w:p>
      <w:pPr>
        <w:spacing w:after="0" w:line="6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3940810</wp:posOffset>
            </wp:positionH>
            <wp:positionV relativeFrom="paragraph">
              <wp:posOffset>8890</wp:posOffset>
            </wp:positionV>
            <wp:extent cx="694055" cy="1885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4055" cy="188595"/>
                    </a:xfrm>
                    <a:prstGeom prst="rect">
                      <a:avLst/>
                    </a:prstGeom>
                    <a:noFill/>
                  </pic:spPr>
                </pic:pic>
              </a:graphicData>
            </a:graphic>
          </wp:anchor>
        </w:drawing>
      </w:r>
    </w:p>
    <w:p>
      <w:pPr>
        <w:spacing w:after="0" w:line="273"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Michael C. Brady</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Secretary</w:t>
      </w:r>
    </w:p>
    <w:p>
      <w:pPr>
        <w:spacing w:after="0" w:line="234" w:lineRule="auto"/>
        <w:rPr>
          <w:sz w:val="20"/>
          <w:szCs w:val="20"/>
          <w:color w:val="auto"/>
        </w:rPr>
      </w:pPr>
      <w:r>
        <w:rPr>
          <w:rFonts w:ascii="Arial" w:cs="Arial" w:eastAsia="Arial" w:hAnsi="Arial"/>
          <w:sz w:val="18"/>
          <w:szCs w:val="18"/>
          <w:color w:val="auto"/>
        </w:rPr>
        <w:t>New York, NY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May 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477520</wp:posOffset>
            </wp:positionV>
            <wp:extent cx="629221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31750</wp:posOffset>
            </wp:positionV>
            <wp:extent cx="629221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p>
      <w:pPr>
        <w:ind w:left="620" w:hanging="329"/>
        <w:spacing w:after="0" w:line="230" w:lineRule="auto"/>
        <w:tabs>
          <w:tab w:leader="none" w:pos="620" w:val="left"/>
        </w:tabs>
        <w:numPr>
          <w:ilvl w:val="0"/>
          <w:numId w:val="9"/>
        </w:numPr>
        <w:rPr>
          <w:rFonts w:ascii="Arial" w:cs="Arial" w:eastAsia="Arial" w:hAnsi="Arial"/>
          <w:sz w:val="43"/>
          <w:szCs w:val="43"/>
          <w:b w:val="1"/>
          <w:bCs w:val="1"/>
          <w:color w:val="auto"/>
          <w:vertAlign w:val="subscript"/>
        </w:rPr>
      </w:pPr>
      <w:r>
        <w:rPr>
          <w:rFonts w:ascii="Arial" w:cs="Arial" w:eastAsia="Arial" w:hAnsi="Arial"/>
          <w:sz w:val="16"/>
          <w:szCs w:val="16"/>
          <w:b w:val="1"/>
          <w:bCs w:val="1"/>
          <w:u w:val="single" w:color="auto"/>
          <w:color w:val="0000EE"/>
        </w:rPr>
        <w:t>PROXY STATEMENT</w:t>
      </w:r>
    </w:p>
    <w:p>
      <w:pPr>
        <w:spacing w:after="0" w:line="74" w:lineRule="exact"/>
        <w:rPr>
          <w:rFonts w:ascii="Arial" w:cs="Arial" w:eastAsia="Arial" w:hAnsi="Arial"/>
          <w:sz w:val="43"/>
          <w:szCs w:val="43"/>
          <w:b w:val="1"/>
          <w:bCs w:val="1"/>
          <w:color w:val="auto"/>
          <w:vertAlign w:val="subscript"/>
        </w:rPr>
      </w:pPr>
    </w:p>
    <w:p>
      <w:pPr>
        <w:ind w:left="620" w:hanging="299"/>
        <w:spacing w:after="0"/>
        <w:tabs>
          <w:tab w:leader="none" w:pos="620"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0000EE"/>
        </w:rPr>
        <w:t>General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-304165</wp:posOffset>
            </wp:positionV>
            <wp:extent cx="3086100" cy="52374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086100" cy="5237480"/>
                    </a:xfrm>
                    <a:prstGeom prst="rect">
                      <a:avLst/>
                    </a:prstGeom>
                    <a:noFill/>
                  </pic:spPr>
                </pic:pic>
              </a:graphicData>
            </a:graphic>
          </wp:anchor>
        </w:drawing>
      </w:r>
    </w:p>
    <w:p>
      <w:pPr>
        <w:ind w:left="620" w:hanging="329"/>
        <w:spacing w:after="0" w:line="180" w:lineRule="auto"/>
        <w:tabs>
          <w:tab w:leader="none" w:pos="620" w:val="left"/>
        </w:tabs>
        <w:numPr>
          <w:ilvl w:val="0"/>
          <w:numId w:val="10"/>
        </w:numPr>
        <w:rPr>
          <w:rFonts w:ascii="Arial" w:cs="Arial" w:eastAsia="Arial" w:hAnsi="Arial"/>
          <w:sz w:val="42"/>
          <w:szCs w:val="42"/>
          <w:b w:val="1"/>
          <w:bCs w:val="1"/>
          <w:color w:val="auto"/>
          <w:vertAlign w:val="subscript"/>
        </w:rPr>
      </w:pPr>
      <w:r>
        <w:rPr>
          <w:rFonts w:ascii="Arial" w:cs="Arial" w:eastAsia="Arial" w:hAnsi="Arial"/>
          <w:sz w:val="16"/>
          <w:szCs w:val="16"/>
          <w:b w:val="1"/>
          <w:bCs w:val="1"/>
          <w:u w:val="single" w:color="auto"/>
          <w:color w:val="0000EE"/>
        </w:rPr>
        <w:t>PROXY SUMMARY</w:t>
      </w:r>
    </w:p>
    <w:p>
      <w:pPr>
        <w:spacing w:after="0" w:line="74" w:lineRule="exact"/>
        <w:rPr>
          <w:rFonts w:ascii="Arial" w:cs="Arial" w:eastAsia="Arial" w:hAnsi="Arial"/>
          <w:sz w:val="42"/>
          <w:szCs w:val="42"/>
          <w:b w:val="1"/>
          <w:bCs w:val="1"/>
          <w:color w:val="auto"/>
          <w:vertAlign w:val="subscript"/>
        </w:rPr>
      </w:pPr>
    </w:p>
    <w:p>
      <w:pPr>
        <w:ind w:left="620" w:hanging="299"/>
        <w:spacing w:after="0"/>
        <w:tabs>
          <w:tab w:leader="none" w:pos="620"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0000EE"/>
        </w:rPr>
        <w:t>Annual Meeting of Stockholders</w:t>
      </w:r>
    </w:p>
    <w:p>
      <w:pPr>
        <w:spacing w:after="0" w:line="72" w:lineRule="exact"/>
        <w:rPr>
          <w:rFonts w:ascii="Arial" w:cs="Arial" w:eastAsia="Arial" w:hAnsi="Arial"/>
          <w:sz w:val="16"/>
          <w:szCs w:val="16"/>
          <w:color w:val="auto"/>
        </w:rPr>
      </w:pPr>
    </w:p>
    <w:p>
      <w:pPr>
        <w:ind w:left="620" w:hanging="299"/>
        <w:spacing w:after="0"/>
        <w:tabs>
          <w:tab w:leader="none" w:pos="620"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0000EE"/>
        </w:rPr>
        <w:t>Business Information—About G-III</w:t>
      </w:r>
    </w:p>
    <w:p>
      <w:pPr>
        <w:spacing w:after="0" w:line="262" w:lineRule="exact"/>
        <w:rPr>
          <w:sz w:val="20"/>
          <w:szCs w:val="20"/>
          <w:color w:val="auto"/>
        </w:rPr>
      </w:pPr>
    </w:p>
    <w:p>
      <w:pPr>
        <w:ind w:left="620" w:hanging="299"/>
        <w:spacing w:after="0"/>
        <w:tabs>
          <w:tab w:leader="none" w:pos="620"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0000EE"/>
        </w:rPr>
        <w:t>Our Business Performance in Fiscal 2026</w:t>
      </w:r>
    </w:p>
    <w:p>
      <w:pPr>
        <w:spacing w:after="0" w:line="262" w:lineRule="exact"/>
        <w:rPr>
          <w:sz w:val="20"/>
          <w:szCs w:val="20"/>
          <w:color w:val="auto"/>
        </w:rPr>
      </w:pPr>
    </w:p>
    <w:p>
      <w:pPr>
        <w:ind w:left="620" w:hanging="299"/>
        <w:spacing w:after="0"/>
        <w:tabs>
          <w:tab w:leader="none" w:pos="620"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0000EE"/>
        </w:rPr>
        <w:t>Our Director Nominees</w:t>
      </w:r>
    </w:p>
    <w:p>
      <w:pPr>
        <w:spacing w:after="0" w:line="72" w:lineRule="exact"/>
        <w:rPr>
          <w:rFonts w:ascii="Arial" w:cs="Arial" w:eastAsia="Arial" w:hAnsi="Arial"/>
          <w:sz w:val="16"/>
          <w:szCs w:val="16"/>
          <w:color w:val="auto"/>
        </w:rPr>
      </w:pPr>
    </w:p>
    <w:p>
      <w:pPr>
        <w:ind w:left="240"/>
        <w:spacing w:after="0"/>
        <w:rPr>
          <w:rFonts w:ascii="Arial" w:cs="Arial" w:eastAsia="Arial" w:hAnsi="Arial"/>
          <w:sz w:val="16"/>
          <w:szCs w:val="16"/>
          <w:color w:val="auto"/>
        </w:rPr>
      </w:pPr>
      <w:r>
        <w:rPr>
          <w:rFonts w:ascii="Arial" w:cs="Arial" w:eastAsia="Arial" w:hAnsi="Arial"/>
          <w:sz w:val="16"/>
          <w:szCs w:val="16"/>
          <w:color w:val="auto"/>
        </w:rPr>
        <w:t xml:space="preserve">10   </w:t>
      </w:r>
      <w:r>
        <w:rPr>
          <w:rFonts w:ascii="Arial" w:cs="Arial" w:eastAsia="Arial" w:hAnsi="Arial"/>
          <w:sz w:val="16"/>
          <w:szCs w:val="16"/>
          <w:u w:val="single" w:color="auto"/>
          <w:color w:val="0000EE"/>
        </w:rPr>
        <w:t>Governance Highlights</w:t>
      </w:r>
    </w:p>
    <w:p>
      <w:pPr>
        <w:spacing w:after="0" w:line="126" w:lineRule="exact"/>
        <w:rPr>
          <w:rFonts w:ascii="Arial" w:cs="Arial" w:eastAsia="Arial" w:hAnsi="Arial"/>
          <w:sz w:val="16"/>
          <w:szCs w:val="16"/>
          <w:color w:val="auto"/>
        </w:rPr>
      </w:pPr>
    </w:p>
    <w:p>
      <w:pPr>
        <w:ind w:left="240"/>
        <w:spacing w:after="0"/>
        <w:rPr>
          <w:rFonts w:ascii="Arial" w:cs="Arial" w:eastAsia="Arial" w:hAnsi="Arial"/>
          <w:sz w:val="16"/>
          <w:szCs w:val="16"/>
          <w:color w:val="auto"/>
        </w:rPr>
      </w:pPr>
      <w:r>
        <w:rPr>
          <w:rFonts w:ascii="Arial" w:cs="Arial" w:eastAsia="Arial" w:hAnsi="Arial"/>
          <w:sz w:val="16"/>
          <w:szCs w:val="16"/>
          <w:color w:val="auto"/>
        </w:rPr>
        <w:t xml:space="preserve">10   </w:t>
      </w:r>
      <w:r>
        <w:rPr>
          <w:rFonts w:ascii="Arial" w:cs="Arial" w:eastAsia="Arial" w:hAnsi="Arial"/>
          <w:sz w:val="16"/>
          <w:szCs w:val="16"/>
          <w:u w:val="single" w:color="auto"/>
          <w:color w:val="0000EE"/>
        </w:rPr>
        <w:t>Stockholder Outreach</w:t>
      </w:r>
    </w:p>
    <w:p>
      <w:pPr>
        <w:spacing w:after="0" w:line="126" w:lineRule="exact"/>
        <w:rPr>
          <w:rFonts w:ascii="Arial" w:cs="Arial" w:eastAsia="Arial" w:hAnsi="Arial"/>
          <w:sz w:val="16"/>
          <w:szCs w:val="16"/>
          <w:color w:val="auto"/>
        </w:rPr>
      </w:pPr>
    </w:p>
    <w:p>
      <w:pPr>
        <w:ind w:left="240"/>
        <w:spacing w:after="0"/>
        <w:rPr>
          <w:rFonts w:ascii="Arial" w:cs="Arial" w:eastAsia="Arial" w:hAnsi="Arial"/>
          <w:sz w:val="16"/>
          <w:szCs w:val="16"/>
          <w:color w:val="auto"/>
        </w:rPr>
      </w:pPr>
      <w:r>
        <w:rPr>
          <w:rFonts w:ascii="Arial" w:cs="Arial" w:eastAsia="Arial" w:hAnsi="Arial"/>
          <w:sz w:val="16"/>
          <w:szCs w:val="16"/>
          <w:color w:val="auto"/>
        </w:rPr>
        <w:t xml:space="preserve">10   </w:t>
      </w:r>
      <w:r>
        <w:rPr>
          <w:rFonts w:ascii="Arial" w:cs="Arial" w:eastAsia="Arial" w:hAnsi="Arial"/>
          <w:sz w:val="16"/>
          <w:szCs w:val="16"/>
          <w:u w:val="single" w:color="auto"/>
          <w:color w:val="0000EE"/>
        </w:rPr>
        <w:t>Corporate Social Responsibility</w:t>
      </w:r>
    </w:p>
    <w:p>
      <w:pPr>
        <w:spacing w:after="0" w:line="200" w:lineRule="exact"/>
        <w:rPr>
          <w:sz w:val="20"/>
          <w:szCs w:val="20"/>
          <w:color w:val="auto"/>
        </w:rPr>
      </w:pPr>
    </w:p>
    <w:p>
      <w:pPr>
        <w:spacing w:after="0" w:line="237" w:lineRule="exact"/>
        <w:rPr>
          <w:sz w:val="20"/>
          <w:szCs w:val="20"/>
          <w:color w:val="auto"/>
        </w:rPr>
      </w:pPr>
    </w:p>
    <w:p>
      <w:pPr>
        <w:ind w:left="620" w:hanging="396"/>
        <w:spacing w:after="0"/>
        <w:tabs>
          <w:tab w:leader="none" w:pos="620"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0000EE"/>
        </w:rPr>
        <w:t>Executive Compensation Highlights</w:t>
      </w:r>
    </w:p>
    <w:p>
      <w:pPr>
        <w:spacing w:after="0" w:line="126" w:lineRule="exact"/>
        <w:rPr>
          <w:rFonts w:ascii="Arial" w:cs="Arial" w:eastAsia="Arial" w:hAnsi="Arial"/>
          <w:sz w:val="16"/>
          <w:szCs w:val="16"/>
          <w:color w:val="auto"/>
        </w:rPr>
      </w:pPr>
    </w:p>
    <w:p>
      <w:pPr>
        <w:ind w:left="620" w:right="180" w:hanging="389"/>
        <w:spacing w:after="0" w:line="263" w:lineRule="auto"/>
        <w:tabs>
          <w:tab w:leader="none" w:pos="620"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0000EE"/>
        </w:rPr>
        <w:t>Approval of Our Amended 2023 Long-Term Incentive Plan</w:t>
      </w:r>
    </w:p>
    <w:p>
      <w:pPr>
        <w:spacing w:after="0" w:line="55" w:lineRule="exact"/>
        <w:rPr>
          <w:rFonts w:ascii="Arial" w:cs="Arial" w:eastAsia="Arial" w:hAnsi="Arial"/>
          <w:sz w:val="16"/>
          <w:szCs w:val="16"/>
          <w:color w:val="auto"/>
        </w:rPr>
      </w:pPr>
    </w:p>
    <w:p>
      <w:pPr>
        <w:ind w:left="620" w:hanging="449"/>
        <w:spacing w:after="0" w:line="182" w:lineRule="auto"/>
        <w:tabs>
          <w:tab w:leader="none" w:pos="620" w:val="left"/>
        </w:tabs>
        <w:numPr>
          <w:ilvl w:val="0"/>
          <w:numId w:val="13"/>
        </w:numPr>
        <w:rPr>
          <w:rFonts w:ascii="Arial" w:cs="Arial" w:eastAsia="Arial" w:hAnsi="Arial"/>
          <w:sz w:val="33"/>
          <w:szCs w:val="33"/>
          <w:b w:val="1"/>
          <w:bCs w:val="1"/>
          <w:color w:val="auto"/>
          <w:vertAlign w:val="subscript"/>
        </w:rPr>
      </w:pPr>
      <w:r>
        <w:rPr>
          <w:rFonts w:ascii="Arial" w:cs="Arial" w:eastAsia="Arial" w:hAnsi="Arial"/>
          <w:sz w:val="14"/>
          <w:szCs w:val="14"/>
          <w:b w:val="1"/>
          <w:bCs w:val="1"/>
          <w:u w:val="single" w:color="auto"/>
          <w:color w:val="0000EE"/>
        </w:rPr>
        <w:t>BENEFICIAL OWNERSHIP OF COMMON STOCK BY CERTAIN STOCKHOLDERS AND MANAGEMENT</w:t>
      </w:r>
    </w:p>
    <w:p>
      <w:pPr>
        <w:ind w:left="620" w:hanging="449"/>
        <w:spacing w:after="0" w:line="217" w:lineRule="auto"/>
        <w:tabs>
          <w:tab w:leader="none" w:pos="620" w:val="left"/>
        </w:tabs>
        <w:numPr>
          <w:ilvl w:val="0"/>
          <w:numId w:val="14"/>
        </w:numPr>
        <w:rPr>
          <w:rFonts w:ascii="Arial" w:cs="Arial" w:eastAsia="Arial" w:hAnsi="Arial"/>
          <w:sz w:val="43"/>
          <w:szCs w:val="43"/>
          <w:b w:val="1"/>
          <w:bCs w:val="1"/>
          <w:color w:val="auto"/>
          <w:vertAlign w:val="subscript"/>
        </w:rPr>
      </w:pPr>
      <w:r>
        <w:rPr>
          <w:rFonts w:ascii="Arial" w:cs="Arial" w:eastAsia="Arial" w:hAnsi="Arial"/>
          <w:sz w:val="16"/>
          <w:szCs w:val="16"/>
          <w:b w:val="1"/>
          <w:bCs w:val="1"/>
          <w:u w:val="single" w:color="auto"/>
          <w:color w:val="0000EE"/>
        </w:rPr>
        <w:t>CORPORATE GOVERNANCE</w:t>
      </w:r>
    </w:p>
    <w:p>
      <w:pPr>
        <w:spacing w:after="0" w:line="223" w:lineRule="exact"/>
        <w:rPr>
          <w:sz w:val="20"/>
          <w:szCs w:val="20"/>
          <w:color w:val="auto"/>
        </w:rPr>
      </w:pPr>
    </w:p>
    <w:p>
      <w:pPr>
        <w:ind w:left="620" w:hanging="389"/>
        <w:spacing w:after="0"/>
        <w:tabs>
          <w:tab w:leader="none" w:pos="620"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0000EE"/>
        </w:rPr>
        <w:t>Board of Directors</w:t>
      </w:r>
    </w:p>
    <w:p>
      <w:pPr>
        <w:spacing w:after="0" w:line="115" w:lineRule="exact"/>
        <w:rPr>
          <w:rFonts w:ascii="Arial" w:cs="Arial" w:eastAsia="Arial" w:hAnsi="Arial"/>
          <w:sz w:val="16"/>
          <w:szCs w:val="16"/>
          <w:color w:val="auto"/>
        </w:rPr>
      </w:pPr>
    </w:p>
    <w:p>
      <w:pPr>
        <w:ind w:left="620" w:hanging="389"/>
        <w:spacing w:after="0"/>
        <w:tabs>
          <w:tab w:leader="none" w:pos="620" w:val="left"/>
        </w:tabs>
        <w:numPr>
          <w:ilvl w:val="0"/>
          <w:numId w:val="16"/>
        </w:numPr>
        <w:rPr>
          <w:rFonts w:ascii="Arial" w:cs="Arial" w:eastAsia="Arial" w:hAnsi="Arial"/>
          <w:sz w:val="16"/>
          <w:szCs w:val="16"/>
          <w:color w:val="auto"/>
        </w:rPr>
      </w:pPr>
      <w:r>
        <w:rPr>
          <w:rFonts w:ascii="Arial" w:cs="Arial" w:eastAsia="Arial" w:hAnsi="Arial"/>
          <w:sz w:val="16"/>
          <w:szCs w:val="16"/>
          <w:i w:val="1"/>
          <w:iCs w:val="1"/>
          <w:u w:val="single" w:color="auto"/>
          <w:color w:val="0000EE"/>
        </w:rPr>
        <w:t>Audit Committee</w:t>
      </w:r>
    </w:p>
    <w:p>
      <w:pPr>
        <w:spacing w:after="0" w:line="126" w:lineRule="exact"/>
        <w:rPr>
          <w:rFonts w:ascii="Arial" w:cs="Arial" w:eastAsia="Arial" w:hAnsi="Arial"/>
          <w:sz w:val="16"/>
          <w:szCs w:val="16"/>
          <w:color w:val="auto"/>
        </w:rPr>
      </w:pPr>
    </w:p>
    <w:p>
      <w:pPr>
        <w:ind w:left="620" w:hanging="391"/>
        <w:spacing w:after="0"/>
        <w:tabs>
          <w:tab w:leader="none" w:pos="620" w:val="left"/>
        </w:tabs>
        <w:numPr>
          <w:ilvl w:val="0"/>
          <w:numId w:val="16"/>
        </w:numPr>
        <w:rPr>
          <w:rFonts w:ascii="Arial" w:cs="Arial" w:eastAsia="Arial" w:hAnsi="Arial"/>
          <w:sz w:val="16"/>
          <w:szCs w:val="16"/>
          <w:color w:val="auto"/>
        </w:rPr>
      </w:pPr>
      <w:r>
        <w:rPr>
          <w:rFonts w:ascii="Arial" w:cs="Arial" w:eastAsia="Arial" w:hAnsi="Arial"/>
          <w:sz w:val="16"/>
          <w:szCs w:val="16"/>
          <w:i w:val="1"/>
          <w:iCs w:val="1"/>
          <w:u w:val="single" w:color="auto"/>
          <w:color w:val="0000EE"/>
        </w:rPr>
        <w:t>Compensation Committee</w:t>
      </w:r>
    </w:p>
    <w:p>
      <w:pPr>
        <w:spacing w:after="0" w:line="200" w:lineRule="exact"/>
        <w:rPr>
          <w:rFonts w:ascii="Arial" w:cs="Arial" w:eastAsia="Arial" w:hAnsi="Arial"/>
          <w:sz w:val="16"/>
          <w:szCs w:val="16"/>
          <w:color w:val="auto"/>
        </w:rPr>
      </w:pPr>
    </w:p>
    <w:p>
      <w:pPr>
        <w:spacing w:after="0" w:line="250" w:lineRule="exact"/>
        <w:rPr>
          <w:rFonts w:ascii="Arial" w:cs="Arial" w:eastAsia="Arial" w:hAnsi="Arial"/>
          <w:sz w:val="16"/>
          <w:szCs w:val="16"/>
          <w:color w:val="auto"/>
        </w:rPr>
      </w:pPr>
    </w:p>
    <w:p>
      <w:pPr>
        <w:ind w:left="620" w:hanging="391"/>
        <w:spacing w:after="0"/>
        <w:tabs>
          <w:tab w:leader="none" w:pos="620" w:val="left"/>
        </w:tabs>
        <w:numPr>
          <w:ilvl w:val="0"/>
          <w:numId w:val="16"/>
        </w:numPr>
        <w:rPr>
          <w:rFonts w:ascii="Arial" w:cs="Arial" w:eastAsia="Arial" w:hAnsi="Arial"/>
          <w:sz w:val="16"/>
          <w:szCs w:val="16"/>
          <w:color w:val="auto"/>
        </w:rPr>
      </w:pPr>
      <w:r>
        <w:rPr>
          <w:rFonts w:ascii="Arial" w:cs="Arial" w:eastAsia="Arial" w:hAnsi="Arial"/>
          <w:sz w:val="16"/>
          <w:szCs w:val="16"/>
          <w:i w:val="1"/>
          <w:iCs w:val="1"/>
          <w:u w:val="single" w:color="auto"/>
          <w:color w:val="0000EE"/>
        </w:rPr>
        <w:t>Nominating and Corporate Governance Committee</w:t>
      </w:r>
    </w:p>
    <w:p>
      <w:pPr>
        <w:spacing w:after="0" w:line="259" w:lineRule="exact"/>
        <w:rPr>
          <w:rFonts w:ascii="Arial" w:cs="Arial" w:eastAsia="Arial" w:hAnsi="Arial"/>
          <w:sz w:val="16"/>
          <w:szCs w:val="16"/>
          <w:color w:val="auto"/>
        </w:rPr>
      </w:pPr>
    </w:p>
    <w:p>
      <w:pPr>
        <w:ind w:left="620" w:hanging="389"/>
        <w:spacing w:after="0"/>
        <w:tabs>
          <w:tab w:leader="none" w:pos="620"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0000EE"/>
        </w:rPr>
        <w:t>Stockholder Communications</w:t>
      </w:r>
    </w:p>
    <w:p>
      <w:pPr>
        <w:spacing w:after="0" w:line="126" w:lineRule="exact"/>
        <w:rPr>
          <w:rFonts w:ascii="Arial" w:cs="Arial" w:eastAsia="Arial" w:hAnsi="Arial"/>
          <w:sz w:val="16"/>
          <w:szCs w:val="16"/>
          <w:color w:val="auto"/>
        </w:rPr>
      </w:pPr>
    </w:p>
    <w:p>
      <w:pPr>
        <w:ind w:left="620" w:hanging="389"/>
        <w:spacing w:after="0"/>
        <w:tabs>
          <w:tab w:leader="none" w:pos="620"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0000EE"/>
        </w:rPr>
        <w:t>Risk Oversight</w:t>
      </w:r>
    </w:p>
    <w:p>
      <w:pPr>
        <w:spacing w:after="0" w:line="127" w:lineRule="exact"/>
        <w:rPr>
          <w:sz w:val="20"/>
          <w:szCs w:val="20"/>
          <w:color w:val="auto"/>
        </w:rPr>
      </w:pPr>
    </w:p>
    <w:p>
      <w:pPr>
        <w:ind w:left="620" w:hanging="389"/>
        <w:spacing w:after="0"/>
        <w:tabs>
          <w:tab w:leader="none" w:pos="620"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0000EE"/>
        </w:rPr>
        <w:t>Leadership Structure of the Board</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left="342" w:hanging="342"/>
        <w:spacing w:after="0"/>
        <w:tabs>
          <w:tab w:leader="none" w:pos="342" w:val="left"/>
        </w:tabs>
        <w:numPr>
          <w:ilvl w:val="0"/>
          <w:numId w:val="18"/>
        </w:numPr>
        <w:rPr>
          <w:rFonts w:ascii="Arial" w:cs="Arial" w:eastAsia="Arial" w:hAnsi="Arial"/>
          <w:sz w:val="16"/>
          <w:szCs w:val="16"/>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0000EE"/>
        </w:rPr>
        <w:t>Additional Corporate Governance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-115570</wp:posOffset>
            </wp:positionV>
            <wp:extent cx="3077210" cy="52374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077210" cy="5237480"/>
                    </a:xfrm>
                    <a:prstGeom prst="rect">
                      <a:avLst/>
                    </a:prstGeom>
                    <a:noFill/>
                  </pic:spPr>
                </pic:pic>
              </a:graphicData>
            </a:graphic>
          </wp:anchor>
        </w:drawing>
      </w:r>
    </w:p>
    <w:p>
      <w:pPr>
        <w:ind w:left="722" w:hanging="449"/>
        <w:spacing w:after="0" w:line="182" w:lineRule="auto"/>
        <w:tabs>
          <w:tab w:leader="none" w:pos="722" w:val="left"/>
        </w:tabs>
        <w:numPr>
          <w:ilvl w:val="0"/>
          <w:numId w:val="19"/>
        </w:numPr>
        <w:rPr>
          <w:rFonts w:ascii="Arial" w:cs="Arial" w:eastAsia="Arial" w:hAnsi="Arial"/>
          <w:sz w:val="40"/>
          <w:szCs w:val="40"/>
          <w:b w:val="1"/>
          <w:bCs w:val="1"/>
          <w:color w:val="auto"/>
          <w:vertAlign w:val="subscript"/>
        </w:rPr>
      </w:pPr>
      <w:r>
        <w:rPr>
          <w:rFonts w:ascii="Arial" w:cs="Arial" w:eastAsia="Arial" w:hAnsi="Arial"/>
          <w:sz w:val="16"/>
          <w:szCs w:val="16"/>
          <w:b w:val="1"/>
          <w:bCs w:val="1"/>
          <w:u w:val="single" w:color="auto"/>
          <w:color w:val="0000EE"/>
        </w:rPr>
        <w:t>COMPENSATION DISCUSSION AND ANALYSIS</w:t>
      </w:r>
    </w:p>
    <w:p>
      <w:pPr>
        <w:spacing w:after="0" w:line="75" w:lineRule="exact"/>
        <w:rPr>
          <w:sz w:val="20"/>
          <w:szCs w:val="20"/>
          <w:color w:val="auto"/>
        </w:rPr>
      </w:pPr>
    </w:p>
    <w:p>
      <w:pPr>
        <w:ind w:left="722" w:hanging="389"/>
        <w:spacing w:after="0"/>
        <w:tabs>
          <w:tab w:leader="none" w:pos="722"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0000EE"/>
        </w:rPr>
        <w:t>CD&amp;A Table of Contents</w:t>
      </w:r>
    </w:p>
    <w:p>
      <w:pPr>
        <w:spacing w:after="0" w:line="126" w:lineRule="exact"/>
        <w:rPr>
          <w:rFonts w:ascii="Arial" w:cs="Arial" w:eastAsia="Arial" w:hAnsi="Arial"/>
          <w:sz w:val="16"/>
          <w:szCs w:val="16"/>
          <w:color w:val="auto"/>
        </w:rPr>
      </w:pPr>
    </w:p>
    <w:p>
      <w:pPr>
        <w:ind w:left="722" w:hanging="389"/>
        <w:spacing w:after="0"/>
        <w:tabs>
          <w:tab w:leader="none" w:pos="722"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0000EE"/>
        </w:rPr>
        <w:t>Executive Summary</w:t>
      </w:r>
    </w:p>
    <w:p>
      <w:pPr>
        <w:spacing w:after="0" w:line="73" w:lineRule="exact"/>
        <w:rPr>
          <w:sz w:val="20"/>
          <w:szCs w:val="20"/>
          <w:color w:val="auto"/>
        </w:rPr>
      </w:pPr>
    </w:p>
    <w:p>
      <w:pPr>
        <w:ind w:left="722" w:right="160" w:hanging="389"/>
        <w:spacing w:after="0" w:line="286" w:lineRule="auto"/>
        <w:tabs>
          <w:tab w:leader="none" w:pos="722"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0000EE"/>
        </w:rPr>
        <w:t>Elements of Our Compensation Program—What We Pay and Why</w:t>
      </w:r>
    </w:p>
    <w:p>
      <w:pPr>
        <w:spacing w:after="0" w:line="7" w:lineRule="exact"/>
        <w:rPr>
          <w:sz w:val="20"/>
          <w:szCs w:val="20"/>
          <w:color w:val="auto"/>
        </w:rPr>
      </w:pPr>
    </w:p>
    <w:p>
      <w:pPr>
        <w:ind w:left="722" w:right="700" w:hanging="389"/>
        <w:spacing w:after="0" w:line="286" w:lineRule="auto"/>
        <w:tabs>
          <w:tab w:leader="none" w:pos="722"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0000EE"/>
        </w:rPr>
        <w:t>Other Compensation and Governance Programs, Policies and Considerations</w:t>
      </w:r>
    </w:p>
    <w:p>
      <w:pPr>
        <w:spacing w:after="0" w:line="7" w:lineRule="exact"/>
        <w:rPr>
          <w:sz w:val="20"/>
          <w:szCs w:val="20"/>
          <w:color w:val="auto"/>
        </w:rPr>
      </w:pPr>
    </w:p>
    <w:p>
      <w:pPr>
        <w:ind w:left="722" w:hanging="389"/>
        <w:spacing w:after="0"/>
        <w:tabs>
          <w:tab w:leader="none" w:pos="722"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0000EE"/>
        </w:rPr>
        <w:t>How We Make Compensation Decisions</w:t>
      </w:r>
    </w:p>
    <w:p>
      <w:pPr>
        <w:ind w:left="722" w:hanging="449"/>
        <w:spacing w:after="0" w:line="184" w:lineRule="auto"/>
        <w:tabs>
          <w:tab w:leader="none" w:pos="722" w:val="left"/>
        </w:tabs>
        <w:numPr>
          <w:ilvl w:val="0"/>
          <w:numId w:val="24"/>
        </w:numPr>
        <w:rPr>
          <w:rFonts w:ascii="Arial" w:cs="Arial" w:eastAsia="Arial" w:hAnsi="Arial"/>
          <w:sz w:val="35"/>
          <w:szCs w:val="35"/>
          <w:b w:val="1"/>
          <w:bCs w:val="1"/>
          <w:color w:val="auto"/>
          <w:vertAlign w:val="subscript"/>
        </w:rPr>
      </w:pPr>
      <w:r>
        <w:rPr>
          <w:rFonts w:ascii="Arial" w:cs="Arial" w:eastAsia="Arial" w:hAnsi="Arial"/>
          <w:sz w:val="14"/>
          <w:szCs w:val="14"/>
          <w:b w:val="1"/>
          <w:bCs w:val="1"/>
          <w:u w:val="single" w:color="auto"/>
          <w:color w:val="0000EE"/>
        </w:rPr>
        <w:t>COMPENSATION COMMITTEE REPORT</w:t>
      </w:r>
    </w:p>
    <w:p>
      <w:pPr>
        <w:spacing w:after="0" w:line="60" w:lineRule="exact"/>
        <w:rPr>
          <w:rFonts w:ascii="Arial" w:cs="Arial" w:eastAsia="Arial" w:hAnsi="Arial"/>
          <w:sz w:val="35"/>
          <w:szCs w:val="35"/>
          <w:b w:val="1"/>
          <w:bCs w:val="1"/>
          <w:color w:val="auto"/>
          <w:vertAlign w:val="subscript"/>
        </w:rPr>
      </w:pPr>
    </w:p>
    <w:p>
      <w:pPr>
        <w:ind w:left="722" w:hanging="449"/>
        <w:spacing w:after="0" w:line="186" w:lineRule="auto"/>
        <w:tabs>
          <w:tab w:leader="none" w:pos="722" w:val="left"/>
        </w:tabs>
        <w:numPr>
          <w:ilvl w:val="0"/>
          <w:numId w:val="24"/>
        </w:numPr>
        <w:rPr>
          <w:rFonts w:ascii="Arial" w:cs="Arial" w:eastAsia="Arial" w:hAnsi="Arial"/>
          <w:sz w:val="28"/>
          <w:szCs w:val="28"/>
          <w:b w:val="1"/>
          <w:bCs w:val="1"/>
          <w:color w:val="auto"/>
          <w:vertAlign w:val="subscript"/>
        </w:rPr>
      </w:pPr>
      <w:r>
        <w:rPr>
          <w:rFonts w:ascii="Arial" w:cs="Arial" w:eastAsia="Arial" w:hAnsi="Arial"/>
          <w:sz w:val="13"/>
          <w:szCs w:val="13"/>
          <w:b w:val="1"/>
          <w:bCs w:val="1"/>
          <w:u w:val="single" w:color="auto"/>
          <w:color w:val="0000EE"/>
        </w:rPr>
        <w:t>EXECUTIVE COMPENSATION TABLES</w:t>
      </w:r>
    </w:p>
    <w:p>
      <w:pPr>
        <w:ind w:left="722" w:hanging="449"/>
        <w:spacing w:after="0" w:line="180" w:lineRule="auto"/>
        <w:tabs>
          <w:tab w:leader="none" w:pos="722" w:val="left"/>
        </w:tabs>
        <w:numPr>
          <w:ilvl w:val="0"/>
          <w:numId w:val="25"/>
        </w:numPr>
        <w:rPr>
          <w:rFonts w:ascii="Arial" w:cs="Arial" w:eastAsia="Arial" w:hAnsi="Arial"/>
          <w:sz w:val="36"/>
          <w:szCs w:val="36"/>
          <w:b w:val="1"/>
          <w:bCs w:val="1"/>
          <w:color w:val="auto"/>
          <w:vertAlign w:val="subscript"/>
        </w:rPr>
      </w:pPr>
      <w:r>
        <w:rPr>
          <w:rFonts w:ascii="Arial" w:cs="Arial" w:eastAsia="Arial" w:hAnsi="Arial"/>
          <w:sz w:val="15"/>
          <w:szCs w:val="15"/>
          <w:b w:val="1"/>
          <w:bCs w:val="1"/>
          <w:u w:val="single" w:color="auto"/>
          <w:color w:val="0000EE"/>
        </w:rPr>
        <w:t>CEO PAY RATIO</w:t>
      </w:r>
    </w:p>
    <w:p>
      <w:pPr>
        <w:spacing w:after="0" w:line="60" w:lineRule="exact"/>
        <w:rPr>
          <w:rFonts w:ascii="Arial" w:cs="Arial" w:eastAsia="Arial" w:hAnsi="Arial"/>
          <w:sz w:val="36"/>
          <w:szCs w:val="36"/>
          <w:b w:val="1"/>
          <w:bCs w:val="1"/>
          <w:color w:val="auto"/>
          <w:vertAlign w:val="subscript"/>
        </w:rPr>
      </w:pPr>
    </w:p>
    <w:p>
      <w:pPr>
        <w:ind w:left="722" w:hanging="449"/>
        <w:spacing w:after="0" w:line="186" w:lineRule="auto"/>
        <w:tabs>
          <w:tab w:leader="none" w:pos="722" w:val="left"/>
        </w:tabs>
        <w:numPr>
          <w:ilvl w:val="0"/>
          <w:numId w:val="25"/>
        </w:numPr>
        <w:rPr>
          <w:rFonts w:ascii="Arial" w:cs="Arial" w:eastAsia="Arial" w:hAnsi="Arial"/>
          <w:sz w:val="28"/>
          <w:szCs w:val="28"/>
          <w:b w:val="1"/>
          <w:bCs w:val="1"/>
          <w:color w:val="auto"/>
          <w:vertAlign w:val="subscript"/>
        </w:rPr>
      </w:pPr>
      <w:r>
        <w:rPr>
          <w:rFonts w:ascii="Arial" w:cs="Arial" w:eastAsia="Arial" w:hAnsi="Arial"/>
          <w:sz w:val="13"/>
          <w:szCs w:val="13"/>
          <w:b w:val="1"/>
          <w:bCs w:val="1"/>
          <w:u w:val="single" w:color="auto"/>
          <w:color w:val="0000EE"/>
        </w:rPr>
        <w:t>PAY VS. PERFORMANCE</w:t>
      </w:r>
    </w:p>
    <w:p>
      <w:pPr>
        <w:ind w:left="722" w:hanging="449"/>
        <w:spacing w:after="0" w:line="180" w:lineRule="auto"/>
        <w:tabs>
          <w:tab w:leader="none" w:pos="722" w:val="left"/>
        </w:tabs>
        <w:numPr>
          <w:ilvl w:val="0"/>
          <w:numId w:val="26"/>
        </w:numPr>
        <w:rPr>
          <w:rFonts w:ascii="Arial" w:cs="Arial" w:eastAsia="Arial" w:hAnsi="Arial"/>
          <w:sz w:val="36"/>
          <w:szCs w:val="36"/>
          <w:b w:val="1"/>
          <w:bCs w:val="1"/>
          <w:color w:val="auto"/>
          <w:vertAlign w:val="subscript"/>
        </w:rPr>
      </w:pPr>
      <w:r>
        <w:rPr>
          <w:rFonts w:ascii="Arial" w:cs="Arial" w:eastAsia="Arial" w:hAnsi="Arial"/>
          <w:sz w:val="15"/>
          <w:szCs w:val="15"/>
          <w:b w:val="1"/>
          <w:bCs w:val="1"/>
          <w:u w:val="single" w:color="auto"/>
          <w:color w:val="0000EE"/>
        </w:rPr>
        <w:t>DIRECTOR COMPENSATION</w:t>
      </w:r>
    </w:p>
    <w:p>
      <w:pPr>
        <w:ind w:left="722" w:hanging="449"/>
        <w:spacing w:after="0" w:line="180" w:lineRule="auto"/>
        <w:tabs>
          <w:tab w:leader="none" w:pos="722" w:val="left"/>
        </w:tabs>
        <w:numPr>
          <w:ilvl w:val="0"/>
          <w:numId w:val="27"/>
        </w:numPr>
        <w:rPr>
          <w:rFonts w:ascii="Arial" w:cs="Arial" w:eastAsia="Arial" w:hAnsi="Arial"/>
          <w:sz w:val="36"/>
          <w:szCs w:val="36"/>
          <w:b w:val="1"/>
          <w:bCs w:val="1"/>
          <w:color w:val="auto"/>
          <w:vertAlign w:val="subscript"/>
        </w:rPr>
      </w:pPr>
      <w:r>
        <w:rPr>
          <w:rFonts w:ascii="Arial" w:cs="Arial" w:eastAsia="Arial" w:hAnsi="Arial"/>
          <w:sz w:val="15"/>
          <w:szCs w:val="15"/>
          <w:b w:val="1"/>
          <w:bCs w:val="1"/>
          <w:color w:val="4A7EBB"/>
        </w:rPr>
        <w:t xml:space="preserve">PROPOSAL NO. 1 </w:t>
      </w:r>
      <w:r>
        <w:rPr>
          <w:rFonts w:ascii="Arial" w:cs="Arial" w:eastAsia="Arial" w:hAnsi="Arial"/>
          <w:sz w:val="15"/>
          <w:szCs w:val="15"/>
          <w:b w:val="1"/>
          <w:bCs w:val="1"/>
          <w:color w:val="0000EE"/>
        </w:rPr>
        <w:t>ELECTION OF DIRECTORS</w:t>
      </w:r>
    </w:p>
    <w:p>
      <w:pPr>
        <w:spacing w:after="0" w:line="223" w:lineRule="exact"/>
        <w:rPr>
          <w:sz w:val="20"/>
          <w:szCs w:val="20"/>
          <w:color w:val="auto"/>
        </w:rPr>
      </w:pPr>
    </w:p>
    <w:p>
      <w:pPr>
        <w:ind w:left="722" w:right="640" w:hanging="449"/>
        <w:spacing w:after="0" w:line="181" w:lineRule="auto"/>
        <w:tabs>
          <w:tab w:leader="none" w:pos="722" w:val="left"/>
        </w:tabs>
        <w:numPr>
          <w:ilvl w:val="0"/>
          <w:numId w:val="28"/>
        </w:numPr>
        <w:rPr>
          <w:rFonts w:ascii="Arial" w:cs="Arial" w:eastAsia="Arial" w:hAnsi="Arial"/>
          <w:sz w:val="39"/>
          <w:szCs w:val="39"/>
          <w:b w:val="1"/>
          <w:bCs w:val="1"/>
          <w:color w:val="auto"/>
          <w:vertAlign w:val="subscript"/>
        </w:rPr>
      </w:pPr>
      <w:r>
        <w:rPr>
          <w:rFonts w:ascii="Arial" w:cs="Arial" w:eastAsia="Arial" w:hAnsi="Arial"/>
          <w:sz w:val="15"/>
          <w:szCs w:val="15"/>
          <w:b w:val="1"/>
          <w:bCs w:val="1"/>
          <w:color w:val="4A7EBB"/>
        </w:rPr>
        <w:t xml:space="preserve">PROPOSAL NO. 2 </w:t>
      </w:r>
      <w:r>
        <w:rPr>
          <w:rFonts w:ascii="Arial" w:cs="Arial" w:eastAsia="Arial" w:hAnsi="Arial"/>
          <w:sz w:val="15"/>
          <w:szCs w:val="15"/>
          <w:b w:val="1"/>
          <w:bCs w:val="1"/>
          <w:color w:val="0000EE"/>
        </w:rPr>
        <w:t>ADVISORY VOTE ON</w:t>
      </w:r>
      <w:r>
        <w:rPr>
          <w:rFonts w:ascii="Arial" w:cs="Arial" w:eastAsia="Arial" w:hAnsi="Arial"/>
          <w:sz w:val="15"/>
          <w:szCs w:val="15"/>
          <w:b w:val="1"/>
          <w:bCs w:val="1"/>
          <w:color w:val="4A7EBB"/>
        </w:rPr>
        <w:t xml:space="preserve"> </w:t>
      </w:r>
      <w:r>
        <w:rPr>
          <w:rFonts w:ascii="Arial" w:cs="Arial" w:eastAsia="Arial" w:hAnsi="Arial"/>
          <w:sz w:val="15"/>
          <w:szCs w:val="15"/>
          <w:b w:val="1"/>
          <w:bCs w:val="1"/>
          <w:u w:val="single" w:color="auto"/>
          <w:color w:val="0000EE"/>
        </w:rPr>
        <w:t>COMPENSATION OF OUR NAMED EXECUTIVE OFFICERS</w:t>
      </w:r>
    </w:p>
    <w:p>
      <w:pPr>
        <w:spacing w:after="0" w:line="36" w:lineRule="exact"/>
        <w:rPr>
          <w:rFonts w:ascii="Arial" w:cs="Arial" w:eastAsia="Arial" w:hAnsi="Arial"/>
          <w:sz w:val="39"/>
          <w:szCs w:val="39"/>
          <w:b w:val="1"/>
          <w:bCs w:val="1"/>
          <w:color w:val="auto"/>
          <w:vertAlign w:val="subscript"/>
        </w:rPr>
      </w:pPr>
    </w:p>
    <w:p>
      <w:pPr>
        <w:ind w:left="722" w:right="380" w:hanging="449"/>
        <w:spacing w:after="0" w:line="182" w:lineRule="auto"/>
        <w:tabs>
          <w:tab w:leader="none" w:pos="722" w:val="left"/>
        </w:tabs>
        <w:numPr>
          <w:ilvl w:val="0"/>
          <w:numId w:val="28"/>
        </w:numPr>
        <w:rPr>
          <w:rFonts w:ascii="Arial" w:cs="Arial" w:eastAsia="Arial" w:hAnsi="Arial"/>
          <w:sz w:val="33"/>
          <w:szCs w:val="33"/>
          <w:b w:val="1"/>
          <w:bCs w:val="1"/>
          <w:color w:val="auto"/>
          <w:vertAlign w:val="subscript"/>
        </w:rPr>
      </w:pPr>
      <w:r>
        <w:rPr>
          <w:rFonts w:ascii="Arial" w:cs="Arial" w:eastAsia="Arial" w:hAnsi="Arial"/>
          <w:sz w:val="14"/>
          <w:szCs w:val="14"/>
          <w:b w:val="1"/>
          <w:bCs w:val="1"/>
          <w:color w:val="4A7EBB"/>
        </w:rPr>
        <w:t xml:space="preserve">PROPOSAL NO. 3 </w:t>
      </w:r>
      <w:r>
        <w:rPr>
          <w:rFonts w:ascii="Arial" w:cs="Arial" w:eastAsia="Arial" w:hAnsi="Arial"/>
          <w:sz w:val="14"/>
          <w:szCs w:val="14"/>
          <w:b w:val="1"/>
          <w:bCs w:val="1"/>
          <w:color w:val="0000EE"/>
        </w:rPr>
        <w:t>APPROVAL OF OUR AMENDED</w:t>
      </w:r>
      <w:r>
        <w:rPr>
          <w:rFonts w:ascii="Arial" w:cs="Arial" w:eastAsia="Arial" w:hAnsi="Arial"/>
          <w:sz w:val="14"/>
          <w:szCs w:val="14"/>
          <w:b w:val="1"/>
          <w:bCs w:val="1"/>
          <w:color w:val="4A7EBB"/>
        </w:rPr>
        <w:t xml:space="preserve"> </w:t>
      </w:r>
      <w:r>
        <w:rPr>
          <w:rFonts w:ascii="Arial" w:cs="Arial" w:eastAsia="Arial" w:hAnsi="Arial"/>
          <w:sz w:val="14"/>
          <w:szCs w:val="14"/>
          <w:b w:val="1"/>
          <w:bCs w:val="1"/>
          <w:u w:val="single" w:color="auto"/>
          <w:color w:val="0000EE"/>
        </w:rPr>
        <w:t>2023 LONG-TERM INCENTIVE PLAN</w:t>
      </w:r>
    </w:p>
    <w:p>
      <w:pPr>
        <w:ind w:left="722" w:hanging="449"/>
        <w:spacing w:after="0" w:line="185" w:lineRule="auto"/>
        <w:tabs>
          <w:tab w:leader="none" w:pos="722" w:val="left"/>
        </w:tabs>
        <w:numPr>
          <w:ilvl w:val="0"/>
          <w:numId w:val="29"/>
        </w:numPr>
        <w:rPr>
          <w:rFonts w:ascii="Arial" w:cs="Arial" w:eastAsia="Arial" w:hAnsi="Arial"/>
          <w:sz w:val="29"/>
          <w:szCs w:val="29"/>
          <w:b w:val="1"/>
          <w:bCs w:val="1"/>
          <w:color w:val="auto"/>
          <w:vertAlign w:val="subscript"/>
        </w:rPr>
      </w:pPr>
      <w:r>
        <w:rPr>
          <w:rFonts w:ascii="Arial" w:cs="Arial" w:eastAsia="Arial" w:hAnsi="Arial"/>
          <w:sz w:val="13"/>
          <w:szCs w:val="13"/>
          <w:b w:val="1"/>
          <w:bCs w:val="1"/>
          <w:u w:val="single" w:color="auto"/>
          <w:color w:val="0000EE"/>
        </w:rPr>
        <w:t>AUDIT COMMITTEE REPORT</w:t>
      </w:r>
    </w:p>
    <w:p>
      <w:pPr>
        <w:spacing w:after="0" w:line="61" w:lineRule="exact"/>
        <w:rPr>
          <w:rFonts w:ascii="Arial" w:cs="Arial" w:eastAsia="Arial" w:hAnsi="Arial"/>
          <w:sz w:val="29"/>
          <w:szCs w:val="29"/>
          <w:b w:val="1"/>
          <w:bCs w:val="1"/>
          <w:color w:val="auto"/>
          <w:vertAlign w:val="subscript"/>
        </w:rPr>
      </w:pPr>
    </w:p>
    <w:p>
      <w:pPr>
        <w:ind w:left="722" w:hanging="449"/>
        <w:spacing w:after="0" w:line="186" w:lineRule="auto"/>
        <w:tabs>
          <w:tab w:leader="none" w:pos="722" w:val="left"/>
        </w:tabs>
        <w:numPr>
          <w:ilvl w:val="0"/>
          <w:numId w:val="29"/>
        </w:numPr>
        <w:rPr>
          <w:rFonts w:ascii="Arial" w:cs="Arial" w:eastAsia="Arial" w:hAnsi="Arial"/>
          <w:sz w:val="28"/>
          <w:szCs w:val="28"/>
          <w:b w:val="1"/>
          <w:bCs w:val="1"/>
          <w:color w:val="auto"/>
          <w:vertAlign w:val="subscript"/>
        </w:rPr>
      </w:pPr>
      <w:r>
        <w:rPr>
          <w:rFonts w:ascii="Arial" w:cs="Arial" w:eastAsia="Arial" w:hAnsi="Arial"/>
          <w:sz w:val="13"/>
          <w:szCs w:val="13"/>
          <w:b w:val="1"/>
          <w:bCs w:val="1"/>
          <w:u w:val="single" w:color="auto"/>
          <w:color w:val="0000EE"/>
        </w:rPr>
        <w:t>PRINCIPAL ACCOUNTING FEES AND SERVICES</w:t>
      </w:r>
    </w:p>
    <w:p>
      <w:pPr>
        <w:spacing w:after="0" w:line="88" w:lineRule="exact"/>
        <w:rPr>
          <w:rFonts w:ascii="Arial" w:cs="Arial" w:eastAsia="Arial" w:hAnsi="Arial"/>
          <w:sz w:val="28"/>
          <w:szCs w:val="28"/>
          <w:b w:val="1"/>
          <w:bCs w:val="1"/>
          <w:color w:val="auto"/>
          <w:vertAlign w:val="subscript"/>
        </w:rPr>
      </w:pPr>
    </w:p>
    <w:p>
      <w:pPr>
        <w:ind w:left="722" w:right="200" w:hanging="449"/>
        <w:spacing w:after="0" w:line="181" w:lineRule="auto"/>
        <w:tabs>
          <w:tab w:leader="none" w:pos="722" w:val="left"/>
        </w:tabs>
        <w:numPr>
          <w:ilvl w:val="0"/>
          <w:numId w:val="29"/>
        </w:numPr>
        <w:rPr>
          <w:rFonts w:ascii="Arial" w:cs="Arial" w:eastAsia="Arial" w:hAnsi="Arial"/>
          <w:sz w:val="39"/>
          <w:szCs w:val="39"/>
          <w:b w:val="1"/>
          <w:bCs w:val="1"/>
          <w:color w:val="auto"/>
          <w:vertAlign w:val="subscript"/>
        </w:rPr>
      </w:pPr>
      <w:r>
        <w:rPr>
          <w:rFonts w:ascii="Arial" w:cs="Arial" w:eastAsia="Arial" w:hAnsi="Arial"/>
          <w:sz w:val="15"/>
          <w:szCs w:val="15"/>
          <w:b w:val="1"/>
          <w:bCs w:val="1"/>
          <w:color w:val="4A7EBB"/>
        </w:rPr>
        <w:t xml:space="preserve">PROPOSAL NO. 4 </w:t>
      </w:r>
      <w:r>
        <w:rPr>
          <w:rFonts w:ascii="Arial" w:cs="Arial" w:eastAsia="Arial" w:hAnsi="Arial"/>
          <w:sz w:val="15"/>
          <w:szCs w:val="15"/>
          <w:b w:val="1"/>
          <w:bCs w:val="1"/>
          <w:color w:val="0000EE"/>
        </w:rPr>
        <w:t>RATIFICATION OF APPOINTMENT</w:t>
      </w:r>
      <w:r>
        <w:rPr>
          <w:rFonts w:ascii="Arial" w:cs="Arial" w:eastAsia="Arial" w:hAnsi="Arial"/>
          <w:sz w:val="15"/>
          <w:szCs w:val="15"/>
          <w:b w:val="1"/>
          <w:bCs w:val="1"/>
          <w:color w:val="4A7EBB"/>
        </w:rPr>
        <w:t xml:space="preserve"> </w:t>
      </w:r>
      <w:r>
        <w:rPr>
          <w:rFonts w:ascii="Arial" w:cs="Arial" w:eastAsia="Arial" w:hAnsi="Arial"/>
          <w:sz w:val="15"/>
          <w:szCs w:val="15"/>
          <w:b w:val="1"/>
          <w:bCs w:val="1"/>
          <w:u w:val="single" w:color="auto"/>
          <w:color w:val="0000EE"/>
        </w:rPr>
        <w:t>OF INDEPENDENT REGISTERED PUBLIC ACCOUNTING FIRM</w:t>
      </w:r>
    </w:p>
    <w:p>
      <w:pPr>
        <w:spacing w:after="0" w:line="36" w:lineRule="exact"/>
        <w:rPr>
          <w:rFonts w:ascii="Arial" w:cs="Arial" w:eastAsia="Arial" w:hAnsi="Arial"/>
          <w:sz w:val="39"/>
          <w:szCs w:val="39"/>
          <w:b w:val="1"/>
          <w:bCs w:val="1"/>
          <w:color w:val="auto"/>
          <w:vertAlign w:val="subscript"/>
        </w:rPr>
      </w:pPr>
    </w:p>
    <w:p>
      <w:pPr>
        <w:ind w:left="722" w:right="980" w:hanging="449"/>
        <w:spacing w:after="0" w:line="182" w:lineRule="auto"/>
        <w:tabs>
          <w:tab w:leader="none" w:pos="722" w:val="left"/>
        </w:tabs>
        <w:numPr>
          <w:ilvl w:val="0"/>
          <w:numId w:val="29"/>
        </w:numPr>
        <w:rPr>
          <w:rFonts w:ascii="Arial" w:cs="Arial" w:eastAsia="Arial" w:hAnsi="Arial"/>
          <w:sz w:val="33"/>
          <w:szCs w:val="33"/>
          <w:b w:val="1"/>
          <w:bCs w:val="1"/>
          <w:color w:val="auto"/>
          <w:vertAlign w:val="subscript"/>
        </w:rPr>
      </w:pPr>
      <w:r>
        <w:rPr>
          <w:rFonts w:ascii="Arial" w:cs="Arial" w:eastAsia="Arial" w:hAnsi="Arial"/>
          <w:sz w:val="14"/>
          <w:szCs w:val="14"/>
          <w:b w:val="1"/>
          <w:bCs w:val="1"/>
          <w:u w:val="single" w:color="auto"/>
          <w:color w:val="0000EE"/>
        </w:rPr>
        <w:t>CERTAIN RELATIONSHIPS AND RELATED TRANSACTIONS</w:t>
      </w:r>
    </w:p>
    <w:p>
      <w:pPr>
        <w:spacing w:after="0" w:line="1" w:lineRule="exact"/>
        <w:rPr>
          <w:rFonts w:ascii="Arial" w:cs="Arial" w:eastAsia="Arial" w:hAnsi="Arial"/>
          <w:sz w:val="33"/>
          <w:szCs w:val="33"/>
          <w:b w:val="1"/>
          <w:bCs w:val="1"/>
          <w:color w:val="auto"/>
          <w:vertAlign w:val="subscript"/>
        </w:rPr>
      </w:pPr>
    </w:p>
    <w:p>
      <w:pPr>
        <w:ind w:left="722" w:hanging="449"/>
        <w:spacing w:after="0" w:line="184" w:lineRule="auto"/>
        <w:tabs>
          <w:tab w:leader="none" w:pos="722" w:val="left"/>
        </w:tabs>
        <w:numPr>
          <w:ilvl w:val="0"/>
          <w:numId w:val="29"/>
        </w:numPr>
        <w:rPr>
          <w:rFonts w:ascii="Arial" w:cs="Arial" w:eastAsia="Arial" w:hAnsi="Arial"/>
          <w:sz w:val="29"/>
          <w:szCs w:val="29"/>
          <w:b w:val="1"/>
          <w:bCs w:val="1"/>
          <w:color w:val="auto"/>
          <w:vertAlign w:val="subscript"/>
        </w:rPr>
      </w:pPr>
      <w:r>
        <w:rPr>
          <w:rFonts w:ascii="Arial" w:cs="Arial" w:eastAsia="Arial" w:hAnsi="Arial"/>
          <w:sz w:val="13"/>
          <w:szCs w:val="13"/>
          <w:b w:val="1"/>
          <w:bCs w:val="1"/>
          <w:u w:val="single" w:color="auto"/>
          <w:color w:val="0000EE"/>
        </w:rPr>
        <w:t>STOCKHOLDER PROPOSALS</w:t>
      </w:r>
    </w:p>
    <w:p>
      <w:pPr>
        <w:spacing w:after="0" w:line="61" w:lineRule="exact"/>
        <w:rPr>
          <w:rFonts w:ascii="Arial" w:cs="Arial" w:eastAsia="Arial" w:hAnsi="Arial"/>
          <w:sz w:val="29"/>
          <w:szCs w:val="29"/>
          <w:b w:val="1"/>
          <w:bCs w:val="1"/>
          <w:color w:val="auto"/>
          <w:vertAlign w:val="subscript"/>
        </w:rPr>
      </w:pPr>
    </w:p>
    <w:p>
      <w:pPr>
        <w:ind w:left="722" w:hanging="449"/>
        <w:spacing w:after="0" w:line="186" w:lineRule="auto"/>
        <w:tabs>
          <w:tab w:leader="none" w:pos="722" w:val="left"/>
        </w:tabs>
        <w:numPr>
          <w:ilvl w:val="0"/>
          <w:numId w:val="29"/>
        </w:numPr>
        <w:rPr>
          <w:rFonts w:ascii="Arial" w:cs="Arial" w:eastAsia="Arial" w:hAnsi="Arial"/>
          <w:sz w:val="28"/>
          <w:szCs w:val="28"/>
          <w:b w:val="1"/>
          <w:bCs w:val="1"/>
          <w:color w:val="auto"/>
          <w:vertAlign w:val="subscript"/>
        </w:rPr>
      </w:pPr>
      <w:r>
        <w:rPr>
          <w:rFonts w:ascii="Arial" w:cs="Arial" w:eastAsia="Arial" w:hAnsi="Arial"/>
          <w:sz w:val="13"/>
          <w:szCs w:val="13"/>
          <w:b w:val="1"/>
          <w:bCs w:val="1"/>
          <w:u w:val="single" w:color="auto"/>
          <w:color w:val="0000EE"/>
        </w:rPr>
        <w:t>OTHER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-3141980</wp:posOffset>
            </wp:positionH>
            <wp:positionV relativeFrom="paragraph">
              <wp:posOffset>441960</wp:posOffset>
            </wp:positionV>
            <wp:extent cx="6292215" cy="145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145415"/>
                    </a:xfrm>
                    <a:prstGeom prst="rect">
                      <a:avLst/>
                    </a:prstGeom>
                    <a:noFill/>
                  </pic:spPr>
                </pic:pic>
              </a:graphicData>
            </a:graphic>
          </wp:anchor>
        </w:drawing>
      </w:r>
    </w:p>
    <w:p>
      <w:pPr>
        <w:spacing w:after="0" w:line="458" w:lineRule="exact"/>
        <w:rPr>
          <w:sz w:val="20"/>
          <w:szCs w:val="20"/>
          <w:color w:val="auto"/>
        </w:rPr>
      </w:pPr>
    </w:p>
    <w:p>
      <w:pPr>
        <w:sectPr>
          <w:pgSz w:w="11900" w:h="16838" w:orient="portrait"/>
          <w:cols w:equalWidth="0" w:num="2">
            <w:col w:w="4580" w:space="378"/>
            <w:col w:w="4962"/>
          </w:cols>
          <w:pgMar w:left="980" w:top="513" w:right="999" w:bottom="1440" w:gutter="0" w:footer="0" w:header="0"/>
          <w:type w:val="continuous"/>
        </w:sect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How to Vote in Advance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8890</wp:posOffset>
            </wp:positionV>
            <wp:extent cx="6292215" cy="9429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942975"/>
                    </a:xfrm>
                    <a:prstGeom prst="rect">
                      <a:avLst/>
                    </a:prstGeom>
                    <a:noFill/>
                  </pic:spPr>
                </pic:pic>
              </a:graphicData>
            </a:graphic>
          </wp:anchor>
        </w:drawing>
      </w:r>
    </w:p>
    <w:p>
      <w:pPr>
        <w:spacing w:after="0" w:line="34" w:lineRule="exact"/>
        <w:rPr>
          <w:sz w:val="20"/>
          <w:szCs w:val="20"/>
          <w:color w:val="auto"/>
        </w:rPr>
      </w:pPr>
    </w:p>
    <w:p>
      <w:pPr>
        <w:ind w:left="140" w:right="120"/>
        <w:spacing w:after="0" w:line="296" w:lineRule="auto"/>
        <w:rPr>
          <w:sz w:val="20"/>
          <w:szCs w:val="20"/>
          <w:color w:val="auto"/>
        </w:rPr>
      </w:pPr>
      <w:r>
        <w:rPr>
          <w:rFonts w:ascii="Arial" w:cs="Arial" w:eastAsia="Arial" w:hAnsi="Arial"/>
          <w:sz w:val="16"/>
          <w:szCs w:val="16"/>
          <w:b w:val="1"/>
          <w:bCs w:val="1"/>
          <w:color w:val="auto"/>
        </w:rPr>
        <w:t>Your vote is important. Please vote as soon as possible by one of the methods shown below. Be sure to have your proxy card or voting instruction form in hand and follow the below instructions:</w:t>
      </w:r>
    </w:p>
    <w:p>
      <w:pPr>
        <w:spacing w:after="0" w:line="32"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 xml:space="preserve">By telephone </w:t>
      </w:r>
      <w:r>
        <w:rPr>
          <w:rFonts w:ascii="Arial" w:cs="Arial" w:eastAsia="Arial" w:hAnsi="Arial"/>
          <w:sz w:val="16"/>
          <w:szCs w:val="16"/>
          <w:color w:val="auto"/>
        </w:rPr>
        <w:t>– You can vote your shares by calling the number on your proxy card or voting instruction form</w:t>
      </w:r>
    </w:p>
    <w:p>
      <w:pPr>
        <w:spacing w:after="0" w:line="167"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 xml:space="preserve">By Internet </w:t>
      </w:r>
      <w:r>
        <w:rPr>
          <w:rFonts w:ascii="Arial" w:cs="Arial" w:eastAsia="Arial" w:hAnsi="Arial"/>
          <w:sz w:val="16"/>
          <w:szCs w:val="16"/>
          <w:color w:val="auto"/>
        </w:rPr>
        <w:t>– You can vote your shares online at the website shown on your proxy card or voting instruction form</w:t>
      </w:r>
    </w:p>
    <w:p>
      <w:pPr>
        <w:spacing w:after="0" w:line="167"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 xml:space="preserve">By mail </w:t>
      </w:r>
      <w:r>
        <w:rPr>
          <w:rFonts w:ascii="Arial" w:cs="Arial" w:eastAsia="Arial" w:hAnsi="Arial"/>
          <w:sz w:val="16"/>
          <w:szCs w:val="16"/>
          <w:color w:val="auto"/>
        </w:rPr>
        <w:t>– Complete, sign, date and return your proxy card or voting instruction form in the postage-paid envelope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406400</wp:posOffset>
            </wp:positionV>
            <wp:extent cx="629221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46355</wp:posOffset>
            </wp:positionV>
            <wp:extent cx="629221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2026 PROXY STATEMENT </w:t>
      </w:r>
      <w:r>
        <w:rPr>
          <w:rFonts w:ascii="Arial" w:cs="Arial" w:eastAsia="Arial" w:hAnsi="Arial"/>
          <w:sz w:val="19"/>
          <w:szCs w:val="19"/>
          <w:color w:val="808080"/>
        </w:rPr>
        <w:t>/</w:t>
      </w:r>
      <w:r>
        <w:rPr>
          <w:rFonts w:ascii="Arial" w:cs="Arial" w:eastAsia="Arial" w:hAnsi="Arial"/>
          <w:sz w:val="16"/>
          <w:szCs w:val="16"/>
          <w:color w:val="auto"/>
        </w:rPr>
        <w:t xml:space="preserve"> </w:t>
      </w:r>
      <w:r>
        <w:rPr>
          <w:rFonts w:ascii="Arial" w:cs="Arial" w:eastAsia="Arial" w:hAnsi="Arial"/>
          <w:sz w:val="19"/>
          <w:szCs w:val="19"/>
          <w:b w:val="1"/>
          <w:bCs w:val="1"/>
          <w:color w:val="4A7EBB"/>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365125</wp:posOffset>
            </wp:positionV>
            <wp:extent cx="629221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2714625</wp:posOffset>
            </wp:positionH>
            <wp:positionV relativeFrom="paragraph">
              <wp:posOffset>360045</wp:posOffset>
            </wp:positionV>
            <wp:extent cx="874395" cy="4718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74395"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G-III APPAREL GROUP, LTD.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512 SEVENTH AVENUE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NEW YORK, NEW YORK 10018</w:t>
      </w:r>
    </w:p>
    <w:p>
      <w:pPr>
        <w:spacing w:after="0" w:line="14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24130</wp:posOffset>
            </wp:positionV>
            <wp:extent cx="629221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29"/>
          <w:szCs w:val="29"/>
          <w:b w:val="1"/>
          <w:bCs w:val="1"/>
          <w:color w:val="4A7EBB"/>
        </w:rPr>
        <w:t>General Information</w:t>
      </w:r>
    </w:p>
    <w:p>
      <w:pPr>
        <w:spacing w:after="0" w:line="19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This Proxy Statement (first mailed to stockholders on or about May 5, 2026) is furnished to the holders of common stock, par value $0.01 per share (“Common Stock”), of G-III Apparel Group, Ltd. (“G-III”) in connection with the solicitation by our Board of Directors of proxies for use at the Annual Meeting of Stockholders (the “Annual Meeting”), or at any adjournment thereof, pursuant to the accompanying Notice of Annual Meeting of Stockholders. The Annual Meeting will be held on:</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332"/>
        </w:trPr>
        <w:tc>
          <w:tcPr>
            <w:tcW w:w="3000" w:type="dxa"/>
            <w:vAlign w:val="bottom"/>
            <w:tcBorders>
              <w:top w:val="single" w:sz="8" w:color="4A7EBB"/>
            </w:tcBorders>
            <w:shd w:val="clear" w:color="auto" w:fill="DBE5F1"/>
          </w:tcPr>
          <w:p>
            <w:pPr>
              <w:ind w:left="1080"/>
              <w:spacing w:after="0"/>
              <w:rPr>
                <w:sz w:val="20"/>
                <w:szCs w:val="20"/>
                <w:color w:val="auto"/>
              </w:rPr>
            </w:pPr>
            <w:r>
              <w:rPr>
                <w:rFonts w:ascii="Arial" w:cs="Arial" w:eastAsia="Arial" w:hAnsi="Arial"/>
                <w:sz w:val="18"/>
                <w:szCs w:val="18"/>
                <w:color w:val="auto"/>
              </w:rPr>
              <w:t>Thursday,</w:t>
            </w:r>
          </w:p>
        </w:tc>
        <w:tc>
          <w:tcPr>
            <w:tcW w:w="3460" w:type="dxa"/>
            <w:vAlign w:val="bottom"/>
            <w:tcBorders>
              <w:top w:val="single" w:sz="8" w:color="4A7EBB"/>
            </w:tcBorders>
            <w:shd w:val="clear" w:color="auto" w:fill="DBE5F1"/>
          </w:tcPr>
          <w:p>
            <w:pPr>
              <w:ind w:left="780"/>
              <w:spacing w:after="0"/>
              <w:rPr>
                <w:sz w:val="20"/>
                <w:szCs w:val="20"/>
                <w:color w:val="auto"/>
              </w:rPr>
            </w:pPr>
            <w:r>
              <w:rPr>
                <w:rFonts w:ascii="Arial" w:cs="Arial" w:eastAsia="Arial" w:hAnsi="Arial"/>
                <w:sz w:val="18"/>
                <w:szCs w:val="18"/>
                <w:color w:val="auto"/>
              </w:rPr>
              <w:t>10:00 a.m., New York time</w:t>
            </w:r>
          </w:p>
        </w:tc>
        <w:tc>
          <w:tcPr>
            <w:tcW w:w="3460" w:type="dxa"/>
            <w:vAlign w:val="bottom"/>
            <w:tcBorders>
              <w:top w:val="single" w:sz="8" w:color="4A7EBB"/>
            </w:tcBorders>
            <w:shd w:val="clear" w:color="auto" w:fill="DBE5F1"/>
          </w:tcPr>
          <w:p>
            <w:pPr>
              <w:ind w:left="600"/>
              <w:spacing w:after="0"/>
              <w:rPr>
                <w:sz w:val="20"/>
                <w:szCs w:val="20"/>
                <w:color w:val="auto"/>
              </w:rPr>
            </w:pPr>
            <w:r>
              <w:rPr>
                <w:rFonts w:ascii="Arial" w:cs="Arial" w:eastAsia="Arial" w:hAnsi="Arial"/>
                <w:sz w:val="18"/>
                <w:szCs w:val="18"/>
                <w:color w:val="auto"/>
              </w:rPr>
              <w:t>The offices of Paul, Weiss, Rifkind,</w:t>
            </w:r>
          </w:p>
        </w:tc>
      </w:tr>
      <w:tr>
        <w:trPr>
          <w:trHeight w:val="195"/>
        </w:trPr>
        <w:tc>
          <w:tcPr>
            <w:tcW w:w="3000" w:type="dxa"/>
            <w:vAlign w:val="bottom"/>
            <w:shd w:val="clear" w:color="auto" w:fill="DBE5F1"/>
          </w:tcPr>
          <w:p>
            <w:pPr>
              <w:ind w:left="1080"/>
              <w:spacing w:after="0" w:line="195" w:lineRule="exact"/>
              <w:rPr>
                <w:sz w:val="20"/>
                <w:szCs w:val="20"/>
                <w:color w:val="auto"/>
              </w:rPr>
            </w:pPr>
            <w:r>
              <w:rPr>
                <w:rFonts w:ascii="Arial" w:cs="Arial" w:eastAsia="Arial" w:hAnsi="Arial"/>
                <w:sz w:val="18"/>
                <w:szCs w:val="18"/>
                <w:b w:val="1"/>
                <w:bCs w:val="1"/>
                <w:color w:val="auto"/>
              </w:rPr>
              <w:t>June 11, 2026</w:t>
            </w:r>
          </w:p>
        </w:tc>
        <w:tc>
          <w:tcPr>
            <w:tcW w:w="3460" w:type="dxa"/>
            <w:vAlign w:val="bottom"/>
            <w:shd w:val="clear" w:color="auto" w:fill="DBE5F1"/>
          </w:tcPr>
          <w:p>
            <w:pPr>
              <w:spacing w:after="0"/>
              <w:rPr>
                <w:sz w:val="16"/>
                <w:szCs w:val="16"/>
                <w:color w:val="auto"/>
              </w:rPr>
            </w:pPr>
          </w:p>
        </w:tc>
        <w:tc>
          <w:tcPr>
            <w:tcW w:w="3460" w:type="dxa"/>
            <w:vAlign w:val="bottom"/>
            <w:shd w:val="clear" w:color="auto" w:fill="DBE5F1"/>
          </w:tcPr>
          <w:p>
            <w:pPr>
              <w:ind w:left="600"/>
              <w:spacing w:after="0" w:line="195" w:lineRule="exact"/>
              <w:rPr>
                <w:sz w:val="20"/>
                <w:szCs w:val="20"/>
                <w:color w:val="auto"/>
              </w:rPr>
            </w:pPr>
            <w:r>
              <w:rPr>
                <w:rFonts w:ascii="Arial" w:cs="Arial" w:eastAsia="Arial" w:hAnsi="Arial"/>
                <w:sz w:val="18"/>
                <w:szCs w:val="18"/>
                <w:color w:val="auto"/>
              </w:rPr>
              <w:t>Wharton &amp; Garrison LLP</w:t>
            </w:r>
          </w:p>
        </w:tc>
      </w:tr>
      <w:tr>
        <w:trPr>
          <w:trHeight w:val="210"/>
        </w:trPr>
        <w:tc>
          <w:tcPr>
            <w:tcW w:w="3000" w:type="dxa"/>
            <w:vAlign w:val="bottom"/>
            <w:shd w:val="clear" w:color="auto" w:fill="DBE5F1"/>
          </w:tcPr>
          <w:p>
            <w:pPr>
              <w:spacing w:after="0"/>
              <w:rPr>
                <w:sz w:val="18"/>
                <w:szCs w:val="18"/>
                <w:color w:val="auto"/>
              </w:rPr>
            </w:pPr>
          </w:p>
        </w:tc>
        <w:tc>
          <w:tcPr>
            <w:tcW w:w="3460" w:type="dxa"/>
            <w:vAlign w:val="bottom"/>
            <w:shd w:val="clear" w:color="auto" w:fill="DBE5F1"/>
          </w:tcPr>
          <w:p>
            <w:pPr>
              <w:spacing w:after="0"/>
              <w:rPr>
                <w:sz w:val="18"/>
                <w:szCs w:val="18"/>
                <w:color w:val="auto"/>
              </w:rPr>
            </w:pPr>
          </w:p>
        </w:tc>
        <w:tc>
          <w:tcPr>
            <w:tcW w:w="3460" w:type="dxa"/>
            <w:vAlign w:val="bottom"/>
            <w:shd w:val="clear" w:color="auto" w:fill="DBE5F1"/>
          </w:tcPr>
          <w:p>
            <w:pPr>
              <w:ind w:left="600"/>
              <w:spacing w:after="0" w:line="210" w:lineRule="exact"/>
              <w:rPr>
                <w:sz w:val="20"/>
                <w:szCs w:val="20"/>
                <w:color w:val="auto"/>
              </w:rPr>
            </w:pPr>
            <w:r>
              <w:rPr>
                <w:rFonts w:ascii="Arial" w:cs="Arial" w:eastAsia="Arial" w:hAnsi="Arial"/>
                <w:sz w:val="17"/>
                <w:szCs w:val="17"/>
                <w:color w:val="auto"/>
              </w:rPr>
              <w:t>1285 Avenue of the Americas 29</w:t>
            </w:r>
            <w:r>
              <w:rPr>
                <w:rFonts w:ascii="Arial" w:cs="Arial" w:eastAsia="Arial" w:hAnsi="Arial"/>
                <w:sz w:val="24"/>
                <w:szCs w:val="24"/>
                <w:color w:val="auto"/>
                <w:vertAlign w:val="superscript"/>
              </w:rPr>
              <w:t>th</w:t>
            </w:r>
          </w:p>
        </w:tc>
      </w:tr>
      <w:tr>
        <w:trPr>
          <w:trHeight w:val="203"/>
        </w:trPr>
        <w:tc>
          <w:tcPr>
            <w:tcW w:w="3000" w:type="dxa"/>
            <w:vAlign w:val="bottom"/>
            <w:shd w:val="clear" w:color="auto" w:fill="DBE5F1"/>
          </w:tcPr>
          <w:p>
            <w:pPr>
              <w:spacing w:after="0"/>
              <w:rPr>
                <w:sz w:val="17"/>
                <w:szCs w:val="17"/>
                <w:color w:val="auto"/>
              </w:rPr>
            </w:pPr>
          </w:p>
        </w:tc>
        <w:tc>
          <w:tcPr>
            <w:tcW w:w="3460" w:type="dxa"/>
            <w:vAlign w:val="bottom"/>
            <w:shd w:val="clear" w:color="auto" w:fill="DBE5F1"/>
          </w:tcPr>
          <w:p>
            <w:pPr>
              <w:spacing w:after="0"/>
              <w:rPr>
                <w:sz w:val="17"/>
                <w:szCs w:val="17"/>
                <w:color w:val="auto"/>
              </w:rPr>
            </w:pPr>
          </w:p>
        </w:tc>
        <w:tc>
          <w:tcPr>
            <w:tcW w:w="3460" w:type="dxa"/>
            <w:vAlign w:val="bottom"/>
            <w:shd w:val="clear" w:color="auto" w:fill="DBE5F1"/>
          </w:tcPr>
          <w:p>
            <w:pPr>
              <w:ind w:left="600"/>
              <w:spacing w:after="0" w:line="202" w:lineRule="exact"/>
              <w:rPr>
                <w:sz w:val="20"/>
                <w:szCs w:val="20"/>
                <w:color w:val="auto"/>
              </w:rPr>
            </w:pPr>
            <w:r>
              <w:rPr>
                <w:rFonts w:ascii="Arial" w:cs="Arial" w:eastAsia="Arial" w:hAnsi="Arial"/>
                <w:sz w:val="18"/>
                <w:szCs w:val="18"/>
                <w:color w:val="auto"/>
              </w:rPr>
              <w:t>Floor</w:t>
            </w:r>
          </w:p>
        </w:tc>
      </w:tr>
      <w:tr>
        <w:trPr>
          <w:trHeight w:val="239"/>
        </w:trPr>
        <w:tc>
          <w:tcPr>
            <w:tcW w:w="3000" w:type="dxa"/>
            <w:vAlign w:val="bottom"/>
            <w:shd w:val="clear" w:color="auto" w:fill="DBE5F1"/>
          </w:tcPr>
          <w:p>
            <w:pPr>
              <w:spacing w:after="0"/>
              <w:rPr>
                <w:sz w:val="20"/>
                <w:szCs w:val="20"/>
                <w:color w:val="auto"/>
              </w:rPr>
            </w:pPr>
          </w:p>
        </w:tc>
        <w:tc>
          <w:tcPr>
            <w:tcW w:w="3460" w:type="dxa"/>
            <w:vAlign w:val="bottom"/>
            <w:shd w:val="clear" w:color="auto" w:fill="DBE5F1"/>
          </w:tcPr>
          <w:p>
            <w:pPr>
              <w:spacing w:after="0"/>
              <w:rPr>
                <w:sz w:val="20"/>
                <w:szCs w:val="20"/>
                <w:color w:val="auto"/>
              </w:rPr>
            </w:pPr>
          </w:p>
        </w:tc>
        <w:tc>
          <w:tcPr>
            <w:tcW w:w="3460" w:type="dxa"/>
            <w:vAlign w:val="bottom"/>
            <w:shd w:val="clear" w:color="auto" w:fill="DBE5F1"/>
          </w:tcPr>
          <w:p>
            <w:pPr>
              <w:ind w:left="600"/>
              <w:spacing w:after="0"/>
              <w:rPr>
                <w:sz w:val="20"/>
                <w:szCs w:val="20"/>
                <w:color w:val="auto"/>
              </w:rPr>
            </w:pPr>
            <w:r>
              <w:rPr>
                <w:rFonts w:ascii="Arial" w:cs="Arial" w:eastAsia="Arial" w:hAnsi="Arial"/>
                <w:sz w:val="18"/>
                <w:szCs w:val="18"/>
                <w:color w:val="auto"/>
              </w:rPr>
              <w:t>New York, New York 10019</w:t>
            </w:r>
          </w:p>
        </w:tc>
      </w:tr>
      <w:tr>
        <w:trPr>
          <w:trHeight w:val="98"/>
        </w:trPr>
        <w:tc>
          <w:tcPr>
            <w:tcW w:w="3000" w:type="dxa"/>
            <w:vAlign w:val="bottom"/>
            <w:tcBorders>
              <w:bottom w:val="single" w:sz="8" w:color="4A7EBB"/>
            </w:tcBorders>
            <w:shd w:val="clear" w:color="auto" w:fill="DBE5F1"/>
          </w:tcPr>
          <w:p>
            <w:pPr>
              <w:spacing w:after="0"/>
              <w:rPr>
                <w:sz w:val="8"/>
                <w:szCs w:val="8"/>
                <w:color w:val="auto"/>
              </w:rPr>
            </w:pPr>
          </w:p>
        </w:tc>
        <w:tc>
          <w:tcPr>
            <w:tcW w:w="3460" w:type="dxa"/>
            <w:vAlign w:val="bottom"/>
            <w:tcBorders>
              <w:bottom w:val="single" w:sz="8" w:color="4A7EBB"/>
            </w:tcBorders>
            <w:shd w:val="clear" w:color="auto" w:fill="DBE5F1"/>
          </w:tcPr>
          <w:p>
            <w:pPr>
              <w:spacing w:after="0"/>
              <w:rPr>
                <w:sz w:val="8"/>
                <w:szCs w:val="8"/>
                <w:color w:val="auto"/>
              </w:rPr>
            </w:pPr>
          </w:p>
        </w:tc>
        <w:tc>
          <w:tcPr>
            <w:tcW w:w="3460" w:type="dxa"/>
            <w:vAlign w:val="bottom"/>
            <w:tcBorders>
              <w:bottom w:val="single" w:sz="8" w:color="4A7EBB"/>
            </w:tcBorders>
            <w:shd w:val="clear" w:color="auto" w:fill="DBE5F1"/>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1977390</wp:posOffset>
            </wp:positionH>
            <wp:positionV relativeFrom="paragraph">
              <wp:posOffset>-753745</wp:posOffset>
            </wp:positionV>
            <wp:extent cx="300355" cy="3003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00355" cy="300355"/>
                    </a:xfrm>
                    <a:prstGeom prst="rect">
                      <a:avLst/>
                    </a:prstGeom>
                    <a:noFill/>
                  </pic:spPr>
                </pic:pic>
              </a:graphicData>
            </a:graphic>
          </wp:anchor>
        </w:drawing>
        <w:drawing>
          <wp:anchor simplePos="0" relativeHeight="251657728" behindDoc="1" locked="0" layoutInCell="0" allowOverlap="1">
            <wp:simplePos x="0" y="0"/>
            <wp:positionH relativeFrom="column">
              <wp:posOffset>203200</wp:posOffset>
            </wp:positionH>
            <wp:positionV relativeFrom="paragraph">
              <wp:posOffset>-728345</wp:posOffset>
            </wp:positionV>
            <wp:extent cx="282575" cy="2832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82575" cy="283210"/>
                    </a:xfrm>
                    <a:prstGeom prst="rect">
                      <a:avLst/>
                    </a:prstGeom>
                    <a:noFill/>
                  </pic:spPr>
                </pic:pic>
              </a:graphicData>
            </a:graphic>
          </wp:anchor>
        </w:drawing>
        <w:drawing>
          <wp:anchor simplePos="0" relativeHeight="251657728" behindDoc="1" locked="0" layoutInCell="0" allowOverlap="1">
            <wp:simplePos x="0" y="0"/>
            <wp:positionH relativeFrom="column">
              <wp:posOffset>4120515</wp:posOffset>
            </wp:positionH>
            <wp:positionV relativeFrom="paragraph">
              <wp:posOffset>-728345</wp:posOffset>
            </wp:positionV>
            <wp:extent cx="205740" cy="3429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05740" cy="342900"/>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It is proposed that, at the Annual Meeting, 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146050</wp:posOffset>
            </wp:positionV>
            <wp:extent cx="629221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45" w:lineRule="exact"/>
        <w:rPr>
          <w:sz w:val="20"/>
          <w:szCs w:val="20"/>
          <w:color w:val="auto"/>
        </w:rPr>
      </w:pPr>
    </w:p>
    <w:p>
      <w:pPr>
        <w:ind w:left="720" w:hanging="487"/>
        <w:spacing w:after="0"/>
        <w:tabs>
          <w:tab w:leader="none" w:pos="720" w:val="left"/>
        </w:tabs>
        <w:numPr>
          <w:ilvl w:val="0"/>
          <w:numId w:val="30"/>
        </w:numPr>
        <w:rPr>
          <w:rFonts w:ascii="Arial" w:cs="Arial" w:eastAsia="Arial" w:hAnsi="Arial"/>
          <w:sz w:val="29"/>
          <w:szCs w:val="29"/>
          <w:b w:val="1"/>
          <w:bCs w:val="1"/>
          <w:color w:val="4A7EBB"/>
        </w:rPr>
      </w:pPr>
      <w:r>
        <w:rPr>
          <w:rFonts w:ascii="Arial" w:cs="Arial" w:eastAsia="Arial" w:hAnsi="Arial"/>
          <w:sz w:val="18"/>
          <w:szCs w:val="18"/>
          <w:color w:val="auto"/>
        </w:rPr>
        <w:t>Elect eleven directors to serve on our Board of Directors for the ensuing year,</w:t>
      </w:r>
    </w:p>
    <w:p>
      <w:pPr>
        <w:spacing w:after="0" w:line="139" w:lineRule="exact"/>
        <w:rPr>
          <w:sz w:val="20"/>
          <w:szCs w:val="20"/>
          <w:color w:val="auto"/>
        </w:rPr>
      </w:pPr>
    </w:p>
    <w:p>
      <w:pPr>
        <w:ind w:left="720" w:right="20" w:hanging="487"/>
        <w:spacing w:after="0" w:line="230" w:lineRule="auto"/>
        <w:tabs>
          <w:tab w:leader="none" w:pos="720" w:val="left"/>
        </w:tabs>
        <w:numPr>
          <w:ilvl w:val="0"/>
          <w:numId w:val="31"/>
        </w:numPr>
        <w:rPr>
          <w:rFonts w:ascii="Arial" w:cs="Arial" w:eastAsia="Arial" w:hAnsi="Arial"/>
          <w:sz w:val="40"/>
          <w:szCs w:val="40"/>
          <w:b w:val="1"/>
          <w:bCs w:val="1"/>
          <w:color w:val="4A7EBB"/>
          <w:vertAlign w:val="subscript"/>
        </w:rPr>
      </w:pPr>
      <w:r>
        <w:rPr>
          <w:rFonts w:ascii="Arial" w:cs="Arial" w:eastAsia="Arial" w:hAnsi="Arial"/>
          <w:sz w:val="15"/>
          <w:szCs w:val="15"/>
          <w:color w:val="auto"/>
        </w:rPr>
        <w:t>Hold an advisory and non-binding vote on the compensation of our named executive officers (“Named Executive Officers” or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-301625</wp:posOffset>
            </wp:positionV>
            <wp:extent cx="6292215" cy="3257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325755"/>
                    </a:xfrm>
                    <a:prstGeom prst="rect">
                      <a:avLst/>
                    </a:prstGeom>
                    <a:noFill/>
                  </pic:spPr>
                </pic:pic>
              </a:graphicData>
            </a:graphic>
          </wp:anchor>
        </w:drawing>
      </w:r>
    </w:p>
    <w:p>
      <w:pPr>
        <w:spacing w:after="0" w:line="52" w:lineRule="exact"/>
        <w:rPr>
          <w:sz w:val="20"/>
          <w:szCs w:val="20"/>
          <w:color w:val="auto"/>
        </w:rPr>
      </w:pPr>
    </w:p>
    <w:p>
      <w:pPr>
        <w:ind w:left="720" w:right="20" w:hanging="487"/>
        <w:spacing w:after="0" w:line="180" w:lineRule="auto"/>
        <w:tabs>
          <w:tab w:leader="none" w:pos="720" w:val="left"/>
        </w:tabs>
        <w:numPr>
          <w:ilvl w:val="0"/>
          <w:numId w:val="32"/>
        </w:numPr>
        <w:rPr>
          <w:rFonts w:ascii="Arial" w:cs="Arial" w:eastAsia="Arial" w:hAnsi="Arial"/>
          <w:sz w:val="36"/>
          <w:szCs w:val="36"/>
          <w:b w:val="1"/>
          <w:bCs w:val="1"/>
          <w:color w:val="4A7EBB"/>
          <w:vertAlign w:val="subscript"/>
        </w:rPr>
      </w:pPr>
      <w:r>
        <w:rPr>
          <w:rFonts w:ascii="Arial" w:cs="Arial" w:eastAsia="Arial" w:hAnsi="Arial"/>
          <w:sz w:val="15"/>
          <w:szCs w:val="15"/>
          <w:color w:val="auto"/>
        </w:rPr>
        <w:t>Approve our amended 2023 Long-Term Incentive Plan (the “2023 Plan”), to increase the number of shares of common stock authorized for grant and issuance under the 2023 Plan by 2,500,000 shares, and</w:t>
      </w:r>
    </w:p>
    <w:p>
      <w:pPr>
        <w:spacing w:after="0" w:line="73" w:lineRule="exact"/>
        <w:rPr>
          <w:sz w:val="20"/>
          <w:szCs w:val="20"/>
          <w:color w:val="auto"/>
        </w:rPr>
      </w:pPr>
    </w:p>
    <w:p>
      <w:pPr>
        <w:ind w:left="720" w:right="20" w:hanging="487"/>
        <w:spacing w:after="0" w:line="180" w:lineRule="auto"/>
        <w:tabs>
          <w:tab w:leader="none" w:pos="720" w:val="left"/>
        </w:tabs>
        <w:numPr>
          <w:ilvl w:val="0"/>
          <w:numId w:val="33"/>
        </w:numPr>
        <w:rPr>
          <w:rFonts w:ascii="Arial" w:cs="Arial" w:eastAsia="Arial" w:hAnsi="Arial"/>
          <w:sz w:val="36"/>
          <w:szCs w:val="36"/>
          <w:b w:val="1"/>
          <w:bCs w:val="1"/>
          <w:color w:val="4A7EBB"/>
          <w:vertAlign w:val="subscript"/>
        </w:rPr>
      </w:pPr>
      <w:r>
        <w:rPr>
          <w:rFonts w:ascii="Arial" w:cs="Arial" w:eastAsia="Arial" w:hAnsi="Arial"/>
          <w:sz w:val="15"/>
          <w:szCs w:val="15"/>
          <w:color w:val="auto"/>
        </w:rPr>
        <w:t>Ratify the appointment of Ernst &amp; Young LLP as our independent registered public accounting firm for the fiscal year ending January 31,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-300990</wp:posOffset>
            </wp:positionV>
            <wp:extent cx="6292215" cy="3346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334645"/>
                    </a:xfrm>
                    <a:prstGeom prst="rect">
                      <a:avLst/>
                    </a:prstGeom>
                    <a:noFill/>
                  </pic:spPr>
                </pic:pic>
              </a:graphicData>
            </a:graphic>
          </wp:anchor>
        </w:drawing>
      </w:r>
    </w:p>
    <w:p>
      <w:pPr>
        <w:spacing w:after="0" w:line="22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Management currently is not aware of any other matters that will come before the Annual Meeting. If any other matters properly come before the Annual Meeting, the persons designated as proxies intend to vote in accordance with their best judgment on such matters. Proxies for use at the Annual Meeting are being solicited by our Board of Directors. Proxies will be solicited chiefly by mail; however, certain of our officers, directors, employees and agents, none of whom (except our proxy solicitor D.F. King) will receive additional compensation therefor, may solicit proxies by telephone or other personal contact. In addition to solicitations by mail, we have retained D.F. King to aid in the solicitation of proxies for the Annual Meeting at an estimated fee of $11,500. We will bear the cost of the solicitation of the proxies, including postage, printing and handling, and will reimburse the reasonable expenses of brokerage firms and others for forwarding material to beneficial owners of shares of Common Stock.</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REVOCABILITY AND VOTING OF PROXY</w:t>
      </w:r>
    </w:p>
    <w:p>
      <w:pPr>
        <w:spacing w:after="0" w:line="18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 form of proxy for use at the Annual Meeting and a return envelope for the proxy are enclosed, or you may vote your shares by calling the telephone number or visiting the website specified on your proxy card or voting instruction form. If you vote by telephone or internet, you do not need to mail back your proxy. Stockholders may revoke the authority granted by their execution of a proxy at any time prior to the effective exercise of the powers conferred by that proxy, by filing with the Secretary of G-III a written notice of revocation or a duly executed proxy bearing a later date, or by voting in person at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278130</wp:posOffset>
            </wp:positionV>
            <wp:extent cx="629221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ectPr>
          <w:pgSz w:w="11900" w:h="16838" w:orient="portrait"/>
          <w:cols w:equalWidth="0" w:num="1">
            <w:col w:w="9920"/>
          </w:cols>
          <w:pgMar w:left="980" w:top="526" w:right="999" w:bottom="1440" w:gutter="0" w:footer="0" w:header="0"/>
        </w:sectPr>
      </w:pPr>
    </w:p>
    <w:p>
      <w:pPr>
        <w:spacing w:after="0" w:line="200" w:lineRule="exact"/>
        <w:rPr>
          <w:sz w:val="20"/>
          <w:szCs w:val="20"/>
          <w:color w:val="auto"/>
        </w:rPr>
      </w:pPr>
    </w:p>
    <w:p>
      <w:pPr>
        <w:spacing w:after="0" w:line="350" w:lineRule="exact"/>
        <w:rPr>
          <w:sz w:val="20"/>
          <w:szCs w:val="20"/>
          <w:color w:val="auto"/>
        </w:rPr>
      </w:pPr>
    </w:p>
    <w:p>
      <w:pPr>
        <w:ind w:left="7660"/>
        <w:spacing w:after="0"/>
        <w:rPr>
          <w:sz w:val="20"/>
          <w:szCs w:val="20"/>
          <w:color w:val="auto"/>
        </w:rPr>
      </w:pPr>
      <w:r>
        <w:rPr>
          <w:rFonts w:ascii="Arial" w:cs="Arial" w:eastAsia="Arial" w:hAnsi="Arial"/>
          <w:sz w:val="16"/>
          <w:szCs w:val="16"/>
          <w:color w:val="auto"/>
        </w:rPr>
        <w:t xml:space="preserve">2026 PROXY STATEMENT </w:t>
      </w:r>
      <w:r>
        <w:rPr>
          <w:rFonts w:ascii="Arial" w:cs="Arial" w:eastAsia="Arial" w:hAnsi="Arial"/>
          <w:sz w:val="19"/>
          <w:szCs w:val="19"/>
          <w:color w:val="808080"/>
        </w:rPr>
        <w:t>/</w:t>
      </w:r>
      <w:r>
        <w:rPr>
          <w:rFonts w:ascii="Arial" w:cs="Arial" w:eastAsia="Arial" w:hAnsi="Arial"/>
          <w:sz w:val="16"/>
          <w:szCs w:val="16"/>
          <w:color w:val="auto"/>
        </w:rPr>
        <w:t xml:space="preserve"> </w:t>
      </w:r>
      <w:r>
        <w:rPr>
          <w:rFonts w:ascii="Arial" w:cs="Arial" w:eastAsia="Arial" w:hAnsi="Arial"/>
          <w:sz w:val="19"/>
          <w:szCs w:val="19"/>
          <w:b w:val="1"/>
          <w:bCs w:val="1"/>
          <w:color w:val="4A7EBB"/>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365125</wp:posOffset>
            </wp:positionV>
            <wp:extent cx="629221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26" w:right="99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17780</wp:posOffset>
            </wp:positionV>
            <wp:extent cx="62490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49035" cy="8255"/>
                    </a:xfrm>
                    <a:prstGeom prst="rect">
                      <a:avLst/>
                    </a:prstGeom>
                    <a:noFill/>
                  </pic:spPr>
                </pic:pic>
              </a:graphicData>
            </a:graphic>
          </wp:anchor>
        </w:drawing>
      </w:r>
    </w:p>
    <w:p>
      <w:pPr>
        <w:spacing w:after="0" w:line="219"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Annual Meeting. Beneficial owners of our Common Stock should contact their bank, brokerage firm or other custodian, nominee, or fiduciary if they wish to revoke their proxy.</w:t>
      </w:r>
    </w:p>
    <w:p>
      <w:pPr>
        <w:spacing w:after="0" w:line="140"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Shares of Common Stock represented by executed and unrevoked proxies will be voted in accordance with the instructions specified in such proxies. If no instructions are given, the proxies intend to vote the shares represented thereby:</w:t>
      </w:r>
    </w:p>
    <w:p>
      <w:pPr>
        <w:spacing w:after="0" w:line="113" w:lineRule="exact"/>
        <w:rPr>
          <w:sz w:val="20"/>
          <w:szCs w:val="20"/>
          <w:color w:val="auto"/>
        </w:rPr>
      </w:pPr>
    </w:p>
    <w:p>
      <w:pPr>
        <w:ind w:left="840" w:hanging="481"/>
        <w:spacing w:after="0"/>
        <w:tabs>
          <w:tab w:leader="none" w:pos="84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4A7EBB"/>
        </w:rPr>
        <w:t xml:space="preserve">“FOR” </w:t>
      </w:r>
      <w:r>
        <w:rPr>
          <w:rFonts w:ascii="Arial" w:cs="Arial" w:eastAsia="Arial" w:hAnsi="Arial"/>
          <w:sz w:val="18"/>
          <w:szCs w:val="18"/>
          <w:color w:val="000000"/>
        </w:rPr>
        <w:t>the election of each of the eleven nominees for director as shown on the form of proxy,</w:t>
      </w:r>
    </w:p>
    <w:p>
      <w:pPr>
        <w:spacing w:after="0" w:line="39" w:lineRule="exact"/>
        <w:rPr>
          <w:rFonts w:ascii="Arial" w:cs="Arial" w:eastAsia="Arial" w:hAnsi="Arial"/>
          <w:sz w:val="18"/>
          <w:szCs w:val="18"/>
          <w:color w:val="auto"/>
        </w:rPr>
      </w:pPr>
    </w:p>
    <w:p>
      <w:pPr>
        <w:ind w:left="840" w:hanging="481"/>
        <w:spacing w:after="0"/>
        <w:tabs>
          <w:tab w:leader="none" w:pos="84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4A7EBB"/>
        </w:rPr>
        <w:t xml:space="preserve">“FOR” </w:t>
      </w:r>
      <w:r>
        <w:rPr>
          <w:rFonts w:ascii="Arial" w:cs="Arial" w:eastAsia="Arial" w:hAnsi="Arial"/>
          <w:sz w:val="18"/>
          <w:szCs w:val="18"/>
          <w:color w:val="000000"/>
        </w:rPr>
        <w:t>approval of the compensation of our Named Executive Officers,</w:t>
      </w:r>
    </w:p>
    <w:p>
      <w:pPr>
        <w:spacing w:after="0" w:line="22" w:lineRule="exact"/>
        <w:rPr>
          <w:rFonts w:ascii="Arial" w:cs="Arial" w:eastAsia="Arial" w:hAnsi="Arial"/>
          <w:sz w:val="18"/>
          <w:szCs w:val="18"/>
          <w:color w:val="auto"/>
        </w:rPr>
      </w:pPr>
    </w:p>
    <w:p>
      <w:pPr>
        <w:ind w:left="840" w:right="20" w:hanging="481"/>
        <w:spacing w:after="0" w:line="230" w:lineRule="auto"/>
        <w:tabs>
          <w:tab w:leader="none" w:pos="84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4A7EBB"/>
        </w:rPr>
        <w:t xml:space="preserve">“FOR” </w:t>
      </w:r>
      <w:r>
        <w:rPr>
          <w:rFonts w:ascii="Arial" w:cs="Arial" w:eastAsia="Arial" w:hAnsi="Arial"/>
          <w:sz w:val="18"/>
          <w:szCs w:val="18"/>
          <w:color w:val="000000"/>
        </w:rPr>
        <w:t>approval of our amended 2023 Plan to increase the number of shares of common stock authorized for</w:t>
      </w:r>
      <w:r>
        <w:rPr>
          <w:rFonts w:ascii="Arial" w:cs="Arial" w:eastAsia="Arial" w:hAnsi="Arial"/>
          <w:sz w:val="18"/>
          <w:szCs w:val="18"/>
          <w:b w:val="1"/>
          <w:bCs w:val="1"/>
          <w:color w:val="4A7EBB"/>
        </w:rPr>
        <w:t xml:space="preserve"> </w:t>
      </w:r>
      <w:r>
        <w:rPr>
          <w:rFonts w:ascii="Arial" w:cs="Arial" w:eastAsia="Arial" w:hAnsi="Arial"/>
          <w:sz w:val="18"/>
          <w:szCs w:val="18"/>
          <w:color w:val="000000"/>
        </w:rPr>
        <w:t>grant and issuance by 2,500,000 shares,</w:t>
      </w:r>
    </w:p>
    <w:p>
      <w:pPr>
        <w:spacing w:after="0" w:line="4" w:lineRule="exact"/>
        <w:rPr>
          <w:rFonts w:ascii="Arial" w:cs="Arial" w:eastAsia="Arial" w:hAnsi="Arial"/>
          <w:sz w:val="18"/>
          <w:szCs w:val="18"/>
          <w:color w:val="auto"/>
        </w:rPr>
      </w:pPr>
    </w:p>
    <w:p>
      <w:pPr>
        <w:ind w:left="840" w:right="20" w:hanging="481"/>
        <w:spacing w:after="0"/>
        <w:tabs>
          <w:tab w:leader="none" w:pos="84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4A7EBB"/>
        </w:rPr>
        <w:t xml:space="preserve">“FOR” </w:t>
      </w:r>
      <w:r>
        <w:rPr>
          <w:rFonts w:ascii="Arial" w:cs="Arial" w:eastAsia="Arial" w:hAnsi="Arial"/>
          <w:sz w:val="18"/>
          <w:szCs w:val="18"/>
          <w:color w:val="000000"/>
        </w:rPr>
        <w:t>the ratification of the appointment of Ernst &amp; Young LLP as our independent registered public accounting</w:t>
      </w:r>
      <w:r>
        <w:rPr>
          <w:rFonts w:ascii="Arial" w:cs="Arial" w:eastAsia="Arial" w:hAnsi="Arial"/>
          <w:sz w:val="18"/>
          <w:szCs w:val="18"/>
          <w:b w:val="1"/>
          <w:bCs w:val="1"/>
          <w:color w:val="4A7EBB"/>
        </w:rPr>
        <w:t xml:space="preserve"> </w:t>
      </w:r>
      <w:r>
        <w:rPr>
          <w:rFonts w:ascii="Arial" w:cs="Arial" w:eastAsia="Arial" w:hAnsi="Arial"/>
          <w:sz w:val="18"/>
          <w:szCs w:val="18"/>
          <w:color w:val="000000"/>
        </w:rPr>
        <w:t>firm for the fiscal year ending January 31, 2027, and</w:t>
      </w:r>
    </w:p>
    <w:p>
      <w:pPr>
        <w:spacing w:after="0" w:line="4" w:lineRule="exact"/>
        <w:rPr>
          <w:rFonts w:ascii="Arial" w:cs="Arial" w:eastAsia="Arial" w:hAnsi="Arial"/>
          <w:sz w:val="18"/>
          <w:szCs w:val="18"/>
          <w:color w:val="auto"/>
        </w:rPr>
      </w:pPr>
    </w:p>
    <w:p>
      <w:pPr>
        <w:ind w:left="840" w:hanging="481"/>
        <w:spacing w:after="0"/>
        <w:tabs>
          <w:tab w:leader="none" w:pos="8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accordance with their best judgment on any other matters which may properly come before the meeting.</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RECORD DATE AND VOTING RIGHTS</w:t>
      </w:r>
    </w:p>
    <w:p>
      <w:pPr>
        <w:spacing w:after="0" w:line="13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On April 16, 2026, there were 42,189,287 shares of Common Stock outstanding (excluding shares held in treasury). Each of these shares is entitled to one vote upon each of the matters to be presented at the Annual Meeting. Only stockholders of</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record at the close of business on April 16, 2026 are entitled to notice of and to vote at the Annual Meeting or any adjournment thereof.</w:t>
      </w:r>
    </w:p>
    <w:p>
      <w:pPr>
        <w:spacing w:after="0" w:line="13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quorum requirement for holding the Annual Meeting and transacting business is a majority of the outstanding shares entitled to be voted at the Annual Meeting. The shares may be present in person or represented by proxy at the Annual</w:t>
      </w:r>
    </w:p>
    <w:p>
      <w:pPr>
        <w:spacing w:after="0" w:line="1"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Meeting. Abstentions and broker non-votes are counted as present for the purpose of determining the presence of a quorum.</w:t>
      </w:r>
    </w:p>
    <w:p>
      <w:pPr>
        <w:spacing w:after="0" w:line="131"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A “broker non-vote” occurs when shares held by a broker, bank, or other nominee in “street name” for a beneficial owner are not voted with respect to a particular proposal because the broker, bank, or other nominee (1) has not received voting</w:t>
      </w:r>
    </w:p>
    <w:p>
      <w:pPr>
        <w:spacing w:after="0" w:line="235" w:lineRule="auto"/>
        <w:rPr>
          <w:sz w:val="20"/>
          <w:szCs w:val="20"/>
          <w:color w:val="auto"/>
        </w:rPr>
      </w:pPr>
      <w:r>
        <w:rPr>
          <w:rFonts w:ascii="Arial" w:cs="Arial" w:eastAsia="Arial" w:hAnsi="Arial"/>
          <w:sz w:val="18"/>
          <w:szCs w:val="18"/>
          <w:color w:val="auto"/>
        </w:rPr>
        <w:t>instructions from the beneficial owner and (2) lacks discretionary voting power to vote those shares with respect to that</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particular proposal. Under current Nasdaq rules, brokers have discretionary voting power with respect to the proposal to ratify the appointment of Ernst &amp; Young LLP as our independent registered public accounting firm for the fiscal year ending</w:t>
      </w:r>
    </w:p>
    <w:p>
      <w:pPr>
        <w:spacing w:after="0" w:line="236" w:lineRule="auto"/>
        <w:rPr>
          <w:sz w:val="20"/>
          <w:szCs w:val="20"/>
          <w:color w:val="auto"/>
        </w:rPr>
      </w:pPr>
      <w:r>
        <w:rPr>
          <w:rFonts w:ascii="Arial" w:cs="Arial" w:eastAsia="Arial" w:hAnsi="Arial"/>
          <w:sz w:val="18"/>
          <w:szCs w:val="18"/>
          <w:color w:val="auto"/>
        </w:rPr>
        <w:t>January 31, 2027, but will not be authorized to vote with respect to the (a) election of our eleven nominees for director,</w:t>
      </w:r>
    </w:p>
    <w:p>
      <w:pPr>
        <w:spacing w:after="0" w:line="1" w:lineRule="exact"/>
        <w:rPr>
          <w:sz w:val="20"/>
          <w:szCs w:val="20"/>
          <w:color w:val="auto"/>
        </w:rPr>
      </w:pPr>
    </w:p>
    <w:p>
      <w:pPr>
        <w:ind w:firstLine="8"/>
        <w:spacing w:after="0" w:line="237" w:lineRule="auto"/>
        <w:tabs>
          <w:tab w:leader="none" w:pos="318"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advisory and non-binding vote on the compensation of our Named Executive Officers or (c) the approval of the amendment to the 2023 Plan, unless you provide voting instructions to your broker.</w:t>
      </w:r>
    </w:p>
    <w:p>
      <w:pPr>
        <w:spacing w:after="0" w:line="140"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The affirmative vote of the holders of a plurality of the shares of Common Stock present in person or represented by proxy and entitled to vote at the Annual Meeting is required for the election of directors. The eleven nominees receiving the highest</w:t>
      </w:r>
    </w:p>
    <w:p>
      <w:pPr>
        <w:jc w:val="both"/>
        <w:spacing w:after="0" w:line="226" w:lineRule="auto"/>
        <w:rPr>
          <w:sz w:val="20"/>
          <w:szCs w:val="20"/>
          <w:color w:val="auto"/>
        </w:rPr>
      </w:pPr>
      <w:r>
        <w:rPr>
          <w:rFonts w:ascii="Arial" w:cs="Arial" w:eastAsia="Arial" w:hAnsi="Arial"/>
          <w:sz w:val="18"/>
          <w:szCs w:val="18"/>
          <w:color w:val="auto"/>
        </w:rPr>
        <w:t>number of affirmative votes of the shares present in person or represented by proxy and entitled to vote for them shall be elected as directors; provided, however, that pursuant to our Director Selection and Qualification Standards and Resignation</w:t>
      </w:r>
    </w:p>
    <w:p>
      <w:pPr>
        <w:spacing w:after="0" w:line="236" w:lineRule="auto"/>
        <w:rPr>
          <w:sz w:val="20"/>
          <w:szCs w:val="20"/>
          <w:color w:val="auto"/>
        </w:rPr>
      </w:pPr>
      <w:r>
        <w:rPr>
          <w:rFonts w:ascii="Arial" w:cs="Arial" w:eastAsia="Arial" w:hAnsi="Arial"/>
          <w:sz w:val="18"/>
          <w:szCs w:val="18"/>
          <w:color w:val="auto"/>
        </w:rPr>
        <w:t>Policy, any nominee for director in this uncontested election who receives a greater number of votes “withheld” from his or</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her election than votes “for” his or her election must tender a written resignation to the Board. The Nominating and Corporate Governance Committee and the Board of Directors will consider the resignation and determine whether or not to</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accept the resignation.</w:t>
      </w:r>
    </w:p>
    <w:p>
      <w:pPr>
        <w:spacing w:after="0" w:line="172" w:lineRule="exact"/>
        <w:rPr>
          <w:sz w:val="20"/>
          <w:szCs w:val="20"/>
          <w:color w:val="auto"/>
        </w:rPr>
      </w:pPr>
    </w:p>
    <w:p>
      <w:pPr>
        <w:jc w:val="both"/>
        <w:ind w:right="20" w:firstLine="1"/>
        <w:spacing w:after="0" w:line="264" w:lineRule="auto"/>
        <w:rPr>
          <w:sz w:val="20"/>
          <w:szCs w:val="20"/>
          <w:color w:val="auto"/>
        </w:rPr>
      </w:pPr>
      <w:r>
        <w:rPr>
          <w:sz w:val="1"/>
          <w:szCs w:val="1"/>
          <w:color w:val="auto"/>
        </w:rPr>
        <w:drawing>
          <wp:inline distT="0" distB="0" distL="0" distR="0">
            <wp:extent cx="205740" cy="20574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05740" cy="205740"/>
                    </a:xfrm>
                    <a:prstGeom prst="rect">
                      <a:avLst/>
                    </a:prstGeom>
                    <a:noFill/>
                    <a:ln>
                      <a:noFill/>
                    </a:ln>
                  </pic:spPr>
                </pic:pic>
              </a:graphicData>
            </a:graphic>
          </wp:inline>
        </w:drawing>
      </w:r>
      <w:r>
        <w:rPr>
          <w:rFonts w:ascii="Arial" w:cs="Arial" w:eastAsia="Arial" w:hAnsi="Arial"/>
          <w:sz w:val="18"/>
          <w:szCs w:val="18"/>
          <w:color w:val="auto"/>
        </w:rPr>
        <w:t xml:space="preserve"> See “Corporate Governance—Additional Corporate Governance Policies—Director Selection and Qualification Standards and Resignation Policy” for a more complete description of the application of this Policy.</w:t>
      </w:r>
    </w:p>
    <w:p>
      <w:pPr>
        <w:spacing w:after="0" w:line="10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affirmative vote of the holders of a majority of the shares of Common Stock present in person or represented by proxy and entitled to vote at the Annual Meeting is required to decide the other matters to be voted on at the Annual Meeting.</w:t>
      </w:r>
    </w:p>
    <w:p>
      <w:pPr>
        <w:spacing w:after="0" w:line="1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You may vote “FOR” or “VOTE WITHHELD” with respect to each or all of the director nominees. If you elect not to vote on the election of directors, this will not have any effect on the election of directors. In tabulating the voting results for the election of directors, only “FOR” and “VOTE WITHHELD” votes are counted.</w:t>
      </w:r>
    </w:p>
    <w:p>
      <w:pPr>
        <w:spacing w:after="0" w:line="128"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color w:val="auto"/>
        </w:rPr>
        <w:t>You may vote “FOR,” “AGAINST,” or “ABSTAIN” with respect to the (a) proposal to approve, on an advisory basis, the compensation of our Named Executive Officers, (b) proposal to approve our amended 2023 Plan to increase the number of</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shares of common stock authorized for grant and issuance under the 2023 Plan by 2,500,000 shares and (c) proposal to ratify the appointment of Ernst &amp; Young LLP as our independent registered public accounting firm. If you elect to abstain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275590</wp:posOffset>
            </wp:positionV>
            <wp:extent cx="62922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0"/>
          <w:szCs w:val="20"/>
          <w:b w:val="1"/>
          <w:bCs w:val="1"/>
          <w:color w:val="4A7EBB"/>
        </w:rPr>
        <w:t xml:space="preserve">2 </w:t>
      </w:r>
      <w:r>
        <w:rPr>
          <w:rFonts w:ascii="Arial" w:cs="Arial" w:eastAsia="Arial" w:hAnsi="Arial"/>
          <w:sz w:val="20"/>
          <w:szCs w:val="20"/>
          <w:color w:val="808080"/>
        </w:rPr>
        <w:t xml:space="preserve">\ </w:t>
      </w:r>
      <w:r>
        <w:rPr>
          <w:sz w:val="1"/>
          <w:szCs w:val="1"/>
          <w:color w:val="auto"/>
        </w:rPr>
        <w:drawing>
          <wp:inline distT="0" distB="0" distL="0" distR="0">
            <wp:extent cx="274320" cy="145415"/>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74320" cy="145415"/>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350520</wp:posOffset>
            </wp:positionV>
            <wp:extent cx="6292215"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left="8520"/>
        <w:spacing w:after="0"/>
        <w:rPr>
          <w:sz w:val="20"/>
          <w:szCs w:val="20"/>
          <w:color w:val="auto"/>
        </w:rPr>
      </w:pPr>
      <w:r>
        <w:rPr>
          <w:rFonts w:ascii="Arial" w:cs="Arial" w:eastAsia="Arial" w:hAnsi="Arial"/>
          <w:sz w:val="18"/>
          <w:szCs w:val="18"/>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17780</wp:posOffset>
            </wp:positionV>
            <wp:extent cx="62490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49035" cy="8255"/>
                    </a:xfrm>
                    <a:prstGeom prst="rect">
                      <a:avLst/>
                    </a:prstGeom>
                    <a:noFill/>
                  </pic:spPr>
                </pic:pic>
              </a:graphicData>
            </a:graphic>
          </wp:anchor>
        </w:drawing>
      </w:r>
    </w:p>
    <w:p>
      <w:pPr>
        <w:spacing w:after="0" w:line="205"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from voting on any of these proposals, the abstention will have the same effect as an “AGAINST” vote with respect to such proposal.</w:t>
      </w:r>
    </w:p>
    <w:p>
      <w:pPr>
        <w:spacing w:after="0" w:line="113"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If you sign and return your accompanying proxy card without giving specific voting instructions, your shares will be voted as recommended by our Board and in accordance with the discretion of the persons named on the accompanying proxy card</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with respect to any other matters to be voted upon at the Annual Meeting. If you are a beneficial holder and do not return a voting instruction form, your broker may not vote on any of the matters to be presented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335280</wp:posOffset>
            </wp:positionV>
            <wp:extent cx="629221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7660"/>
        <w:spacing w:after="0"/>
        <w:rPr>
          <w:sz w:val="20"/>
          <w:szCs w:val="20"/>
          <w:color w:val="auto"/>
        </w:rPr>
      </w:pPr>
      <w:r>
        <w:rPr>
          <w:rFonts w:ascii="Arial" w:cs="Arial" w:eastAsia="Arial" w:hAnsi="Arial"/>
          <w:sz w:val="16"/>
          <w:szCs w:val="16"/>
          <w:color w:val="auto"/>
        </w:rPr>
        <w:t xml:space="preserve">2026 PROXY STATEMENT </w:t>
      </w:r>
      <w:r>
        <w:rPr>
          <w:rFonts w:ascii="Arial" w:cs="Arial" w:eastAsia="Arial" w:hAnsi="Arial"/>
          <w:sz w:val="19"/>
          <w:szCs w:val="19"/>
          <w:color w:val="808080"/>
        </w:rPr>
        <w:t>/</w:t>
      </w:r>
      <w:r>
        <w:rPr>
          <w:rFonts w:ascii="Arial" w:cs="Arial" w:eastAsia="Arial" w:hAnsi="Arial"/>
          <w:sz w:val="16"/>
          <w:szCs w:val="16"/>
          <w:color w:val="auto"/>
        </w:rPr>
        <w:t xml:space="preserve"> </w:t>
      </w:r>
      <w:r>
        <w:rPr>
          <w:rFonts w:ascii="Arial" w:cs="Arial" w:eastAsia="Arial" w:hAnsi="Arial"/>
          <w:sz w:val="19"/>
          <w:szCs w:val="19"/>
          <w:b w:val="1"/>
          <w:bCs w:val="1"/>
          <w:color w:val="4A7EBB"/>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365125</wp:posOffset>
            </wp:positionV>
            <wp:extent cx="629221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24130</wp:posOffset>
            </wp:positionV>
            <wp:extent cx="629221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4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This summary highlights information on the proposals that require your vote at the Annual Meeting, as well as information on our business, our Board of Directors and our corporate governance structure. This summary does not contain all of the information that you should consider before voting and we ask that you read the entire Proxy Statement carefully. As used in the Proxy Statement, “G-III,” “our company” and “we” refer to G-III Apparel Group, Ltd. and its subsidiaries.</w:t>
      </w:r>
    </w:p>
    <w:p>
      <w:pPr>
        <w:sectPr>
          <w:pgSz w:w="11900" w:h="16838" w:orient="portrait"/>
          <w:cols w:equalWidth="0" w:num="1">
            <w:col w:w="9920"/>
          </w:cols>
          <w:pgMar w:left="980" w:top="513" w:right="999" w:bottom="1440" w:gutter="0" w:footer="0" w:header="0"/>
        </w:sectPr>
      </w:pPr>
    </w:p>
    <w:p>
      <w:pPr>
        <w:spacing w:after="0" w:line="177" w:lineRule="exact"/>
        <w:rPr>
          <w:sz w:val="20"/>
          <w:szCs w:val="20"/>
          <w:color w:val="auto"/>
        </w:rPr>
      </w:pPr>
    </w:p>
    <w:p>
      <w:pPr>
        <w:ind w:left="120" w:right="480"/>
        <w:spacing w:after="0" w:line="287" w:lineRule="auto"/>
        <w:rPr>
          <w:sz w:val="20"/>
          <w:szCs w:val="20"/>
          <w:color w:val="auto"/>
        </w:rPr>
      </w:pPr>
      <w:r>
        <w:rPr>
          <w:rFonts w:ascii="Arial" w:cs="Arial" w:eastAsia="Arial" w:hAnsi="Arial"/>
          <w:sz w:val="27"/>
          <w:szCs w:val="27"/>
          <w:b w:val="1"/>
          <w:bCs w:val="1"/>
          <w:color w:val="auto"/>
        </w:rPr>
        <w:t>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-461010</wp:posOffset>
            </wp:positionV>
            <wp:extent cx="1928495" cy="57092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928495" cy="5709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4A7EBB"/>
        </w:rPr>
        <w:t>Date and Time</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June 11, 2026,</w:t>
      </w:r>
    </w:p>
    <w:p>
      <w:pPr>
        <w:ind w:left="120"/>
        <w:spacing w:after="0"/>
        <w:rPr>
          <w:sz w:val="20"/>
          <w:szCs w:val="20"/>
          <w:color w:val="auto"/>
        </w:rPr>
      </w:pPr>
      <w:r>
        <w:rPr>
          <w:rFonts w:ascii="Arial" w:cs="Arial" w:eastAsia="Arial" w:hAnsi="Arial"/>
          <w:sz w:val="18"/>
          <w:szCs w:val="18"/>
          <w:color w:val="auto"/>
        </w:rPr>
        <w:t>10:00 a.m. New York time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4A7EBB"/>
        </w:rPr>
        <w:t>Place</w:t>
      </w:r>
    </w:p>
    <w:p>
      <w:pPr>
        <w:spacing w:after="0" w:line="18" w:lineRule="exact"/>
        <w:rPr>
          <w:sz w:val="20"/>
          <w:szCs w:val="20"/>
          <w:color w:val="auto"/>
        </w:rPr>
      </w:pPr>
    </w:p>
    <w:p>
      <w:pPr>
        <w:ind w:left="120"/>
        <w:spacing w:after="0" w:line="227" w:lineRule="auto"/>
        <w:rPr>
          <w:sz w:val="20"/>
          <w:szCs w:val="20"/>
          <w:color w:val="auto"/>
        </w:rPr>
      </w:pPr>
      <w:r>
        <w:rPr>
          <w:rFonts w:ascii="Arial" w:cs="Arial" w:eastAsia="Arial" w:hAnsi="Arial"/>
          <w:sz w:val="18"/>
          <w:szCs w:val="18"/>
          <w:color w:val="auto"/>
        </w:rPr>
        <w:t>The offices of Paul, Weiss, Rifkind, Wharton &amp; Garrison LLP</w:t>
      </w:r>
    </w:p>
    <w:p>
      <w:pPr>
        <w:ind w:left="120"/>
        <w:spacing w:after="0" w:line="198" w:lineRule="auto"/>
        <w:rPr>
          <w:sz w:val="20"/>
          <w:szCs w:val="20"/>
          <w:color w:val="auto"/>
        </w:rPr>
      </w:pPr>
      <w:r>
        <w:rPr>
          <w:rFonts w:ascii="Arial" w:cs="Arial" w:eastAsia="Arial" w:hAnsi="Arial"/>
          <w:sz w:val="18"/>
          <w:szCs w:val="18"/>
          <w:color w:val="auto"/>
        </w:rPr>
        <w:t>1285 Avenue of the Americas 29</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New York, New York 10019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4A7EBB"/>
        </w:rPr>
        <w:t>Availability of Proxy Materials</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Proxy Statement and our 2025</w:t>
      </w:r>
    </w:p>
    <w:p>
      <w:pPr>
        <w:ind w:left="120"/>
        <w:spacing w:after="0" w:line="234" w:lineRule="auto"/>
        <w:rPr>
          <w:sz w:val="20"/>
          <w:szCs w:val="20"/>
          <w:color w:val="auto"/>
        </w:rPr>
      </w:pPr>
      <w:r>
        <w:rPr>
          <w:rFonts w:ascii="Arial" w:cs="Arial" w:eastAsia="Arial" w:hAnsi="Arial"/>
          <w:sz w:val="18"/>
          <w:szCs w:val="18"/>
          <w:color w:val="auto"/>
        </w:rPr>
        <w:t>Annual Report to Stockholders are</w:t>
      </w:r>
    </w:p>
    <w:p>
      <w:pPr>
        <w:ind w:left="120"/>
        <w:spacing w:after="0" w:line="235" w:lineRule="auto"/>
        <w:rPr>
          <w:sz w:val="20"/>
          <w:szCs w:val="20"/>
          <w:color w:val="auto"/>
        </w:rPr>
      </w:pPr>
      <w:r>
        <w:rPr>
          <w:rFonts w:ascii="Arial" w:cs="Arial" w:eastAsia="Arial" w:hAnsi="Arial"/>
          <w:sz w:val="18"/>
          <w:szCs w:val="18"/>
          <w:color w:val="auto"/>
        </w:rPr>
        <w:t>available in the “Investors” section</w:t>
      </w:r>
    </w:p>
    <w:p>
      <w:pPr>
        <w:ind w:left="120"/>
        <w:spacing w:after="0" w:line="235" w:lineRule="auto"/>
        <w:rPr>
          <w:sz w:val="20"/>
          <w:szCs w:val="20"/>
          <w:color w:val="auto"/>
        </w:rPr>
      </w:pPr>
      <w:r>
        <w:rPr>
          <w:rFonts w:ascii="Arial" w:cs="Arial" w:eastAsia="Arial" w:hAnsi="Arial"/>
          <w:sz w:val="18"/>
          <w:szCs w:val="18"/>
          <w:color w:val="auto"/>
        </w:rPr>
        <w:t>of our website at</w:t>
      </w:r>
    </w:p>
    <w:p>
      <w:pPr>
        <w:ind w:left="120"/>
        <w:spacing w:after="0"/>
        <w:rPr>
          <w:sz w:val="20"/>
          <w:szCs w:val="20"/>
          <w:color w:val="auto"/>
        </w:rPr>
      </w:pPr>
      <w:r>
        <w:rPr>
          <w:rFonts w:ascii="Arial" w:cs="Arial" w:eastAsia="Arial" w:hAnsi="Arial"/>
          <w:sz w:val="18"/>
          <w:szCs w:val="18"/>
          <w:color w:val="4A7EBB"/>
        </w:rPr>
        <w:t>http://www.giii.com</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1523365</wp:posOffset>
            </wp:positionV>
            <wp:extent cx="192849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9284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8"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4A7EBB"/>
        </w:rPr>
        <w:t>Proposals That Require Your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-396240</wp:posOffset>
            </wp:positionV>
            <wp:extent cx="4149090" cy="6515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149090" cy="65151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8"/>
        </w:trPr>
        <w:tc>
          <w:tcPr>
            <w:tcW w:w="380" w:type="dxa"/>
            <w:vAlign w:val="bottom"/>
            <w:tcBorders>
              <w:top w:val="single" w:sz="8" w:color="4A7EBB"/>
            </w:tcBorders>
          </w:tcPr>
          <w:p>
            <w:pPr>
              <w:spacing w:after="0"/>
              <w:rPr>
                <w:sz w:val="14"/>
                <w:szCs w:val="14"/>
                <w:color w:val="auto"/>
              </w:rPr>
            </w:pPr>
          </w:p>
        </w:tc>
        <w:tc>
          <w:tcPr>
            <w:tcW w:w="1120" w:type="dxa"/>
            <w:vAlign w:val="bottom"/>
            <w:tcBorders>
              <w:top w:val="single" w:sz="8" w:color="4A7EBB"/>
            </w:tcBorders>
          </w:tcPr>
          <w:p>
            <w:pPr>
              <w:spacing w:after="0"/>
              <w:rPr>
                <w:sz w:val="14"/>
                <w:szCs w:val="14"/>
                <w:color w:val="auto"/>
              </w:rPr>
            </w:pPr>
          </w:p>
        </w:tc>
        <w:tc>
          <w:tcPr>
            <w:tcW w:w="240" w:type="dxa"/>
            <w:vAlign w:val="bottom"/>
            <w:tcBorders>
              <w:top w:val="single" w:sz="8" w:color="4A7EBB"/>
            </w:tcBorders>
          </w:tcPr>
          <w:p>
            <w:pPr>
              <w:spacing w:after="0"/>
              <w:rPr>
                <w:sz w:val="14"/>
                <w:szCs w:val="14"/>
                <w:color w:val="auto"/>
              </w:rPr>
            </w:pPr>
          </w:p>
        </w:tc>
        <w:tc>
          <w:tcPr>
            <w:tcW w:w="280" w:type="dxa"/>
            <w:vAlign w:val="bottom"/>
            <w:tcBorders>
              <w:top w:val="single" w:sz="8" w:color="4A7EBB"/>
            </w:tcBorders>
          </w:tcPr>
          <w:p>
            <w:pPr>
              <w:spacing w:after="0"/>
              <w:rPr>
                <w:sz w:val="14"/>
                <w:szCs w:val="14"/>
                <w:color w:val="auto"/>
              </w:rPr>
            </w:pPr>
          </w:p>
        </w:tc>
        <w:tc>
          <w:tcPr>
            <w:tcW w:w="480" w:type="dxa"/>
            <w:vAlign w:val="bottom"/>
            <w:tcBorders>
              <w:top w:val="single" w:sz="8" w:color="4A7EBB"/>
            </w:tcBorders>
          </w:tcPr>
          <w:p>
            <w:pPr>
              <w:spacing w:after="0"/>
              <w:rPr>
                <w:sz w:val="14"/>
                <w:szCs w:val="14"/>
                <w:color w:val="auto"/>
              </w:rPr>
            </w:pPr>
          </w:p>
        </w:tc>
        <w:tc>
          <w:tcPr>
            <w:tcW w:w="820" w:type="dxa"/>
            <w:vAlign w:val="bottom"/>
            <w:tcBorders>
              <w:top w:val="single" w:sz="8" w:color="4A7EBB"/>
            </w:tcBorders>
          </w:tcPr>
          <w:p>
            <w:pPr>
              <w:spacing w:after="0"/>
              <w:rPr>
                <w:sz w:val="14"/>
                <w:szCs w:val="14"/>
                <w:color w:val="auto"/>
              </w:rPr>
            </w:pPr>
          </w:p>
        </w:tc>
        <w:tc>
          <w:tcPr>
            <w:tcW w:w="1840" w:type="dxa"/>
            <w:vAlign w:val="bottom"/>
            <w:tcBorders>
              <w:top w:val="single" w:sz="8" w:color="4A7EBB"/>
            </w:tcBorders>
          </w:tcPr>
          <w:p>
            <w:pPr>
              <w:jc w:val="center"/>
              <w:spacing w:after="0" w:line="168" w:lineRule="exact"/>
              <w:rPr>
                <w:sz w:val="20"/>
                <w:szCs w:val="20"/>
                <w:color w:val="auto"/>
              </w:rPr>
            </w:pPr>
            <w:r>
              <w:rPr>
                <w:rFonts w:ascii="Arial" w:cs="Arial" w:eastAsia="Arial" w:hAnsi="Arial"/>
                <w:sz w:val="16"/>
                <w:szCs w:val="16"/>
                <w:b w:val="1"/>
                <w:bCs w:val="1"/>
                <w:color w:val="auto"/>
              </w:rPr>
              <w:t>Board Vote</w:t>
            </w:r>
          </w:p>
        </w:tc>
        <w:tc>
          <w:tcPr>
            <w:tcW w:w="1380" w:type="dxa"/>
            <w:vAlign w:val="bottom"/>
            <w:tcBorders>
              <w:top w:val="single" w:sz="8" w:color="4A7EBB"/>
            </w:tcBorders>
          </w:tcPr>
          <w:p>
            <w:pPr>
              <w:jc w:val="center"/>
              <w:spacing w:after="0" w:line="168" w:lineRule="exact"/>
              <w:rPr>
                <w:sz w:val="20"/>
                <w:szCs w:val="20"/>
                <w:color w:val="auto"/>
              </w:rPr>
            </w:pPr>
            <w:r>
              <w:rPr>
                <w:rFonts w:ascii="Arial" w:cs="Arial" w:eastAsia="Arial" w:hAnsi="Arial"/>
                <w:sz w:val="16"/>
                <w:szCs w:val="16"/>
                <w:b w:val="1"/>
                <w:bCs w:val="1"/>
                <w:color w:val="auto"/>
              </w:rPr>
              <w:t>More</w:t>
            </w:r>
          </w:p>
        </w:tc>
        <w:tc>
          <w:tcPr>
            <w:tcW w:w="0" w:type="dxa"/>
            <w:vAlign w:val="bottom"/>
          </w:tcPr>
          <w:p>
            <w:pPr>
              <w:spacing w:after="0"/>
              <w:rPr>
                <w:sz w:val="1"/>
                <w:szCs w:val="1"/>
                <w:color w:val="auto"/>
              </w:rPr>
            </w:pPr>
          </w:p>
        </w:tc>
      </w:tr>
      <w:tr>
        <w:trPr>
          <w:trHeight w:val="203"/>
        </w:trPr>
        <w:tc>
          <w:tcPr>
            <w:tcW w:w="1500" w:type="dxa"/>
            <w:vAlign w:val="bottom"/>
            <w:tcBorders>
              <w:bottom w:val="single" w:sz="8" w:color="4A7EBB"/>
            </w:tcBorders>
            <w:gridSpan w:val="2"/>
          </w:tcPr>
          <w:p>
            <w:pPr>
              <w:ind w:left="160"/>
              <w:spacing w:after="0"/>
              <w:rPr>
                <w:sz w:val="20"/>
                <w:szCs w:val="20"/>
                <w:color w:val="auto"/>
              </w:rPr>
            </w:pPr>
            <w:r>
              <w:rPr>
                <w:rFonts w:ascii="Arial" w:cs="Arial" w:eastAsia="Arial" w:hAnsi="Arial"/>
                <w:sz w:val="16"/>
                <w:szCs w:val="16"/>
                <w:b w:val="1"/>
                <w:bCs w:val="1"/>
                <w:color w:val="auto"/>
              </w:rPr>
              <w:t>Proposal</w:t>
            </w:r>
          </w:p>
        </w:tc>
        <w:tc>
          <w:tcPr>
            <w:tcW w:w="240" w:type="dxa"/>
            <w:vAlign w:val="bottom"/>
            <w:tcBorders>
              <w:bottom w:val="single" w:sz="8" w:color="4A7EBB"/>
            </w:tcBorders>
          </w:tcPr>
          <w:p>
            <w:pPr>
              <w:spacing w:after="0"/>
              <w:rPr>
                <w:sz w:val="17"/>
                <w:szCs w:val="17"/>
                <w:color w:val="auto"/>
              </w:rPr>
            </w:pPr>
          </w:p>
        </w:tc>
        <w:tc>
          <w:tcPr>
            <w:tcW w:w="280" w:type="dxa"/>
            <w:vAlign w:val="bottom"/>
            <w:tcBorders>
              <w:bottom w:val="single" w:sz="8" w:color="4A7EBB"/>
            </w:tcBorders>
          </w:tcPr>
          <w:p>
            <w:pPr>
              <w:spacing w:after="0"/>
              <w:rPr>
                <w:sz w:val="17"/>
                <w:szCs w:val="17"/>
                <w:color w:val="auto"/>
              </w:rPr>
            </w:pPr>
          </w:p>
        </w:tc>
        <w:tc>
          <w:tcPr>
            <w:tcW w:w="480" w:type="dxa"/>
            <w:vAlign w:val="bottom"/>
            <w:tcBorders>
              <w:bottom w:val="single" w:sz="8" w:color="4A7EBB"/>
            </w:tcBorders>
          </w:tcPr>
          <w:p>
            <w:pPr>
              <w:spacing w:after="0"/>
              <w:rPr>
                <w:sz w:val="17"/>
                <w:szCs w:val="17"/>
                <w:color w:val="auto"/>
              </w:rPr>
            </w:pPr>
          </w:p>
        </w:tc>
        <w:tc>
          <w:tcPr>
            <w:tcW w:w="820" w:type="dxa"/>
            <w:vAlign w:val="bottom"/>
            <w:tcBorders>
              <w:bottom w:val="single" w:sz="8" w:color="4A7EBB"/>
            </w:tcBorders>
          </w:tcPr>
          <w:p>
            <w:pPr>
              <w:spacing w:after="0"/>
              <w:rPr>
                <w:sz w:val="17"/>
                <w:szCs w:val="17"/>
                <w:color w:val="auto"/>
              </w:rPr>
            </w:pPr>
          </w:p>
        </w:tc>
        <w:tc>
          <w:tcPr>
            <w:tcW w:w="1840" w:type="dxa"/>
            <w:vAlign w:val="bottom"/>
            <w:tcBorders>
              <w:bottom w:val="single" w:sz="8" w:color="4A7EBB"/>
            </w:tcBorders>
          </w:tcPr>
          <w:p>
            <w:pPr>
              <w:jc w:val="center"/>
              <w:spacing w:after="0"/>
              <w:rPr>
                <w:sz w:val="20"/>
                <w:szCs w:val="20"/>
                <w:color w:val="auto"/>
              </w:rPr>
            </w:pPr>
            <w:r>
              <w:rPr>
                <w:rFonts w:ascii="Arial" w:cs="Arial" w:eastAsia="Arial" w:hAnsi="Arial"/>
                <w:sz w:val="16"/>
                <w:szCs w:val="16"/>
                <w:b w:val="1"/>
                <w:bCs w:val="1"/>
                <w:color w:val="auto"/>
                <w:w w:val="99"/>
              </w:rPr>
              <w:t>Recommendation</w:t>
            </w:r>
          </w:p>
        </w:tc>
        <w:tc>
          <w:tcPr>
            <w:tcW w:w="1380" w:type="dxa"/>
            <w:vAlign w:val="bottom"/>
            <w:tcBorders>
              <w:bottom w:val="single" w:sz="8" w:color="4A7EBB"/>
            </w:tcBorders>
          </w:tcPr>
          <w:p>
            <w:pPr>
              <w:jc w:val="center"/>
              <w:spacing w:after="0"/>
              <w:rPr>
                <w:sz w:val="20"/>
                <w:szCs w:val="20"/>
                <w:color w:val="auto"/>
              </w:rPr>
            </w:pPr>
            <w:r>
              <w:rPr>
                <w:rFonts w:ascii="Arial" w:cs="Arial" w:eastAsia="Arial" w:hAnsi="Arial"/>
                <w:sz w:val="16"/>
                <w:szCs w:val="16"/>
                <w:b w:val="1"/>
                <w:bCs w:val="1"/>
                <w:color w:val="auto"/>
                <w:w w:val="99"/>
              </w:rPr>
              <w:t>Information</w:t>
            </w:r>
          </w:p>
        </w:tc>
        <w:tc>
          <w:tcPr>
            <w:tcW w:w="0" w:type="dxa"/>
            <w:vAlign w:val="bottom"/>
          </w:tcPr>
          <w:p>
            <w:pPr>
              <w:spacing w:after="0"/>
              <w:rPr>
                <w:sz w:val="1"/>
                <w:szCs w:val="1"/>
                <w:color w:val="auto"/>
              </w:rPr>
            </w:pPr>
          </w:p>
        </w:tc>
      </w:tr>
      <w:tr>
        <w:trPr>
          <w:trHeight w:val="582"/>
        </w:trPr>
        <w:tc>
          <w:tcPr>
            <w:tcW w:w="380" w:type="dxa"/>
            <w:vAlign w:val="bottom"/>
          </w:tcPr>
          <w:p>
            <w:pPr>
              <w:jc w:val="right"/>
              <w:spacing w:after="0"/>
              <w:rPr>
                <w:sz w:val="20"/>
                <w:szCs w:val="20"/>
                <w:color w:val="auto"/>
              </w:rPr>
            </w:pPr>
            <w:r>
              <w:rPr>
                <w:rFonts w:ascii="Arial" w:cs="Arial" w:eastAsia="Arial" w:hAnsi="Arial"/>
                <w:sz w:val="29"/>
                <w:szCs w:val="29"/>
                <w:b w:val="1"/>
                <w:bCs w:val="1"/>
                <w:color w:val="4A7EBB"/>
              </w:rPr>
              <w:t>1</w:t>
            </w:r>
          </w:p>
        </w:tc>
        <w:tc>
          <w:tcPr>
            <w:tcW w:w="2940" w:type="dxa"/>
            <w:vAlign w:val="bottom"/>
            <w:gridSpan w:val="5"/>
          </w:tcPr>
          <w:p>
            <w:pPr>
              <w:ind w:left="100"/>
              <w:spacing w:after="0"/>
              <w:rPr>
                <w:sz w:val="20"/>
                <w:szCs w:val="20"/>
                <w:color w:val="auto"/>
              </w:rPr>
            </w:pPr>
            <w:r>
              <w:rPr>
                <w:rFonts w:ascii="Arial" w:cs="Arial" w:eastAsia="Arial" w:hAnsi="Arial"/>
                <w:sz w:val="18"/>
                <w:szCs w:val="18"/>
                <w:color w:val="auto"/>
              </w:rPr>
              <w:t>Annual election of 11 directors</w:t>
            </w:r>
          </w:p>
        </w:tc>
        <w:tc>
          <w:tcPr>
            <w:tcW w:w="1840" w:type="dxa"/>
            <w:vAlign w:val="bottom"/>
          </w:tcPr>
          <w:p>
            <w:pPr>
              <w:jc w:val="center"/>
              <w:ind w:left="153"/>
              <w:spacing w:after="0"/>
              <w:rPr>
                <w:sz w:val="20"/>
                <w:szCs w:val="20"/>
                <w:color w:val="auto"/>
              </w:rPr>
            </w:pPr>
            <w:r>
              <w:rPr>
                <w:rFonts w:ascii="Arial" w:cs="Arial" w:eastAsia="Arial" w:hAnsi="Arial"/>
                <w:sz w:val="18"/>
                <w:szCs w:val="18"/>
                <w:b w:val="1"/>
                <w:bCs w:val="1"/>
                <w:color w:val="4A7EBB"/>
                <w:w w:val="99"/>
              </w:rPr>
              <w:t xml:space="preserve">FOR </w:t>
            </w:r>
            <w:r>
              <w:rPr>
                <w:rFonts w:ascii="Arial" w:cs="Arial" w:eastAsia="Arial" w:hAnsi="Arial"/>
                <w:sz w:val="18"/>
                <w:szCs w:val="18"/>
                <w:b w:val="1"/>
                <w:bCs w:val="1"/>
                <w:color w:val="000000"/>
                <w:w w:val="99"/>
              </w:rPr>
              <w:t>each</w:t>
            </w:r>
          </w:p>
        </w:tc>
        <w:tc>
          <w:tcPr>
            <w:tcW w:w="1380" w:type="dxa"/>
            <w:vAlign w:val="bottom"/>
          </w:tcPr>
          <w:p>
            <w:pPr>
              <w:jc w:val="center"/>
              <w:spacing w:after="0"/>
              <w:rPr>
                <w:sz w:val="20"/>
                <w:szCs w:val="20"/>
                <w:color w:val="auto"/>
              </w:rPr>
            </w:pPr>
            <w:r>
              <w:rPr>
                <w:rFonts w:ascii="Arial" w:cs="Arial" w:eastAsia="Arial" w:hAnsi="Arial"/>
                <w:sz w:val="18"/>
                <w:szCs w:val="18"/>
                <w:color w:val="auto"/>
              </w:rPr>
              <w:t>Page 56</w:t>
            </w:r>
          </w:p>
        </w:tc>
        <w:tc>
          <w:tcPr>
            <w:tcW w:w="0" w:type="dxa"/>
            <w:vAlign w:val="bottom"/>
          </w:tcPr>
          <w:p>
            <w:pPr>
              <w:spacing w:after="0"/>
              <w:rPr>
                <w:sz w:val="1"/>
                <w:szCs w:val="1"/>
                <w:color w:val="auto"/>
              </w:rPr>
            </w:pPr>
          </w:p>
        </w:tc>
      </w:tr>
      <w:tr>
        <w:trPr>
          <w:trHeight w:val="247"/>
        </w:trPr>
        <w:tc>
          <w:tcPr>
            <w:tcW w:w="3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99"/>
              </w:rPr>
              <w:t>Nominee</w:t>
            </w: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380" w:type="dxa"/>
            <w:vAlign w:val="bottom"/>
            <w:tcBorders>
              <w:bottom w:val="single" w:sz="8" w:color="4A7EBB"/>
            </w:tcBorders>
          </w:tcPr>
          <w:p>
            <w:pPr>
              <w:spacing w:after="0"/>
              <w:rPr>
                <w:sz w:val="14"/>
                <w:szCs w:val="14"/>
                <w:color w:val="auto"/>
              </w:rPr>
            </w:pPr>
          </w:p>
        </w:tc>
        <w:tc>
          <w:tcPr>
            <w:tcW w:w="1120" w:type="dxa"/>
            <w:vAlign w:val="bottom"/>
            <w:tcBorders>
              <w:bottom w:val="single" w:sz="8" w:color="4A7EBB"/>
            </w:tcBorders>
          </w:tcPr>
          <w:p>
            <w:pPr>
              <w:spacing w:after="0"/>
              <w:rPr>
                <w:sz w:val="14"/>
                <w:szCs w:val="14"/>
                <w:color w:val="auto"/>
              </w:rPr>
            </w:pPr>
          </w:p>
        </w:tc>
        <w:tc>
          <w:tcPr>
            <w:tcW w:w="520" w:type="dxa"/>
            <w:vAlign w:val="bottom"/>
            <w:tcBorders>
              <w:bottom w:val="single" w:sz="8" w:color="4A7EBB"/>
            </w:tcBorders>
            <w:gridSpan w:val="2"/>
          </w:tcPr>
          <w:p>
            <w:pPr>
              <w:spacing w:after="0"/>
              <w:rPr>
                <w:sz w:val="14"/>
                <w:szCs w:val="14"/>
                <w:color w:val="auto"/>
              </w:rPr>
            </w:pPr>
          </w:p>
        </w:tc>
        <w:tc>
          <w:tcPr>
            <w:tcW w:w="480" w:type="dxa"/>
            <w:vAlign w:val="bottom"/>
            <w:tcBorders>
              <w:bottom w:val="single" w:sz="8" w:color="4A7EBB"/>
            </w:tcBorders>
          </w:tcPr>
          <w:p>
            <w:pPr>
              <w:spacing w:after="0"/>
              <w:rPr>
                <w:sz w:val="14"/>
                <w:szCs w:val="14"/>
                <w:color w:val="auto"/>
              </w:rPr>
            </w:pPr>
          </w:p>
        </w:tc>
        <w:tc>
          <w:tcPr>
            <w:tcW w:w="820" w:type="dxa"/>
            <w:vAlign w:val="bottom"/>
            <w:tcBorders>
              <w:bottom w:val="single" w:sz="8" w:color="4A7EBB"/>
            </w:tcBorders>
          </w:tcPr>
          <w:p>
            <w:pPr>
              <w:spacing w:after="0"/>
              <w:rPr>
                <w:sz w:val="14"/>
                <w:szCs w:val="14"/>
                <w:color w:val="auto"/>
              </w:rPr>
            </w:pPr>
          </w:p>
        </w:tc>
        <w:tc>
          <w:tcPr>
            <w:tcW w:w="1840" w:type="dxa"/>
            <w:vAlign w:val="bottom"/>
            <w:tcBorders>
              <w:bottom w:val="single" w:sz="8" w:color="4A7EBB"/>
            </w:tcBorders>
          </w:tcPr>
          <w:p>
            <w:pPr>
              <w:spacing w:after="0"/>
              <w:rPr>
                <w:sz w:val="14"/>
                <w:szCs w:val="14"/>
                <w:color w:val="auto"/>
              </w:rPr>
            </w:pPr>
          </w:p>
        </w:tc>
        <w:tc>
          <w:tcPr>
            <w:tcW w:w="1380" w:type="dxa"/>
            <w:vAlign w:val="bottom"/>
            <w:tcBorders>
              <w:bottom w:val="single" w:sz="8" w:color="4A7EBB"/>
            </w:tcBorders>
          </w:tcPr>
          <w:p>
            <w:pPr>
              <w:spacing w:after="0"/>
              <w:rPr>
                <w:sz w:val="14"/>
                <w:szCs w:val="14"/>
                <w:color w:val="auto"/>
              </w:rPr>
            </w:pPr>
          </w:p>
        </w:tc>
        <w:tc>
          <w:tcPr>
            <w:tcW w:w="0" w:type="dxa"/>
            <w:vAlign w:val="bottom"/>
          </w:tcPr>
          <w:p>
            <w:pPr>
              <w:spacing w:after="0"/>
              <w:rPr>
                <w:sz w:val="1"/>
                <w:szCs w:val="1"/>
                <w:color w:val="auto"/>
              </w:rPr>
            </w:pPr>
          </w:p>
        </w:tc>
      </w:tr>
      <w:tr>
        <w:trPr>
          <w:trHeight w:val="285"/>
        </w:trPr>
        <w:tc>
          <w:tcPr>
            <w:tcW w:w="380" w:type="dxa"/>
            <w:vAlign w:val="bottom"/>
            <w:vMerge w:val="restart"/>
            <w:shd w:val="clear" w:color="auto" w:fill="F2F2F2"/>
          </w:tcPr>
          <w:p>
            <w:pPr>
              <w:jc w:val="right"/>
              <w:spacing w:after="0"/>
              <w:rPr>
                <w:sz w:val="20"/>
                <w:szCs w:val="20"/>
                <w:color w:val="auto"/>
              </w:rPr>
            </w:pPr>
            <w:r>
              <w:rPr>
                <w:rFonts w:ascii="Arial" w:cs="Arial" w:eastAsia="Arial" w:hAnsi="Arial"/>
                <w:sz w:val="29"/>
                <w:szCs w:val="29"/>
                <w:b w:val="1"/>
                <w:bCs w:val="1"/>
                <w:color w:val="4A7EBB"/>
              </w:rPr>
              <w:t>2</w:t>
            </w:r>
          </w:p>
        </w:tc>
        <w:tc>
          <w:tcPr>
            <w:tcW w:w="1120" w:type="dxa"/>
            <w:vAlign w:val="bottom"/>
            <w:shd w:val="clear" w:color="auto" w:fill="F2F2F2"/>
          </w:tcPr>
          <w:p>
            <w:pPr>
              <w:ind w:left="100"/>
              <w:spacing w:after="0"/>
              <w:rPr>
                <w:sz w:val="20"/>
                <w:szCs w:val="20"/>
                <w:color w:val="auto"/>
              </w:rPr>
            </w:pPr>
            <w:r>
              <w:rPr>
                <w:rFonts w:ascii="Arial" w:cs="Arial" w:eastAsia="Arial" w:hAnsi="Arial"/>
                <w:sz w:val="18"/>
                <w:szCs w:val="18"/>
                <w:color w:val="auto"/>
              </w:rPr>
              <w:t>Advisory</w:t>
            </w:r>
          </w:p>
        </w:tc>
        <w:tc>
          <w:tcPr>
            <w:tcW w:w="520" w:type="dxa"/>
            <w:vAlign w:val="bottom"/>
            <w:gridSpan w:val="2"/>
            <w:shd w:val="clear" w:color="auto" w:fill="F2F2F2"/>
          </w:tcPr>
          <w:p>
            <w:pPr>
              <w:ind w:left="40"/>
              <w:spacing w:after="0"/>
              <w:rPr>
                <w:sz w:val="20"/>
                <w:szCs w:val="20"/>
                <w:color w:val="auto"/>
              </w:rPr>
            </w:pPr>
            <w:r>
              <w:rPr>
                <w:rFonts w:ascii="Arial" w:cs="Arial" w:eastAsia="Arial" w:hAnsi="Arial"/>
                <w:sz w:val="18"/>
                <w:szCs w:val="18"/>
                <w:color w:val="auto"/>
              </w:rPr>
              <w:t>vote</w:t>
            </w:r>
          </w:p>
        </w:tc>
        <w:tc>
          <w:tcPr>
            <w:tcW w:w="480" w:type="dxa"/>
            <w:vAlign w:val="bottom"/>
            <w:shd w:val="clear" w:color="auto" w:fill="F2F2F2"/>
          </w:tcPr>
          <w:p>
            <w:pPr>
              <w:ind w:left="240"/>
              <w:spacing w:after="0"/>
              <w:rPr>
                <w:sz w:val="20"/>
                <w:szCs w:val="20"/>
                <w:color w:val="auto"/>
              </w:rPr>
            </w:pPr>
            <w:r>
              <w:rPr>
                <w:rFonts w:ascii="Arial" w:cs="Arial" w:eastAsia="Arial" w:hAnsi="Arial"/>
                <w:sz w:val="18"/>
                <w:szCs w:val="18"/>
                <w:color w:val="auto"/>
              </w:rPr>
              <w:t>on</w:t>
            </w:r>
          </w:p>
        </w:tc>
        <w:tc>
          <w:tcPr>
            <w:tcW w:w="820" w:type="dxa"/>
            <w:vAlign w:val="bottom"/>
            <w:shd w:val="clear" w:color="auto" w:fill="F2F2F2"/>
          </w:tcPr>
          <w:p>
            <w:pPr>
              <w:jc w:val="right"/>
              <w:ind w:right="150"/>
              <w:spacing w:after="0"/>
              <w:rPr>
                <w:sz w:val="20"/>
                <w:szCs w:val="20"/>
                <w:color w:val="auto"/>
              </w:rPr>
            </w:pPr>
            <w:r>
              <w:rPr>
                <w:rFonts w:ascii="Arial" w:cs="Arial" w:eastAsia="Arial" w:hAnsi="Arial"/>
                <w:sz w:val="18"/>
                <w:szCs w:val="18"/>
                <w:color w:val="auto"/>
              </w:rPr>
              <w:t>the</w:t>
            </w:r>
          </w:p>
        </w:tc>
        <w:tc>
          <w:tcPr>
            <w:tcW w:w="1840" w:type="dxa"/>
            <w:vAlign w:val="bottom"/>
            <w:shd w:val="clear" w:color="auto" w:fill="F2F2F2"/>
          </w:tcPr>
          <w:p>
            <w:pPr>
              <w:spacing w:after="0"/>
              <w:rPr>
                <w:sz w:val="24"/>
                <w:szCs w:val="24"/>
                <w:color w:val="auto"/>
              </w:rPr>
            </w:pPr>
          </w:p>
        </w:tc>
        <w:tc>
          <w:tcPr>
            <w:tcW w:w="1380" w:type="dxa"/>
            <w:vAlign w:val="bottom"/>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380" w:type="dxa"/>
            <w:vAlign w:val="bottom"/>
            <w:vMerge w:val="continue"/>
            <w:shd w:val="clear" w:color="auto" w:fill="F2F2F2"/>
          </w:tcPr>
          <w:p>
            <w:pPr>
              <w:spacing w:after="0"/>
              <w:rPr>
                <w:sz w:val="19"/>
                <w:szCs w:val="19"/>
                <w:color w:val="auto"/>
              </w:rPr>
            </w:pPr>
          </w:p>
        </w:tc>
        <w:tc>
          <w:tcPr>
            <w:tcW w:w="1360" w:type="dxa"/>
            <w:vAlign w:val="bottom"/>
            <w:gridSpan w:val="2"/>
            <w:shd w:val="clear" w:color="auto" w:fill="F2F2F2"/>
          </w:tcPr>
          <w:p>
            <w:pPr>
              <w:ind w:left="100"/>
              <w:spacing w:after="0"/>
              <w:rPr>
                <w:sz w:val="20"/>
                <w:szCs w:val="20"/>
                <w:color w:val="auto"/>
              </w:rPr>
            </w:pPr>
            <w:r>
              <w:rPr>
                <w:rFonts w:ascii="Arial" w:cs="Arial" w:eastAsia="Arial" w:hAnsi="Arial"/>
                <w:sz w:val="18"/>
                <w:szCs w:val="18"/>
                <w:color w:val="auto"/>
              </w:rPr>
              <w:t>compensation</w:t>
            </w:r>
          </w:p>
        </w:tc>
        <w:tc>
          <w:tcPr>
            <w:tcW w:w="280" w:type="dxa"/>
            <w:vAlign w:val="bottom"/>
            <w:shd w:val="clear" w:color="auto" w:fill="F2F2F2"/>
          </w:tcPr>
          <w:p>
            <w:pPr>
              <w:ind w:left="40"/>
              <w:spacing w:after="0"/>
              <w:rPr>
                <w:sz w:val="20"/>
                <w:szCs w:val="20"/>
                <w:color w:val="auto"/>
              </w:rPr>
            </w:pPr>
            <w:r>
              <w:rPr>
                <w:rFonts w:ascii="Arial" w:cs="Arial" w:eastAsia="Arial" w:hAnsi="Arial"/>
                <w:sz w:val="18"/>
                <w:szCs w:val="18"/>
                <w:color w:val="auto"/>
              </w:rPr>
              <w:t>of</w:t>
            </w:r>
          </w:p>
        </w:tc>
        <w:tc>
          <w:tcPr>
            <w:tcW w:w="480" w:type="dxa"/>
            <w:vAlign w:val="bottom"/>
            <w:shd w:val="clear" w:color="auto" w:fill="F2F2F2"/>
          </w:tcPr>
          <w:p>
            <w:pPr>
              <w:ind w:left="80"/>
              <w:spacing w:after="0"/>
              <w:rPr>
                <w:sz w:val="20"/>
                <w:szCs w:val="20"/>
                <w:color w:val="auto"/>
              </w:rPr>
            </w:pPr>
            <w:r>
              <w:rPr>
                <w:rFonts w:ascii="Arial" w:cs="Arial" w:eastAsia="Arial" w:hAnsi="Arial"/>
                <w:sz w:val="18"/>
                <w:szCs w:val="18"/>
                <w:color w:val="auto"/>
              </w:rPr>
              <w:t>our</w:t>
            </w:r>
          </w:p>
        </w:tc>
        <w:tc>
          <w:tcPr>
            <w:tcW w:w="820" w:type="dxa"/>
            <w:vAlign w:val="bottom"/>
            <w:shd w:val="clear" w:color="auto" w:fill="F2F2F2"/>
          </w:tcPr>
          <w:p>
            <w:pPr>
              <w:jc w:val="right"/>
              <w:ind w:right="130"/>
              <w:spacing w:after="0"/>
              <w:rPr>
                <w:sz w:val="20"/>
                <w:szCs w:val="20"/>
                <w:color w:val="auto"/>
              </w:rPr>
            </w:pPr>
            <w:r>
              <w:rPr>
                <w:rFonts w:ascii="Arial" w:cs="Arial" w:eastAsia="Arial" w:hAnsi="Arial"/>
                <w:sz w:val="18"/>
                <w:szCs w:val="18"/>
                <w:color w:val="auto"/>
                <w:w w:val="99"/>
              </w:rPr>
              <w:t>Named</w:t>
            </w:r>
          </w:p>
        </w:tc>
        <w:tc>
          <w:tcPr>
            <w:tcW w:w="1840" w:type="dxa"/>
            <w:vAlign w:val="bottom"/>
            <w:shd w:val="clear" w:color="auto" w:fill="F2F2F2"/>
          </w:tcPr>
          <w:p>
            <w:pPr>
              <w:jc w:val="center"/>
              <w:ind w:left="173"/>
              <w:spacing w:after="0"/>
              <w:rPr>
                <w:sz w:val="20"/>
                <w:szCs w:val="20"/>
                <w:color w:val="auto"/>
              </w:rPr>
            </w:pPr>
            <w:r>
              <w:rPr>
                <w:rFonts w:ascii="Arial" w:cs="Arial" w:eastAsia="Arial" w:hAnsi="Arial"/>
                <w:sz w:val="18"/>
                <w:szCs w:val="18"/>
                <w:b w:val="1"/>
                <w:bCs w:val="1"/>
                <w:color w:val="4A7EBB"/>
                <w:w w:val="99"/>
              </w:rPr>
              <w:t>FOR</w:t>
            </w:r>
          </w:p>
        </w:tc>
        <w:tc>
          <w:tcPr>
            <w:tcW w:w="1380" w:type="dxa"/>
            <w:vAlign w:val="bottom"/>
            <w:shd w:val="clear" w:color="auto" w:fill="F2F2F2"/>
          </w:tcPr>
          <w:p>
            <w:pPr>
              <w:jc w:val="center"/>
              <w:spacing w:after="0"/>
              <w:rPr>
                <w:sz w:val="20"/>
                <w:szCs w:val="20"/>
                <w:color w:val="auto"/>
              </w:rPr>
            </w:pPr>
            <w:r>
              <w:rPr>
                <w:rFonts w:ascii="Arial" w:cs="Arial" w:eastAsia="Arial" w:hAnsi="Arial"/>
                <w:sz w:val="18"/>
                <w:szCs w:val="18"/>
                <w:color w:val="auto"/>
              </w:rPr>
              <w:t>Page 61</w:t>
            </w:r>
          </w:p>
        </w:tc>
        <w:tc>
          <w:tcPr>
            <w:tcW w:w="0" w:type="dxa"/>
            <w:vAlign w:val="bottom"/>
          </w:tcPr>
          <w:p>
            <w:pPr>
              <w:spacing w:after="0"/>
              <w:rPr>
                <w:sz w:val="1"/>
                <w:szCs w:val="1"/>
                <w:color w:val="auto"/>
              </w:rPr>
            </w:pPr>
          </w:p>
        </w:tc>
      </w:tr>
      <w:tr>
        <w:trPr>
          <w:trHeight w:val="239"/>
        </w:trPr>
        <w:tc>
          <w:tcPr>
            <w:tcW w:w="380" w:type="dxa"/>
            <w:vAlign w:val="bottom"/>
            <w:shd w:val="clear" w:color="auto" w:fill="F2F2F2"/>
          </w:tcPr>
          <w:p>
            <w:pPr>
              <w:spacing w:after="0"/>
              <w:rPr>
                <w:sz w:val="20"/>
                <w:szCs w:val="20"/>
                <w:color w:val="auto"/>
              </w:rPr>
            </w:pPr>
          </w:p>
        </w:tc>
        <w:tc>
          <w:tcPr>
            <w:tcW w:w="1640" w:type="dxa"/>
            <w:vAlign w:val="bottom"/>
            <w:gridSpan w:val="3"/>
            <w:shd w:val="clear" w:color="auto" w:fill="F2F2F2"/>
          </w:tcPr>
          <w:p>
            <w:pPr>
              <w:ind w:left="100"/>
              <w:spacing w:after="0"/>
              <w:rPr>
                <w:sz w:val="20"/>
                <w:szCs w:val="20"/>
                <w:color w:val="auto"/>
              </w:rPr>
            </w:pPr>
            <w:r>
              <w:rPr>
                <w:rFonts w:ascii="Arial" w:cs="Arial" w:eastAsia="Arial" w:hAnsi="Arial"/>
                <w:sz w:val="18"/>
                <w:szCs w:val="18"/>
                <w:color w:val="auto"/>
              </w:rPr>
              <w:t>Executive Officers</w:t>
            </w:r>
          </w:p>
        </w:tc>
        <w:tc>
          <w:tcPr>
            <w:tcW w:w="480" w:type="dxa"/>
            <w:vAlign w:val="bottom"/>
            <w:shd w:val="clear" w:color="auto" w:fill="F2F2F2"/>
          </w:tcPr>
          <w:p>
            <w:pPr>
              <w:spacing w:after="0"/>
              <w:rPr>
                <w:sz w:val="20"/>
                <w:szCs w:val="20"/>
                <w:color w:val="auto"/>
              </w:rPr>
            </w:pPr>
          </w:p>
        </w:tc>
        <w:tc>
          <w:tcPr>
            <w:tcW w:w="820" w:type="dxa"/>
            <w:vAlign w:val="bottom"/>
            <w:shd w:val="clear" w:color="auto" w:fill="F2F2F2"/>
          </w:tcPr>
          <w:p>
            <w:pPr>
              <w:spacing w:after="0"/>
              <w:rPr>
                <w:sz w:val="20"/>
                <w:szCs w:val="20"/>
                <w:color w:val="auto"/>
              </w:rPr>
            </w:pPr>
          </w:p>
        </w:tc>
        <w:tc>
          <w:tcPr>
            <w:tcW w:w="1840" w:type="dxa"/>
            <w:vAlign w:val="bottom"/>
            <w:shd w:val="clear" w:color="auto" w:fill="F2F2F2"/>
          </w:tcPr>
          <w:p>
            <w:pPr>
              <w:spacing w:after="0"/>
              <w:rPr>
                <w:sz w:val="20"/>
                <w:szCs w:val="20"/>
                <w:color w:val="auto"/>
              </w:rPr>
            </w:pPr>
          </w:p>
        </w:tc>
        <w:tc>
          <w:tcPr>
            <w:tcW w:w="1380" w:type="dxa"/>
            <w:vAlign w:val="bottom"/>
            <w:shd w:val="clear" w:color="auto" w:fill="F2F2F2"/>
          </w:tcPr>
          <w:p>
            <w:pPr>
              <w:spacing w:after="0"/>
              <w:rPr>
                <w:sz w:val="20"/>
                <w:szCs w:val="20"/>
                <w:color w:val="auto"/>
              </w:rPr>
            </w:pPr>
          </w:p>
        </w:tc>
        <w:tc>
          <w:tcPr>
            <w:tcW w:w="0" w:type="dxa"/>
            <w:vAlign w:val="bottom"/>
          </w:tcPr>
          <w:p>
            <w:pPr>
              <w:spacing w:after="0"/>
              <w:rPr>
                <w:sz w:val="1"/>
                <w:szCs w:val="1"/>
                <w:color w:val="auto"/>
              </w:rPr>
            </w:pPr>
          </w:p>
        </w:tc>
      </w:tr>
      <w:tr>
        <w:trPr>
          <w:trHeight w:val="86"/>
        </w:trPr>
        <w:tc>
          <w:tcPr>
            <w:tcW w:w="380" w:type="dxa"/>
            <w:vAlign w:val="bottom"/>
            <w:tcBorders>
              <w:bottom w:val="single" w:sz="8" w:color="4A7EBB"/>
            </w:tcBorders>
            <w:shd w:val="clear" w:color="auto" w:fill="F2F2F2"/>
          </w:tcPr>
          <w:p>
            <w:pPr>
              <w:spacing w:after="0"/>
              <w:rPr>
                <w:sz w:val="7"/>
                <w:szCs w:val="7"/>
                <w:color w:val="auto"/>
              </w:rPr>
            </w:pPr>
          </w:p>
        </w:tc>
        <w:tc>
          <w:tcPr>
            <w:tcW w:w="2940" w:type="dxa"/>
            <w:vAlign w:val="bottom"/>
            <w:tcBorders>
              <w:bottom w:val="single" w:sz="8" w:color="4A7EBB"/>
            </w:tcBorders>
            <w:gridSpan w:val="5"/>
            <w:shd w:val="clear" w:color="auto" w:fill="F2F2F2"/>
          </w:tcPr>
          <w:p>
            <w:pPr>
              <w:spacing w:after="0"/>
              <w:rPr>
                <w:sz w:val="7"/>
                <w:szCs w:val="7"/>
                <w:color w:val="auto"/>
              </w:rPr>
            </w:pPr>
          </w:p>
        </w:tc>
        <w:tc>
          <w:tcPr>
            <w:tcW w:w="1840" w:type="dxa"/>
            <w:vAlign w:val="bottom"/>
            <w:tcBorders>
              <w:bottom w:val="single" w:sz="8" w:color="4A7EBB"/>
            </w:tcBorders>
            <w:shd w:val="clear" w:color="auto" w:fill="F2F2F2"/>
          </w:tcPr>
          <w:p>
            <w:pPr>
              <w:spacing w:after="0"/>
              <w:rPr>
                <w:sz w:val="7"/>
                <w:szCs w:val="7"/>
                <w:color w:val="auto"/>
              </w:rPr>
            </w:pPr>
          </w:p>
        </w:tc>
        <w:tc>
          <w:tcPr>
            <w:tcW w:w="1380" w:type="dxa"/>
            <w:vAlign w:val="bottom"/>
            <w:tcBorders>
              <w:bottom w:val="single" w:sz="8" w:color="4A7EBB"/>
            </w:tcBorders>
            <w:shd w:val="clear" w:color="auto" w:fill="F2F2F2"/>
          </w:tcPr>
          <w:p>
            <w:pPr>
              <w:spacing w:after="0"/>
              <w:rPr>
                <w:sz w:val="7"/>
                <w:szCs w:val="7"/>
                <w:color w:val="auto"/>
              </w:rPr>
            </w:pPr>
          </w:p>
        </w:tc>
        <w:tc>
          <w:tcPr>
            <w:tcW w:w="0" w:type="dxa"/>
            <w:vAlign w:val="bottom"/>
          </w:tcPr>
          <w:p>
            <w:pPr>
              <w:spacing w:after="0"/>
              <w:rPr>
                <w:sz w:val="1"/>
                <w:szCs w:val="1"/>
                <w:color w:val="auto"/>
              </w:rPr>
            </w:pPr>
          </w:p>
        </w:tc>
      </w:tr>
      <w:tr>
        <w:trPr>
          <w:trHeight w:val="393"/>
        </w:trPr>
        <w:tc>
          <w:tcPr>
            <w:tcW w:w="380" w:type="dxa"/>
            <w:vAlign w:val="bottom"/>
            <w:vMerge w:val="restart"/>
          </w:tcPr>
          <w:p>
            <w:pPr>
              <w:jc w:val="right"/>
              <w:spacing w:after="0"/>
              <w:rPr>
                <w:sz w:val="20"/>
                <w:szCs w:val="20"/>
                <w:color w:val="auto"/>
              </w:rPr>
            </w:pPr>
            <w:r>
              <w:rPr>
                <w:rFonts w:ascii="Arial" w:cs="Arial" w:eastAsia="Arial" w:hAnsi="Arial"/>
                <w:sz w:val="29"/>
                <w:szCs w:val="29"/>
                <w:b w:val="1"/>
                <w:bCs w:val="1"/>
                <w:color w:val="4A7EBB"/>
              </w:rPr>
              <w:t>3</w:t>
            </w:r>
          </w:p>
        </w:tc>
        <w:tc>
          <w:tcPr>
            <w:tcW w:w="2940" w:type="dxa"/>
            <w:vAlign w:val="bottom"/>
            <w:gridSpan w:val="5"/>
          </w:tcPr>
          <w:p>
            <w:pPr>
              <w:ind w:left="100"/>
              <w:spacing w:after="0"/>
              <w:rPr>
                <w:sz w:val="20"/>
                <w:szCs w:val="20"/>
                <w:color w:val="auto"/>
              </w:rPr>
            </w:pPr>
            <w:r>
              <w:rPr>
                <w:rFonts w:ascii="Arial" w:cs="Arial" w:eastAsia="Arial" w:hAnsi="Arial"/>
                <w:sz w:val="18"/>
                <w:szCs w:val="18"/>
                <w:color w:val="auto"/>
              </w:rPr>
              <w:t>Approval of our amended 2023</w:t>
            </w:r>
          </w:p>
        </w:tc>
        <w:tc>
          <w:tcPr>
            <w:tcW w:w="1840" w:type="dxa"/>
            <w:vAlign w:val="bottom"/>
          </w:tcPr>
          <w:p>
            <w:pPr>
              <w:spacing w:after="0"/>
              <w:rPr>
                <w:sz w:val="24"/>
                <w:szCs w:val="24"/>
                <w:color w:val="auto"/>
              </w:rPr>
            </w:pPr>
          </w:p>
        </w:tc>
        <w:tc>
          <w:tcPr>
            <w:tcW w:w="1380" w:type="dxa"/>
            <w:vAlign w:val="bottom"/>
            <w:vMerge w:val="restart"/>
          </w:tcPr>
          <w:p>
            <w:pPr>
              <w:jc w:val="center"/>
              <w:spacing w:after="0"/>
              <w:rPr>
                <w:sz w:val="20"/>
                <w:szCs w:val="20"/>
                <w:color w:val="auto"/>
              </w:rPr>
            </w:pPr>
            <w:r>
              <w:rPr>
                <w:rFonts w:ascii="Arial" w:cs="Arial" w:eastAsia="Arial" w:hAnsi="Arial"/>
                <w:sz w:val="18"/>
                <w:szCs w:val="18"/>
                <w:color w:val="auto"/>
              </w:rPr>
              <w:t>Page 62</w:t>
            </w:r>
          </w:p>
        </w:tc>
        <w:tc>
          <w:tcPr>
            <w:tcW w:w="0" w:type="dxa"/>
            <w:vAlign w:val="bottom"/>
          </w:tcPr>
          <w:p>
            <w:pPr>
              <w:spacing w:after="0"/>
              <w:rPr>
                <w:sz w:val="1"/>
                <w:szCs w:val="1"/>
                <w:color w:val="auto"/>
              </w:rPr>
            </w:pPr>
          </w:p>
        </w:tc>
      </w:tr>
      <w:tr>
        <w:trPr>
          <w:trHeight w:val="247"/>
        </w:trPr>
        <w:tc>
          <w:tcPr>
            <w:tcW w:w="380" w:type="dxa"/>
            <w:vAlign w:val="bottom"/>
            <w:vMerge w:val="continue"/>
          </w:tcPr>
          <w:p>
            <w:pPr>
              <w:spacing w:after="0"/>
              <w:rPr>
                <w:sz w:val="21"/>
                <w:szCs w:val="21"/>
                <w:color w:val="auto"/>
              </w:rPr>
            </w:pPr>
          </w:p>
        </w:tc>
        <w:tc>
          <w:tcPr>
            <w:tcW w:w="2940" w:type="dxa"/>
            <w:vAlign w:val="bottom"/>
            <w:gridSpan w:val="5"/>
          </w:tcPr>
          <w:p>
            <w:pPr>
              <w:ind w:left="100"/>
              <w:spacing w:after="0"/>
              <w:rPr>
                <w:sz w:val="20"/>
                <w:szCs w:val="20"/>
                <w:color w:val="auto"/>
              </w:rPr>
            </w:pPr>
            <w:r>
              <w:rPr>
                <w:rFonts w:ascii="Arial" w:cs="Arial" w:eastAsia="Arial" w:hAnsi="Arial"/>
                <w:sz w:val="18"/>
                <w:szCs w:val="18"/>
                <w:color w:val="auto"/>
              </w:rPr>
              <w:t>Long-Term Incentive Plan</w:t>
            </w:r>
          </w:p>
        </w:tc>
        <w:tc>
          <w:tcPr>
            <w:tcW w:w="1840" w:type="dxa"/>
            <w:vAlign w:val="bottom"/>
          </w:tcPr>
          <w:p>
            <w:pPr>
              <w:jc w:val="center"/>
              <w:ind w:left="173"/>
              <w:spacing w:after="0"/>
              <w:rPr>
                <w:sz w:val="20"/>
                <w:szCs w:val="20"/>
                <w:color w:val="auto"/>
              </w:rPr>
            </w:pPr>
            <w:r>
              <w:rPr>
                <w:rFonts w:ascii="Arial" w:cs="Arial" w:eastAsia="Arial" w:hAnsi="Arial"/>
                <w:sz w:val="18"/>
                <w:szCs w:val="18"/>
                <w:b w:val="1"/>
                <w:bCs w:val="1"/>
                <w:color w:val="4A7EBB"/>
                <w:w w:val="99"/>
              </w:rPr>
              <w:t>FOR</w:t>
            </w:r>
          </w:p>
        </w:tc>
        <w:tc>
          <w:tcPr>
            <w:tcW w:w="13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380" w:type="dxa"/>
            <w:vAlign w:val="bottom"/>
            <w:tcBorders>
              <w:bottom w:val="single" w:sz="8" w:color="4A7EBB"/>
            </w:tcBorders>
          </w:tcPr>
          <w:p>
            <w:pPr>
              <w:spacing w:after="0"/>
              <w:rPr>
                <w:sz w:val="16"/>
                <w:szCs w:val="16"/>
                <w:color w:val="auto"/>
              </w:rPr>
            </w:pPr>
          </w:p>
        </w:tc>
        <w:tc>
          <w:tcPr>
            <w:tcW w:w="1120" w:type="dxa"/>
            <w:vAlign w:val="bottom"/>
            <w:tcBorders>
              <w:bottom w:val="single" w:sz="8" w:color="4A7EBB"/>
            </w:tcBorders>
          </w:tcPr>
          <w:p>
            <w:pPr>
              <w:spacing w:after="0"/>
              <w:rPr>
                <w:sz w:val="16"/>
                <w:szCs w:val="16"/>
                <w:color w:val="auto"/>
              </w:rPr>
            </w:pPr>
          </w:p>
        </w:tc>
        <w:tc>
          <w:tcPr>
            <w:tcW w:w="240" w:type="dxa"/>
            <w:vAlign w:val="bottom"/>
            <w:tcBorders>
              <w:bottom w:val="single" w:sz="8" w:color="4A7EBB"/>
            </w:tcBorders>
          </w:tcPr>
          <w:p>
            <w:pPr>
              <w:spacing w:after="0"/>
              <w:rPr>
                <w:sz w:val="16"/>
                <w:szCs w:val="16"/>
                <w:color w:val="auto"/>
              </w:rPr>
            </w:pPr>
          </w:p>
        </w:tc>
        <w:tc>
          <w:tcPr>
            <w:tcW w:w="1580" w:type="dxa"/>
            <w:vAlign w:val="bottom"/>
            <w:tcBorders>
              <w:bottom w:val="single" w:sz="8" w:color="4A7EBB"/>
            </w:tcBorders>
            <w:gridSpan w:val="3"/>
          </w:tcPr>
          <w:p>
            <w:pPr>
              <w:spacing w:after="0"/>
              <w:rPr>
                <w:sz w:val="16"/>
                <w:szCs w:val="16"/>
                <w:color w:val="auto"/>
              </w:rPr>
            </w:pPr>
          </w:p>
        </w:tc>
        <w:tc>
          <w:tcPr>
            <w:tcW w:w="1840" w:type="dxa"/>
            <w:vAlign w:val="bottom"/>
            <w:tcBorders>
              <w:bottom w:val="single" w:sz="8" w:color="4A7EBB"/>
            </w:tcBorders>
          </w:tcPr>
          <w:p>
            <w:pPr>
              <w:spacing w:after="0"/>
              <w:rPr>
                <w:sz w:val="16"/>
                <w:szCs w:val="16"/>
                <w:color w:val="auto"/>
              </w:rPr>
            </w:pPr>
          </w:p>
        </w:tc>
        <w:tc>
          <w:tcPr>
            <w:tcW w:w="1380" w:type="dxa"/>
            <w:vAlign w:val="bottom"/>
            <w:tcBorders>
              <w:bottom w:val="single" w:sz="8" w:color="4A7EBB"/>
            </w:tcBorders>
          </w:tcPr>
          <w:p>
            <w:pPr>
              <w:spacing w:after="0"/>
              <w:rPr>
                <w:sz w:val="16"/>
                <w:szCs w:val="16"/>
                <w:color w:val="auto"/>
              </w:rPr>
            </w:pPr>
          </w:p>
        </w:tc>
        <w:tc>
          <w:tcPr>
            <w:tcW w:w="0" w:type="dxa"/>
            <w:vAlign w:val="bottom"/>
          </w:tcPr>
          <w:p>
            <w:pPr>
              <w:spacing w:after="0"/>
              <w:rPr>
                <w:sz w:val="1"/>
                <w:szCs w:val="1"/>
                <w:color w:val="auto"/>
              </w:rPr>
            </w:pPr>
          </w:p>
        </w:tc>
      </w:tr>
      <w:tr>
        <w:trPr>
          <w:trHeight w:val="285"/>
        </w:trPr>
        <w:tc>
          <w:tcPr>
            <w:tcW w:w="380" w:type="dxa"/>
            <w:vAlign w:val="bottom"/>
            <w:vMerge w:val="restart"/>
            <w:shd w:val="clear" w:color="auto" w:fill="F2F2F2"/>
          </w:tcPr>
          <w:p>
            <w:pPr>
              <w:jc w:val="right"/>
              <w:spacing w:after="0"/>
              <w:rPr>
                <w:sz w:val="20"/>
                <w:szCs w:val="20"/>
                <w:color w:val="auto"/>
              </w:rPr>
            </w:pPr>
            <w:r>
              <w:rPr>
                <w:rFonts w:ascii="Arial" w:cs="Arial" w:eastAsia="Arial" w:hAnsi="Arial"/>
                <w:sz w:val="29"/>
                <w:szCs w:val="29"/>
                <w:b w:val="1"/>
                <w:bCs w:val="1"/>
                <w:color w:val="4A7EBB"/>
              </w:rPr>
              <w:t>4</w:t>
            </w:r>
          </w:p>
        </w:tc>
        <w:tc>
          <w:tcPr>
            <w:tcW w:w="1120" w:type="dxa"/>
            <w:vAlign w:val="bottom"/>
            <w:shd w:val="clear" w:color="auto" w:fill="F2F2F2"/>
          </w:tcPr>
          <w:p>
            <w:pPr>
              <w:ind w:left="100"/>
              <w:spacing w:after="0"/>
              <w:rPr>
                <w:sz w:val="20"/>
                <w:szCs w:val="20"/>
                <w:color w:val="auto"/>
              </w:rPr>
            </w:pPr>
            <w:r>
              <w:rPr>
                <w:rFonts w:ascii="Arial" w:cs="Arial" w:eastAsia="Arial" w:hAnsi="Arial"/>
                <w:sz w:val="18"/>
                <w:szCs w:val="18"/>
                <w:color w:val="auto"/>
              </w:rPr>
              <w:t>Ratification</w:t>
            </w:r>
          </w:p>
        </w:tc>
        <w:tc>
          <w:tcPr>
            <w:tcW w:w="240" w:type="dxa"/>
            <w:vAlign w:val="bottom"/>
            <w:shd w:val="clear" w:color="auto" w:fill="F2F2F2"/>
          </w:tcPr>
          <w:p>
            <w:pPr>
              <w:ind w:left="20"/>
              <w:spacing w:after="0"/>
              <w:rPr>
                <w:sz w:val="20"/>
                <w:szCs w:val="20"/>
                <w:color w:val="auto"/>
              </w:rPr>
            </w:pPr>
            <w:r>
              <w:rPr>
                <w:rFonts w:ascii="Arial" w:cs="Arial" w:eastAsia="Arial" w:hAnsi="Arial"/>
                <w:sz w:val="18"/>
                <w:szCs w:val="18"/>
                <w:color w:val="auto"/>
              </w:rPr>
              <w:t>of</w:t>
            </w:r>
          </w:p>
        </w:tc>
        <w:tc>
          <w:tcPr>
            <w:tcW w:w="1580" w:type="dxa"/>
            <w:vAlign w:val="bottom"/>
            <w:gridSpan w:val="3"/>
            <w:shd w:val="clear" w:color="auto" w:fill="F2F2F2"/>
          </w:tcPr>
          <w:p>
            <w:pPr>
              <w:jc w:val="right"/>
              <w:ind w:right="130"/>
              <w:spacing w:after="0"/>
              <w:rPr>
                <w:sz w:val="20"/>
                <w:szCs w:val="20"/>
                <w:color w:val="auto"/>
              </w:rPr>
            </w:pPr>
            <w:r>
              <w:rPr>
                <w:rFonts w:ascii="Arial" w:cs="Arial" w:eastAsia="Arial" w:hAnsi="Arial"/>
                <w:sz w:val="18"/>
                <w:szCs w:val="18"/>
                <w:color w:val="auto"/>
              </w:rPr>
              <w:t>appointment  of</w:t>
            </w:r>
          </w:p>
        </w:tc>
        <w:tc>
          <w:tcPr>
            <w:tcW w:w="1840" w:type="dxa"/>
            <w:vAlign w:val="bottom"/>
            <w:shd w:val="clear" w:color="auto" w:fill="F2F2F2"/>
          </w:tcPr>
          <w:p>
            <w:pPr>
              <w:spacing w:after="0"/>
              <w:rPr>
                <w:sz w:val="24"/>
                <w:szCs w:val="24"/>
                <w:color w:val="auto"/>
              </w:rPr>
            </w:pPr>
          </w:p>
        </w:tc>
        <w:tc>
          <w:tcPr>
            <w:tcW w:w="1380" w:type="dxa"/>
            <w:vAlign w:val="bottom"/>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80" w:type="dxa"/>
            <w:vAlign w:val="bottom"/>
            <w:vMerge w:val="continue"/>
            <w:shd w:val="clear" w:color="auto" w:fill="F2F2F2"/>
          </w:tcPr>
          <w:p>
            <w:pPr>
              <w:spacing w:after="0"/>
              <w:rPr>
                <w:sz w:val="19"/>
                <w:szCs w:val="19"/>
                <w:color w:val="auto"/>
              </w:rPr>
            </w:pPr>
          </w:p>
        </w:tc>
        <w:tc>
          <w:tcPr>
            <w:tcW w:w="1120" w:type="dxa"/>
            <w:vAlign w:val="bottom"/>
            <w:shd w:val="clear" w:color="auto" w:fill="F2F2F2"/>
          </w:tcPr>
          <w:p>
            <w:pPr>
              <w:ind w:left="100"/>
              <w:spacing w:after="0"/>
              <w:rPr>
                <w:sz w:val="20"/>
                <w:szCs w:val="20"/>
                <w:color w:val="auto"/>
              </w:rPr>
            </w:pPr>
            <w:r>
              <w:rPr>
                <w:rFonts w:ascii="Arial" w:cs="Arial" w:eastAsia="Arial" w:hAnsi="Arial"/>
                <w:sz w:val="18"/>
                <w:szCs w:val="18"/>
                <w:color w:val="auto"/>
              </w:rPr>
              <w:t>independent</w:t>
            </w:r>
          </w:p>
        </w:tc>
        <w:tc>
          <w:tcPr>
            <w:tcW w:w="1000" w:type="dxa"/>
            <w:vAlign w:val="bottom"/>
            <w:gridSpan w:val="3"/>
            <w:shd w:val="clear" w:color="auto" w:fill="F2F2F2"/>
          </w:tcPr>
          <w:p>
            <w:pPr>
              <w:ind w:left="140"/>
              <w:spacing w:after="0"/>
              <w:rPr>
                <w:sz w:val="20"/>
                <w:szCs w:val="20"/>
                <w:color w:val="auto"/>
              </w:rPr>
            </w:pPr>
            <w:r>
              <w:rPr>
                <w:rFonts w:ascii="Arial" w:cs="Arial" w:eastAsia="Arial" w:hAnsi="Arial"/>
                <w:sz w:val="18"/>
                <w:szCs w:val="18"/>
                <w:color w:val="auto"/>
              </w:rPr>
              <w:t>registered</w:t>
            </w:r>
          </w:p>
        </w:tc>
        <w:tc>
          <w:tcPr>
            <w:tcW w:w="820" w:type="dxa"/>
            <w:vAlign w:val="bottom"/>
            <w:shd w:val="clear" w:color="auto" w:fill="F2F2F2"/>
          </w:tcPr>
          <w:p>
            <w:pPr>
              <w:jc w:val="right"/>
              <w:ind w:right="150"/>
              <w:spacing w:after="0"/>
              <w:rPr>
                <w:sz w:val="20"/>
                <w:szCs w:val="20"/>
                <w:color w:val="auto"/>
              </w:rPr>
            </w:pPr>
            <w:r>
              <w:rPr>
                <w:rFonts w:ascii="Arial" w:cs="Arial" w:eastAsia="Arial" w:hAnsi="Arial"/>
                <w:sz w:val="18"/>
                <w:szCs w:val="18"/>
                <w:color w:val="auto"/>
              </w:rPr>
              <w:t>public</w:t>
            </w:r>
          </w:p>
        </w:tc>
        <w:tc>
          <w:tcPr>
            <w:tcW w:w="1840" w:type="dxa"/>
            <w:vAlign w:val="bottom"/>
            <w:shd w:val="clear" w:color="auto" w:fill="F2F2F2"/>
          </w:tcPr>
          <w:p>
            <w:pPr>
              <w:jc w:val="center"/>
              <w:ind w:left="173"/>
              <w:spacing w:after="0"/>
              <w:rPr>
                <w:sz w:val="20"/>
                <w:szCs w:val="20"/>
                <w:color w:val="auto"/>
              </w:rPr>
            </w:pPr>
            <w:r>
              <w:rPr>
                <w:rFonts w:ascii="Arial" w:cs="Arial" w:eastAsia="Arial" w:hAnsi="Arial"/>
                <w:sz w:val="18"/>
                <w:szCs w:val="18"/>
                <w:b w:val="1"/>
                <w:bCs w:val="1"/>
                <w:color w:val="4A7EBB"/>
                <w:w w:val="99"/>
              </w:rPr>
              <w:t>FOR</w:t>
            </w:r>
          </w:p>
        </w:tc>
        <w:tc>
          <w:tcPr>
            <w:tcW w:w="1380" w:type="dxa"/>
            <w:vAlign w:val="bottom"/>
            <w:shd w:val="clear" w:color="auto" w:fill="F2F2F2"/>
          </w:tcPr>
          <w:p>
            <w:pPr>
              <w:jc w:val="center"/>
              <w:spacing w:after="0"/>
              <w:rPr>
                <w:sz w:val="20"/>
                <w:szCs w:val="20"/>
                <w:color w:val="auto"/>
              </w:rPr>
            </w:pPr>
            <w:r>
              <w:rPr>
                <w:rFonts w:ascii="Arial" w:cs="Arial" w:eastAsia="Arial" w:hAnsi="Arial"/>
                <w:sz w:val="18"/>
                <w:szCs w:val="18"/>
                <w:color w:val="auto"/>
              </w:rPr>
              <w:t>Page 73</w:t>
            </w:r>
          </w:p>
        </w:tc>
        <w:tc>
          <w:tcPr>
            <w:tcW w:w="0" w:type="dxa"/>
            <w:vAlign w:val="bottom"/>
          </w:tcPr>
          <w:p>
            <w:pPr>
              <w:spacing w:after="0"/>
              <w:rPr>
                <w:sz w:val="1"/>
                <w:szCs w:val="1"/>
                <w:color w:val="auto"/>
              </w:rPr>
            </w:pPr>
          </w:p>
        </w:tc>
      </w:tr>
      <w:tr>
        <w:trPr>
          <w:trHeight w:val="239"/>
        </w:trPr>
        <w:tc>
          <w:tcPr>
            <w:tcW w:w="380" w:type="dxa"/>
            <w:vAlign w:val="bottom"/>
            <w:shd w:val="clear" w:color="auto" w:fill="F2F2F2"/>
          </w:tcPr>
          <w:p>
            <w:pPr>
              <w:spacing w:after="0"/>
              <w:rPr>
                <w:sz w:val="20"/>
                <w:szCs w:val="20"/>
                <w:color w:val="auto"/>
              </w:rPr>
            </w:pPr>
          </w:p>
        </w:tc>
        <w:tc>
          <w:tcPr>
            <w:tcW w:w="1360" w:type="dxa"/>
            <w:vAlign w:val="bottom"/>
            <w:gridSpan w:val="2"/>
            <w:shd w:val="clear" w:color="auto" w:fill="F2F2F2"/>
          </w:tcPr>
          <w:p>
            <w:pPr>
              <w:ind w:left="100"/>
              <w:spacing w:after="0"/>
              <w:rPr>
                <w:sz w:val="20"/>
                <w:szCs w:val="20"/>
                <w:color w:val="auto"/>
              </w:rPr>
            </w:pPr>
            <w:r>
              <w:rPr>
                <w:rFonts w:ascii="Arial" w:cs="Arial" w:eastAsia="Arial" w:hAnsi="Arial"/>
                <w:sz w:val="18"/>
                <w:szCs w:val="18"/>
                <w:color w:val="auto"/>
              </w:rPr>
              <w:t>accounting firm</w:t>
            </w:r>
          </w:p>
        </w:tc>
        <w:tc>
          <w:tcPr>
            <w:tcW w:w="280" w:type="dxa"/>
            <w:vAlign w:val="bottom"/>
            <w:shd w:val="clear" w:color="auto" w:fill="F2F2F2"/>
          </w:tcPr>
          <w:p>
            <w:pPr>
              <w:spacing w:after="0"/>
              <w:rPr>
                <w:sz w:val="20"/>
                <w:szCs w:val="20"/>
                <w:color w:val="auto"/>
              </w:rPr>
            </w:pPr>
          </w:p>
        </w:tc>
        <w:tc>
          <w:tcPr>
            <w:tcW w:w="480" w:type="dxa"/>
            <w:vAlign w:val="bottom"/>
            <w:shd w:val="clear" w:color="auto" w:fill="F2F2F2"/>
          </w:tcPr>
          <w:p>
            <w:pPr>
              <w:spacing w:after="0"/>
              <w:rPr>
                <w:sz w:val="20"/>
                <w:szCs w:val="20"/>
                <w:color w:val="auto"/>
              </w:rPr>
            </w:pPr>
          </w:p>
        </w:tc>
        <w:tc>
          <w:tcPr>
            <w:tcW w:w="820" w:type="dxa"/>
            <w:vAlign w:val="bottom"/>
            <w:shd w:val="clear" w:color="auto" w:fill="F2F2F2"/>
          </w:tcPr>
          <w:p>
            <w:pPr>
              <w:spacing w:after="0"/>
              <w:rPr>
                <w:sz w:val="20"/>
                <w:szCs w:val="20"/>
                <w:color w:val="auto"/>
              </w:rPr>
            </w:pPr>
          </w:p>
        </w:tc>
        <w:tc>
          <w:tcPr>
            <w:tcW w:w="1840" w:type="dxa"/>
            <w:vAlign w:val="bottom"/>
            <w:shd w:val="clear" w:color="auto" w:fill="F2F2F2"/>
          </w:tcPr>
          <w:p>
            <w:pPr>
              <w:spacing w:after="0"/>
              <w:rPr>
                <w:sz w:val="20"/>
                <w:szCs w:val="20"/>
                <w:color w:val="auto"/>
              </w:rPr>
            </w:pPr>
          </w:p>
        </w:tc>
        <w:tc>
          <w:tcPr>
            <w:tcW w:w="1380" w:type="dxa"/>
            <w:vAlign w:val="bottom"/>
            <w:shd w:val="clear" w:color="auto" w:fill="F2F2F2"/>
          </w:tcPr>
          <w:p>
            <w:pPr>
              <w:spacing w:after="0"/>
              <w:rPr>
                <w:sz w:val="20"/>
                <w:szCs w:val="20"/>
                <w:color w:val="auto"/>
              </w:rPr>
            </w:pPr>
          </w:p>
        </w:tc>
        <w:tc>
          <w:tcPr>
            <w:tcW w:w="0" w:type="dxa"/>
            <w:vAlign w:val="bottom"/>
          </w:tcPr>
          <w:p>
            <w:pPr>
              <w:spacing w:after="0"/>
              <w:rPr>
                <w:sz w:val="1"/>
                <w:szCs w:val="1"/>
                <w:color w:val="auto"/>
              </w:rPr>
            </w:pPr>
          </w:p>
        </w:tc>
      </w:tr>
      <w:tr>
        <w:trPr>
          <w:trHeight w:val="86"/>
        </w:trPr>
        <w:tc>
          <w:tcPr>
            <w:tcW w:w="380" w:type="dxa"/>
            <w:vAlign w:val="bottom"/>
            <w:tcBorders>
              <w:bottom w:val="single" w:sz="8" w:color="4A7EBB"/>
            </w:tcBorders>
            <w:shd w:val="clear" w:color="auto" w:fill="F2F2F2"/>
          </w:tcPr>
          <w:p>
            <w:pPr>
              <w:spacing w:after="0"/>
              <w:rPr>
                <w:sz w:val="7"/>
                <w:szCs w:val="7"/>
                <w:color w:val="auto"/>
              </w:rPr>
            </w:pPr>
          </w:p>
        </w:tc>
        <w:tc>
          <w:tcPr>
            <w:tcW w:w="1120" w:type="dxa"/>
            <w:vAlign w:val="bottom"/>
            <w:tcBorders>
              <w:bottom w:val="single" w:sz="8" w:color="4A7EBB"/>
            </w:tcBorders>
            <w:shd w:val="clear" w:color="auto" w:fill="F2F2F2"/>
          </w:tcPr>
          <w:p>
            <w:pPr>
              <w:spacing w:after="0"/>
              <w:rPr>
                <w:sz w:val="7"/>
                <w:szCs w:val="7"/>
                <w:color w:val="auto"/>
              </w:rPr>
            </w:pPr>
          </w:p>
        </w:tc>
        <w:tc>
          <w:tcPr>
            <w:tcW w:w="240" w:type="dxa"/>
            <w:vAlign w:val="bottom"/>
            <w:tcBorders>
              <w:bottom w:val="single" w:sz="8" w:color="4A7EBB"/>
            </w:tcBorders>
            <w:shd w:val="clear" w:color="auto" w:fill="F2F2F2"/>
          </w:tcPr>
          <w:p>
            <w:pPr>
              <w:spacing w:after="0"/>
              <w:rPr>
                <w:sz w:val="7"/>
                <w:szCs w:val="7"/>
                <w:color w:val="auto"/>
              </w:rPr>
            </w:pPr>
          </w:p>
        </w:tc>
        <w:tc>
          <w:tcPr>
            <w:tcW w:w="280" w:type="dxa"/>
            <w:vAlign w:val="bottom"/>
            <w:tcBorders>
              <w:bottom w:val="single" w:sz="8" w:color="4A7EBB"/>
            </w:tcBorders>
            <w:shd w:val="clear" w:color="auto" w:fill="F2F2F2"/>
          </w:tcPr>
          <w:p>
            <w:pPr>
              <w:spacing w:after="0"/>
              <w:rPr>
                <w:sz w:val="7"/>
                <w:szCs w:val="7"/>
                <w:color w:val="auto"/>
              </w:rPr>
            </w:pPr>
          </w:p>
        </w:tc>
        <w:tc>
          <w:tcPr>
            <w:tcW w:w="480" w:type="dxa"/>
            <w:vAlign w:val="bottom"/>
            <w:tcBorders>
              <w:bottom w:val="single" w:sz="8" w:color="4A7EBB"/>
            </w:tcBorders>
            <w:shd w:val="clear" w:color="auto" w:fill="F2F2F2"/>
          </w:tcPr>
          <w:p>
            <w:pPr>
              <w:spacing w:after="0"/>
              <w:rPr>
                <w:sz w:val="7"/>
                <w:szCs w:val="7"/>
                <w:color w:val="auto"/>
              </w:rPr>
            </w:pPr>
          </w:p>
        </w:tc>
        <w:tc>
          <w:tcPr>
            <w:tcW w:w="820" w:type="dxa"/>
            <w:vAlign w:val="bottom"/>
            <w:tcBorders>
              <w:bottom w:val="single" w:sz="8" w:color="4A7EBB"/>
            </w:tcBorders>
            <w:shd w:val="clear" w:color="auto" w:fill="F2F2F2"/>
          </w:tcPr>
          <w:p>
            <w:pPr>
              <w:spacing w:after="0"/>
              <w:rPr>
                <w:sz w:val="7"/>
                <w:szCs w:val="7"/>
                <w:color w:val="auto"/>
              </w:rPr>
            </w:pPr>
          </w:p>
        </w:tc>
        <w:tc>
          <w:tcPr>
            <w:tcW w:w="1840" w:type="dxa"/>
            <w:vAlign w:val="bottom"/>
            <w:tcBorders>
              <w:bottom w:val="single" w:sz="8" w:color="4A7EBB"/>
            </w:tcBorders>
            <w:shd w:val="clear" w:color="auto" w:fill="F2F2F2"/>
          </w:tcPr>
          <w:p>
            <w:pPr>
              <w:spacing w:after="0"/>
              <w:rPr>
                <w:sz w:val="7"/>
                <w:szCs w:val="7"/>
                <w:color w:val="auto"/>
              </w:rPr>
            </w:pPr>
          </w:p>
        </w:tc>
        <w:tc>
          <w:tcPr>
            <w:tcW w:w="1380" w:type="dxa"/>
            <w:vAlign w:val="bottom"/>
            <w:tcBorders>
              <w:bottom w:val="single" w:sz="8" w:color="4A7EBB"/>
            </w:tcBorders>
            <w:shd w:val="clear" w:color="auto" w:fill="F2F2F2"/>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2308860</wp:posOffset>
            </wp:positionH>
            <wp:positionV relativeFrom="paragraph">
              <wp:posOffset>-2142490</wp:posOffset>
            </wp:positionV>
            <wp:extent cx="196850" cy="2400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96850" cy="240030"/>
                    </a:xfrm>
                    <a:prstGeom prst="rect">
                      <a:avLst/>
                    </a:prstGeom>
                    <a:noFill/>
                  </pic:spPr>
                </pic:pic>
              </a:graphicData>
            </a:graphic>
          </wp:anchor>
        </w:drawing>
        <w:drawing>
          <wp:anchor simplePos="0" relativeHeight="251657728" behindDoc="1" locked="0" layoutInCell="0" allowOverlap="1">
            <wp:simplePos x="0" y="0"/>
            <wp:positionH relativeFrom="column">
              <wp:posOffset>2454275</wp:posOffset>
            </wp:positionH>
            <wp:positionV relativeFrom="paragraph">
              <wp:posOffset>-1490980</wp:posOffset>
            </wp:positionV>
            <wp:extent cx="196850" cy="2400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96850" cy="240030"/>
                    </a:xfrm>
                    <a:prstGeom prst="rect">
                      <a:avLst/>
                    </a:prstGeom>
                    <a:noFill/>
                  </pic:spPr>
                </pic:pic>
              </a:graphicData>
            </a:graphic>
          </wp:anchor>
        </w:drawing>
        <w:drawing>
          <wp:anchor simplePos="0" relativeHeight="251657728" behindDoc="1" locked="0" layoutInCell="0" allowOverlap="1">
            <wp:simplePos x="0" y="0"/>
            <wp:positionH relativeFrom="column">
              <wp:posOffset>2454275</wp:posOffset>
            </wp:positionH>
            <wp:positionV relativeFrom="paragraph">
              <wp:posOffset>-950595</wp:posOffset>
            </wp:positionV>
            <wp:extent cx="196850" cy="2400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96850" cy="240030"/>
                    </a:xfrm>
                    <a:prstGeom prst="rect">
                      <a:avLst/>
                    </a:prstGeom>
                    <a:noFill/>
                  </pic:spPr>
                </pic:pic>
              </a:graphicData>
            </a:graphic>
          </wp:anchor>
        </w:drawing>
        <w:drawing>
          <wp:anchor simplePos="0" relativeHeight="251657728" behindDoc="1" locked="0" layoutInCell="0" allowOverlap="1">
            <wp:simplePos x="0" y="0"/>
            <wp:positionH relativeFrom="column">
              <wp:posOffset>2454275</wp:posOffset>
            </wp:positionH>
            <wp:positionV relativeFrom="paragraph">
              <wp:posOffset>-410845</wp:posOffset>
            </wp:positionV>
            <wp:extent cx="196850" cy="2400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96850" cy="240030"/>
                    </a:xfrm>
                    <a:prstGeom prst="rect">
                      <a:avLst/>
                    </a:prstGeom>
                    <a:noFill/>
                  </pic:spPr>
                </pic:pic>
              </a:graphicData>
            </a:graphic>
          </wp:anchor>
        </w:drawing>
      </w:r>
    </w:p>
    <w:p>
      <w:pPr>
        <w:spacing w:after="0" w:line="54" w:lineRule="exact"/>
        <w:rPr>
          <w:sz w:val="20"/>
          <w:szCs w:val="20"/>
          <w:color w:val="auto"/>
        </w:rPr>
      </w:pPr>
    </w:p>
    <w:p>
      <w:pPr>
        <w:ind w:left="100"/>
        <w:spacing w:after="0"/>
        <w:rPr>
          <w:sz w:val="20"/>
          <w:szCs w:val="20"/>
          <w:color w:val="auto"/>
        </w:rPr>
      </w:pPr>
      <w:r>
        <w:rPr>
          <w:rFonts w:ascii="Arial" w:cs="Arial" w:eastAsia="Arial" w:hAnsi="Arial"/>
          <w:sz w:val="29"/>
          <w:szCs w:val="29"/>
          <w:b w:val="1"/>
          <w:bCs w:val="1"/>
          <w:color w:val="4A7EBB"/>
        </w:rPr>
        <w:t>Business Information</w:t>
      </w:r>
      <w:r>
        <w:rPr>
          <w:rFonts w:ascii="Arial" w:cs="Arial" w:eastAsia="Arial" w:hAnsi="Arial"/>
          <w:sz w:val="21"/>
          <w:szCs w:val="21"/>
          <w:color w:val="000000"/>
        </w:rPr>
        <w:t>—</w:t>
      </w:r>
      <w:r>
        <w:rPr>
          <w:rFonts w:ascii="Arial" w:cs="Arial" w:eastAsia="Arial" w:hAnsi="Arial"/>
          <w:sz w:val="29"/>
          <w:szCs w:val="29"/>
          <w:b w:val="1"/>
          <w:bCs w:val="1"/>
          <w:color w:val="4A7EBB"/>
        </w:rPr>
        <w:t>About G-III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1937385</wp:posOffset>
            </wp:positionH>
            <wp:positionV relativeFrom="paragraph">
              <wp:posOffset>-99695</wp:posOffset>
            </wp:positionV>
            <wp:extent cx="174625"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74625" cy="21590"/>
                    </a:xfrm>
                    <a:prstGeom prst="rect">
                      <a:avLst/>
                    </a:prstGeom>
                    <a:noFill/>
                  </pic:spPr>
                </pic:pic>
              </a:graphicData>
            </a:graphic>
          </wp:anchor>
        </w:drawing>
      </w:r>
    </w:p>
    <w:p>
      <w:pPr>
        <w:spacing w:after="0" w:line="94" w:lineRule="exact"/>
        <w:rPr>
          <w:sz w:val="20"/>
          <w:szCs w:val="20"/>
          <w:color w:val="auto"/>
        </w:rPr>
      </w:pPr>
    </w:p>
    <w:p>
      <w:pPr>
        <w:jc w:val="both"/>
        <w:ind w:left="100" w:right="100"/>
        <w:spacing w:after="0" w:line="247" w:lineRule="auto"/>
        <w:rPr>
          <w:sz w:val="20"/>
          <w:szCs w:val="20"/>
          <w:color w:val="auto"/>
        </w:rPr>
      </w:pPr>
      <w:r>
        <w:rPr>
          <w:rFonts w:ascii="Arial" w:cs="Arial" w:eastAsia="Arial" w:hAnsi="Arial"/>
          <w:sz w:val="18"/>
          <w:szCs w:val="18"/>
          <w:color w:val="auto"/>
        </w:rPr>
        <w:t>G-III designs, sources, distributes and markets an extensive range of apparel, including outerwear, dresses, sportswear, suit separates, athleisure, jeans, swimwear, as well as handbags, footwear, small leather goods, cold weather accessories and luggage.</w:t>
      </w:r>
    </w:p>
    <w:p>
      <w:pPr>
        <w:spacing w:after="0" w:line="160" w:lineRule="exact"/>
        <w:rPr>
          <w:sz w:val="20"/>
          <w:szCs w:val="20"/>
          <w:color w:val="auto"/>
        </w:rPr>
      </w:pPr>
    </w:p>
    <w:p>
      <w:pPr>
        <w:jc w:val="both"/>
        <w:ind w:left="100" w:right="100"/>
        <w:spacing w:after="0" w:line="239" w:lineRule="auto"/>
        <w:rPr>
          <w:sz w:val="20"/>
          <w:szCs w:val="20"/>
          <w:color w:val="auto"/>
        </w:rPr>
      </w:pPr>
      <w:r>
        <w:rPr>
          <w:rFonts w:ascii="Arial" w:cs="Arial" w:eastAsia="Arial" w:hAnsi="Arial"/>
          <w:sz w:val="18"/>
          <w:szCs w:val="18"/>
          <w:color w:val="auto"/>
        </w:rPr>
        <w:t xml:space="preserve">Under the leadership of Morris Goldfarb and a seasoned executive team with a long track record of success, we have evolved from a small leather apparel manufacturer to the diversified apparel company we are today. G-III has a substantial portfolio of more than 30 licensed and proprietary brands, anchored by our key owned brands </w:t>
      </w:r>
      <w:r>
        <w:rPr>
          <w:rFonts w:ascii="Arial" w:cs="Arial" w:eastAsia="Arial" w:hAnsi="Arial"/>
          <w:sz w:val="18"/>
          <w:szCs w:val="18"/>
          <w:b w:val="1"/>
          <w:bCs w:val="1"/>
          <w:color w:val="auto"/>
        </w:rPr>
        <w:t>DKNY</w:t>
      </w:r>
      <w:r>
        <w:rPr>
          <w:rFonts w:ascii="Arial" w:cs="Arial" w:eastAsia="Arial" w:hAnsi="Arial"/>
          <w:sz w:val="18"/>
          <w:szCs w:val="18"/>
          <w:color w:val="auto"/>
        </w:rPr>
        <w:t xml:space="preserve">, </w:t>
      </w:r>
      <w:r>
        <w:rPr>
          <w:rFonts w:ascii="Arial" w:cs="Arial" w:eastAsia="Arial" w:hAnsi="Arial"/>
          <w:sz w:val="18"/>
          <w:szCs w:val="18"/>
          <w:b w:val="1"/>
          <w:bCs w:val="1"/>
          <w:color w:val="auto"/>
        </w:rPr>
        <w:t>Donna Karan</w:t>
      </w:r>
      <w:r>
        <w:rPr>
          <w:rFonts w:ascii="Arial" w:cs="Arial" w:eastAsia="Arial" w:hAnsi="Arial"/>
          <w:sz w:val="18"/>
          <w:szCs w:val="18"/>
          <w:color w:val="auto"/>
        </w:rPr>
        <w:t xml:space="preserve">, </w:t>
      </w:r>
      <w:r>
        <w:rPr>
          <w:rFonts w:ascii="Arial" w:cs="Arial" w:eastAsia="Arial" w:hAnsi="Arial"/>
          <w:sz w:val="18"/>
          <w:szCs w:val="18"/>
          <w:b w:val="1"/>
          <w:bCs w:val="1"/>
          <w:color w:val="auto"/>
        </w:rPr>
        <w:t>Karl Lagerfeld</w:t>
      </w:r>
      <w:r>
        <w:rPr>
          <w:rFonts w:ascii="Arial" w:cs="Arial" w:eastAsia="Arial" w:hAnsi="Arial"/>
          <w:sz w:val="18"/>
          <w:szCs w:val="18"/>
          <w:color w:val="auto"/>
        </w:rPr>
        <w:t xml:space="preserve"> and </w:t>
      </w:r>
      <w:r>
        <w:rPr>
          <w:rFonts w:ascii="Arial" w:cs="Arial" w:eastAsia="Arial" w:hAnsi="Arial"/>
          <w:sz w:val="18"/>
          <w:szCs w:val="18"/>
          <w:b w:val="1"/>
          <w:bCs w:val="1"/>
          <w:color w:val="auto"/>
        </w:rPr>
        <w:t>Vilebrequin</w:t>
      </w:r>
      <w:r>
        <w:rPr>
          <w:rFonts w:ascii="Arial" w:cs="Arial" w:eastAsia="Arial" w:hAnsi="Arial"/>
          <w:sz w:val="18"/>
          <w:szCs w:val="18"/>
          <w:color w:val="auto"/>
        </w:rPr>
        <w:t>. We have an extensive portfolio of well-known licensed brands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including </w:t>
      </w:r>
      <w:r>
        <w:rPr>
          <w:rFonts w:ascii="Arial" w:cs="Arial" w:eastAsia="Arial" w:hAnsi="Arial"/>
          <w:sz w:val="18"/>
          <w:szCs w:val="18"/>
          <w:b w:val="1"/>
          <w:bCs w:val="1"/>
          <w:color w:val="auto"/>
        </w:rPr>
        <w:t>Levi’s</w:t>
      </w:r>
      <w:r>
        <w:rPr>
          <w:rFonts w:ascii="Arial" w:cs="Arial" w:eastAsia="Arial" w:hAnsi="Arial"/>
          <w:sz w:val="18"/>
          <w:szCs w:val="18"/>
          <w:color w:val="auto"/>
        </w:rPr>
        <w:t xml:space="preserve">, </w:t>
      </w:r>
      <w:r>
        <w:rPr>
          <w:rFonts w:ascii="Arial" w:cs="Arial" w:eastAsia="Arial" w:hAnsi="Arial"/>
          <w:sz w:val="18"/>
          <w:szCs w:val="18"/>
          <w:b w:val="1"/>
          <w:bCs w:val="1"/>
          <w:color w:val="auto"/>
        </w:rPr>
        <w:t>Halston</w:t>
      </w:r>
      <w:r>
        <w:rPr>
          <w:rFonts w:ascii="Arial" w:cs="Arial" w:eastAsia="Arial" w:hAnsi="Arial"/>
          <w:sz w:val="18"/>
          <w:szCs w:val="18"/>
          <w:color w:val="auto"/>
        </w:rPr>
        <w:t xml:space="preserve">, </w:t>
      </w:r>
      <w:r>
        <w:rPr>
          <w:rFonts w:ascii="Arial" w:cs="Arial" w:eastAsia="Arial" w:hAnsi="Arial"/>
          <w:sz w:val="18"/>
          <w:szCs w:val="18"/>
          <w:b w:val="1"/>
          <w:bCs w:val="1"/>
          <w:color w:val="auto"/>
        </w:rPr>
        <w:t>Champion</w:t>
      </w:r>
      <w:r>
        <w:rPr>
          <w:rFonts w:ascii="Arial" w:cs="Arial" w:eastAsia="Arial" w:hAnsi="Arial"/>
          <w:sz w:val="18"/>
          <w:szCs w:val="18"/>
          <w:color w:val="auto"/>
        </w:rPr>
        <w:t xml:space="preserve">, </w:t>
      </w:r>
      <w:r>
        <w:rPr>
          <w:rFonts w:ascii="Arial" w:cs="Arial" w:eastAsia="Arial" w:hAnsi="Arial"/>
          <w:sz w:val="18"/>
          <w:szCs w:val="18"/>
          <w:b w:val="1"/>
          <w:bCs w:val="1"/>
          <w:color w:val="auto"/>
        </w:rPr>
        <w:t>Converse, BCBG</w:t>
      </w:r>
      <w:r>
        <w:rPr>
          <w:rFonts w:ascii="Arial" w:cs="Arial" w:eastAsia="Arial" w:hAnsi="Arial"/>
          <w:sz w:val="18"/>
          <w:szCs w:val="18"/>
          <w:color w:val="auto"/>
        </w:rPr>
        <w:t xml:space="preserve">, </w:t>
      </w:r>
      <w:r>
        <w:rPr>
          <w:rFonts w:ascii="Arial" w:cs="Arial" w:eastAsia="Arial" w:hAnsi="Arial"/>
          <w:sz w:val="18"/>
          <w:szCs w:val="18"/>
          <w:b w:val="1"/>
          <w:bCs w:val="1"/>
          <w:color w:val="auto"/>
        </w:rPr>
        <w:t>French Connection</w:t>
      </w:r>
      <w:r>
        <w:rPr>
          <w:rFonts w:ascii="Arial" w:cs="Arial" w:eastAsia="Arial" w:hAnsi="Arial"/>
          <w:sz w:val="18"/>
          <w:szCs w:val="18"/>
          <w:color w:val="auto"/>
        </w:rPr>
        <w:t xml:space="preserve"> and </w:t>
      </w:r>
      <w:r>
        <w:rPr>
          <w:rFonts w:ascii="Arial" w:cs="Arial" w:eastAsia="Arial" w:hAnsi="Arial"/>
          <w:sz w:val="18"/>
          <w:szCs w:val="18"/>
          <w:b w:val="1"/>
          <w:bCs w:val="1"/>
          <w:color w:val="auto"/>
        </w:rPr>
        <w:t>Nautica</w:t>
      </w:r>
      <w:r>
        <w:rPr>
          <w:rFonts w:ascii="Arial" w:cs="Arial" w:eastAsia="Arial" w:hAnsi="Arial"/>
          <w:sz w:val="18"/>
          <w:szCs w:val="18"/>
          <w:color w:val="auto"/>
        </w:rPr>
        <w:t xml:space="preserve"> as well as </w:t>
      </w:r>
      <w:r>
        <w:rPr>
          <w:rFonts w:ascii="Arial" w:cs="Arial" w:eastAsia="Arial" w:hAnsi="Arial"/>
          <w:sz w:val="18"/>
          <w:szCs w:val="18"/>
          <w:b w:val="1"/>
          <w:bCs w:val="1"/>
          <w:color w:val="auto"/>
        </w:rPr>
        <w:t>Calvin Klein</w:t>
      </w:r>
      <w:r>
        <w:rPr>
          <w:rFonts w:ascii="Arial" w:cs="Arial" w:eastAsia="Arial" w:hAnsi="Arial"/>
          <w:sz w:val="18"/>
          <w:szCs w:val="18"/>
          <w:color w:val="auto"/>
        </w:rPr>
        <w:t xml:space="preserve"> and </w:t>
      </w:r>
      <w:r>
        <w:rPr>
          <w:rFonts w:ascii="Arial" w:cs="Arial" w:eastAsia="Arial" w:hAnsi="Arial"/>
          <w:sz w:val="18"/>
          <w:szCs w:val="18"/>
          <w:b w:val="1"/>
          <w:bCs w:val="1"/>
          <w:color w:val="auto"/>
        </w:rPr>
        <w:t>Tommy Hilfiger</w:t>
      </w:r>
      <w:r>
        <w:rPr>
          <w:rFonts w:ascii="Arial" w:cs="Arial" w:eastAsia="Arial" w:hAnsi="Arial"/>
          <w:sz w:val="18"/>
          <w:szCs w:val="18"/>
          <w:color w:val="auto"/>
        </w:rPr>
        <w:t xml:space="preserve">. Through our licensed team sports business, we have partnerships with the </w:t>
      </w:r>
      <w:r>
        <w:rPr>
          <w:rFonts w:ascii="Arial" w:cs="Arial" w:eastAsia="Arial" w:hAnsi="Arial"/>
          <w:sz w:val="18"/>
          <w:szCs w:val="18"/>
          <w:b w:val="1"/>
          <w:bCs w:val="1"/>
          <w:color w:val="auto"/>
        </w:rPr>
        <w:t>National</w:t>
      </w:r>
      <w:r>
        <w:rPr>
          <w:rFonts w:ascii="Arial" w:cs="Arial" w:eastAsia="Arial" w:hAnsi="Arial"/>
          <w:sz w:val="18"/>
          <w:szCs w:val="18"/>
          <w:color w:val="auto"/>
        </w:rPr>
        <w:t xml:space="preserve"> </w:t>
      </w:r>
      <w:r>
        <w:rPr>
          <w:rFonts w:ascii="Arial" w:cs="Arial" w:eastAsia="Arial" w:hAnsi="Arial"/>
          <w:sz w:val="18"/>
          <w:szCs w:val="18"/>
          <w:b w:val="1"/>
          <w:bCs w:val="1"/>
          <w:color w:val="auto"/>
        </w:rPr>
        <w:t>Football League</w:t>
      </w:r>
      <w:r>
        <w:rPr>
          <w:rFonts w:ascii="Arial" w:cs="Arial" w:eastAsia="Arial" w:hAnsi="Arial"/>
          <w:sz w:val="18"/>
          <w:szCs w:val="18"/>
          <w:color w:val="auto"/>
        </w:rPr>
        <w:t>,</w:t>
      </w:r>
      <w:r>
        <w:rPr>
          <w:rFonts w:ascii="Arial" w:cs="Arial" w:eastAsia="Arial" w:hAnsi="Arial"/>
          <w:sz w:val="18"/>
          <w:szCs w:val="18"/>
          <w:b w:val="1"/>
          <w:bCs w:val="1"/>
          <w:color w:val="auto"/>
        </w:rPr>
        <w:t xml:space="preserve"> National Basketball Association</w:t>
      </w:r>
      <w:r>
        <w:rPr>
          <w:rFonts w:ascii="Arial" w:cs="Arial" w:eastAsia="Arial" w:hAnsi="Arial"/>
          <w:sz w:val="18"/>
          <w:szCs w:val="18"/>
          <w:color w:val="auto"/>
        </w:rPr>
        <w:t>,</w:t>
      </w:r>
      <w:r>
        <w:rPr>
          <w:rFonts w:ascii="Arial" w:cs="Arial" w:eastAsia="Arial" w:hAnsi="Arial"/>
          <w:sz w:val="18"/>
          <w:szCs w:val="18"/>
          <w:b w:val="1"/>
          <w:bCs w:val="1"/>
          <w:color w:val="auto"/>
        </w:rPr>
        <w:t xml:space="preserve"> Major League Baseball</w:t>
      </w:r>
      <w:r>
        <w:rPr>
          <w:rFonts w:ascii="Arial" w:cs="Arial" w:eastAsia="Arial" w:hAnsi="Arial"/>
          <w:sz w:val="18"/>
          <w:szCs w:val="18"/>
          <w:color w:val="auto"/>
        </w:rPr>
        <w:t>,</w:t>
      </w:r>
      <w:r>
        <w:rPr>
          <w:rFonts w:ascii="Arial" w:cs="Arial" w:eastAsia="Arial" w:hAnsi="Arial"/>
          <w:sz w:val="18"/>
          <w:szCs w:val="18"/>
          <w:b w:val="1"/>
          <w:bCs w:val="1"/>
          <w:color w:val="auto"/>
        </w:rPr>
        <w:t xml:space="preserve"> National Hockey League </w:t>
      </w:r>
      <w:r>
        <w:rPr>
          <w:rFonts w:ascii="Arial" w:cs="Arial" w:eastAsia="Arial" w:hAnsi="Arial"/>
          <w:sz w:val="18"/>
          <w:szCs w:val="18"/>
          <w:color w:val="auto"/>
        </w:rPr>
        <w:t>and over 150 U.S. colleges and universities.</w:t>
      </w:r>
    </w:p>
    <w:p>
      <w:pPr>
        <w:spacing w:after="0" w:line="163" w:lineRule="exact"/>
        <w:rPr>
          <w:sz w:val="20"/>
          <w:szCs w:val="20"/>
          <w:color w:val="auto"/>
        </w:rPr>
      </w:pPr>
    </w:p>
    <w:p>
      <w:pPr>
        <w:jc w:val="both"/>
        <w:ind w:left="100" w:right="120"/>
        <w:spacing w:after="0" w:line="271" w:lineRule="auto"/>
        <w:rPr>
          <w:sz w:val="20"/>
          <w:szCs w:val="20"/>
          <w:color w:val="auto"/>
        </w:rPr>
      </w:pPr>
      <w:r>
        <w:rPr>
          <w:rFonts w:ascii="Arial" w:cs="Arial" w:eastAsia="Arial" w:hAnsi="Arial"/>
          <w:sz w:val="18"/>
          <w:szCs w:val="18"/>
          <w:color w:val="auto"/>
        </w:rPr>
        <w:t>We distribute our products through multiple channels and in markets located in a variety of geographies.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-2139950</wp:posOffset>
            </wp:positionH>
            <wp:positionV relativeFrom="paragraph">
              <wp:posOffset>400685</wp:posOffset>
            </wp:positionV>
            <wp:extent cx="629221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40" w:space="440"/>
            <w:col w:w="6540"/>
          </w:cols>
          <w:pgMar w:left="980" w:top="513" w:right="999" w:bottom="1440" w:gutter="0" w:footer="0" w:header="0"/>
          <w:type w:val="continuous"/>
        </w:sect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20"/>
          <w:szCs w:val="20"/>
          <w:b w:val="1"/>
          <w:bCs w:val="1"/>
          <w:color w:val="4A7EBB"/>
        </w:rPr>
        <w:t xml:space="preserve">4 </w:t>
      </w:r>
      <w:r>
        <w:rPr>
          <w:rFonts w:ascii="Arial" w:cs="Arial" w:eastAsia="Arial" w:hAnsi="Arial"/>
          <w:sz w:val="20"/>
          <w:szCs w:val="20"/>
          <w:color w:val="808080"/>
        </w:rPr>
        <w:t xml:space="preserve">\ </w:t>
      </w:r>
      <w:r>
        <w:rPr>
          <w:sz w:val="1"/>
          <w:szCs w:val="1"/>
          <w:color w:val="auto"/>
        </w:rPr>
        <w:drawing>
          <wp:inline distT="0" distB="0" distL="0" distR="0">
            <wp:extent cx="274320" cy="145415"/>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74320" cy="145415"/>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358775</wp:posOffset>
            </wp:positionV>
            <wp:extent cx="629221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17780</wp:posOffset>
            </wp:positionV>
            <wp:extent cx="62490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49035"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29"/>
          <w:szCs w:val="29"/>
          <w:b w:val="1"/>
          <w:bCs w:val="1"/>
          <w:color w:val="4A7EBB"/>
        </w:rPr>
        <w:t>Our Business Performance in Fiscal 2026</w:t>
      </w:r>
    </w:p>
    <w:p>
      <w:pPr>
        <w:spacing w:after="0" w:line="195" w:lineRule="exact"/>
        <w:rPr>
          <w:sz w:val="20"/>
          <w:szCs w:val="20"/>
          <w:color w:val="auto"/>
        </w:rPr>
      </w:pPr>
    </w:p>
    <w:p>
      <w:pPr>
        <w:jc w:val="both"/>
        <w:spacing w:after="0"/>
        <w:rPr>
          <w:sz w:val="20"/>
          <w:szCs w:val="20"/>
          <w:color w:val="auto"/>
        </w:rPr>
      </w:pPr>
      <w:r>
        <w:rPr>
          <w:rFonts w:ascii="Arial" w:cs="Arial" w:eastAsia="Arial" w:hAnsi="Arial"/>
          <w:sz w:val="18"/>
          <w:szCs w:val="18"/>
          <w:color w:val="auto"/>
        </w:rPr>
        <w:t>Fiscal 2026 was a pivotal year for the Company. We made meaningful progress in advancing our long-term strategy despite a tough environment. Late in 2022, our long-time licensor partner, PVH Corp., informed us that it would not grant long-term renewals of our licenses for Calvin Klein and Tommy Hilfiger products. At that time, we entered into amendments to the license agreements for the Calvin Klein and Tommy Hilfiger products that provide for staggered extensions by category. These business lines represented approximately 28% (approximately $827 million) of our net sales in fiscal 2026, down from 48% (approximately $ 1.5 billion) of our net sales in fiscal 2023. We expect net sales of Calvin Klein and Tommy Hilfiger products to decline by approximately $470 million in fiscal 2027 before rolling off completely in fiscal 2028.</w:t>
      </w:r>
    </w:p>
    <w:p>
      <w:pPr>
        <w:spacing w:after="0" w:line="18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As a result of strategic planning by our management and Board, and proactive risk management and contingency planning, we were prepared for this challenge. Our team, led by our Chairman and CEO, Morris Goldfarb, Vice Chairman and President, Sammy Aaron, Executive Vice President, Jeffrey Goldfarb and Chief Growth and Operations Officer, Dana Perlman, used their decades of apparel industry experience and extensive relationships with our retail customers and suppliers to pivot, reducing our dependence on these licenses and concentrating on new strategic initiatives.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We are driving growth through four key initiatives:</w:t>
      </w:r>
    </w:p>
    <w:p>
      <w:pPr>
        <w:spacing w:after="0" w:line="212" w:lineRule="exact"/>
        <w:rPr>
          <w:sz w:val="20"/>
          <w:szCs w:val="20"/>
          <w:color w:val="auto"/>
        </w:rPr>
      </w:pPr>
    </w:p>
    <w:p>
      <w:pPr>
        <w:jc w:val="both"/>
        <w:ind w:left="680" w:hanging="321"/>
        <w:spacing w:after="0" w:line="253" w:lineRule="auto"/>
        <w:tabs>
          <w:tab w:leader="none" w:pos="6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Invest in brand-building initiatives to increase product and consumer engagement, particularly in our key owned brands, Donna Karan, DKNY, Karl Lagerfeld and Vilebrequin, as well as entering into new long-term licenses, including for the Halston, Champion, Converse, BCBG, French Connection and Nautica brands;</w:t>
      </w:r>
    </w:p>
    <w:p>
      <w:pPr>
        <w:spacing w:after="0" w:line="168" w:lineRule="exact"/>
        <w:rPr>
          <w:rFonts w:ascii="Arial" w:cs="Arial" w:eastAsia="Arial" w:hAnsi="Arial"/>
          <w:sz w:val="18"/>
          <w:szCs w:val="18"/>
          <w:color w:val="auto"/>
        </w:rPr>
      </w:pPr>
    </w:p>
    <w:p>
      <w:pPr>
        <w:ind w:left="680" w:hanging="321"/>
        <w:spacing w:after="0" w:line="271" w:lineRule="auto"/>
        <w:tabs>
          <w:tab w:leader="none" w:pos="6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Drive direct to consumer engagement by strengthening our digital business to boost traffic and conversion across owned and partner sites and execute on our retail segment turnaround initiatives in North America;</w:t>
      </w:r>
    </w:p>
    <w:p>
      <w:pPr>
        <w:spacing w:after="0" w:line="153" w:lineRule="exact"/>
        <w:rPr>
          <w:rFonts w:ascii="Arial" w:cs="Arial" w:eastAsia="Arial" w:hAnsi="Arial"/>
          <w:sz w:val="18"/>
          <w:szCs w:val="18"/>
          <w:color w:val="auto"/>
        </w:rPr>
      </w:pPr>
    </w:p>
    <w:p>
      <w:pPr>
        <w:ind w:left="680" w:hanging="321"/>
        <w:spacing w:after="0" w:line="271" w:lineRule="auto"/>
        <w:tabs>
          <w:tab w:leader="none" w:pos="6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Expand international sales by prioritizing the right markets, partners and infrastructure to ensure long-term sustainable growth; and</w:t>
      </w:r>
    </w:p>
    <w:p>
      <w:pPr>
        <w:spacing w:after="0" w:line="153" w:lineRule="exact"/>
        <w:rPr>
          <w:rFonts w:ascii="Arial" w:cs="Arial" w:eastAsia="Arial" w:hAnsi="Arial"/>
          <w:sz w:val="18"/>
          <w:szCs w:val="18"/>
          <w:color w:val="auto"/>
        </w:rPr>
      </w:pPr>
    </w:p>
    <w:p>
      <w:pPr>
        <w:ind w:left="680" w:hanging="321"/>
        <w:spacing w:after="0" w:line="271" w:lineRule="auto"/>
        <w:tabs>
          <w:tab w:leader="none" w:pos="6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Expand our brand reach into complementary lifestyle categories to grow our brands and deepen consumer connections.</w:t>
      </w:r>
    </w:p>
    <w:p>
      <w:pPr>
        <w:spacing w:after="0" w:line="164"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2360" w:type="dxa"/>
            <w:vAlign w:val="bottom"/>
          </w:tcPr>
          <w:p>
            <w:pPr>
              <w:spacing w:after="0"/>
              <w:rPr>
                <w:sz w:val="20"/>
                <w:szCs w:val="20"/>
                <w:color w:val="auto"/>
              </w:rPr>
            </w:pPr>
            <w:r>
              <w:rPr>
                <w:rFonts w:ascii="Arial" w:cs="Arial" w:eastAsia="Arial" w:hAnsi="Arial"/>
                <w:sz w:val="14"/>
                <w:szCs w:val="14"/>
                <w:b w:val="1"/>
                <w:bCs w:val="1"/>
                <w:color w:val="auto"/>
              </w:rPr>
              <w:t>Net Sales</w:t>
            </w:r>
          </w:p>
        </w:tc>
        <w:tc>
          <w:tcPr>
            <w:tcW w:w="2420" w:type="dxa"/>
            <w:vAlign w:val="bottom"/>
          </w:tcPr>
          <w:p>
            <w:pPr>
              <w:ind w:left="100"/>
              <w:spacing w:after="0"/>
              <w:rPr>
                <w:sz w:val="20"/>
                <w:szCs w:val="20"/>
                <w:color w:val="auto"/>
              </w:rPr>
            </w:pPr>
            <w:r>
              <w:rPr>
                <w:rFonts w:ascii="Arial" w:cs="Arial" w:eastAsia="Arial" w:hAnsi="Arial"/>
                <w:sz w:val="14"/>
                <w:szCs w:val="14"/>
                <w:b w:val="1"/>
                <w:bCs w:val="1"/>
                <w:color w:val="auto"/>
              </w:rPr>
              <w:t xml:space="preserve">Adjusted EBITDA </w:t>
            </w:r>
            <w:r>
              <w:rPr>
                <w:rFonts w:ascii="Arial" w:cs="Arial" w:eastAsia="Arial" w:hAnsi="Arial"/>
                <w:sz w:val="16"/>
                <w:szCs w:val="16"/>
                <w:b w:val="1"/>
                <w:bCs w:val="1"/>
                <w:color w:val="auto"/>
              </w:rPr>
              <w:t>*</w:t>
            </w:r>
          </w:p>
        </w:tc>
        <w:tc>
          <w:tcPr>
            <w:tcW w:w="2460" w:type="dxa"/>
            <w:vAlign w:val="bottom"/>
          </w:tcPr>
          <w:p>
            <w:pPr>
              <w:ind w:left="160"/>
              <w:spacing w:after="0"/>
              <w:rPr>
                <w:sz w:val="20"/>
                <w:szCs w:val="20"/>
                <w:color w:val="auto"/>
              </w:rPr>
            </w:pPr>
            <w:r>
              <w:rPr>
                <w:rFonts w:ascii="Arial" w:cs="Arial" w:eastAsia="Arial" w:hAnsi="Arial"/>
                <w:sz w:val="14"/>
                <w:szCs w:val="14"/>
                <w:b w:val="1"/>
                <w:bCs w:val="1"/>
                <w:color w:val="auto"/>
              </w:rPr>
              <w:t>Non-GAAP Net Income</w:t>
            </w:r>
            <w:r>
              <w:rPr>
                <w:rFonts w:ascii="Arial" w:cs="Arial" w:eastAsia="Arial" w:hAnsi="Arial"/>
                <w:sz w:val="16"/>
                <w:szCs w:val="16"/>
                <w:b w:val="1"/>
                <w:bCs w:val="1"/>
                <w:color w:val="auto"/>
              </w:rPr>
              <w:t>*</w:t>
            </w:r>
          </w:p>
        </w:tc>
        <w:tc>
          <w:tcPr>
            <w:tcW w:w="2440" w:type="dxa"/>
            <w:vAlign w:val="bottom"/>
          </w:tcPr>
          <w:p>
            <w:pPr>
              <w:jc w:val="center"/>
              <w:ind w:left="67"/>
              <w:spacing w:after="0"/>
              <w:rPr>
                <w:sz w:val="20"/>
                <w:szCs w:val="20"/>
                <w:color w:val="auto"/>
              </w:rPr>
            </w:pPr>
            <w:r>
              <w:rPr>
                <w:rFonts w:ascii="Arial" w:cs="Arial" w:eastAsia="Arial" w:hAnsi="Arial"/>
                <w:sz w:val="14"/>
                <w:szCs w:val="14"/>
                <w:b w:val="1"/>
                <w:bCs w:val="1"/>
                <w:color w:val="auto"/>
              </w:rPr>
              <w:t>Non-GAAP  Diluted  Net  Income</w:t>
            </w:r>
          </w:p>
        </w:tc>
      </w:tr>
      <w:tr>
        <w:trPr>
          <w:trHeight w:val="223"/>
        </w:trPr>
        <w:tc>
          <w:tcPr>
            <w:tcW w:w="23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2440" w:type="dxa"/>
            <w:vAlign w:val="bottom"/>
          </w:tcPr>
          <w:p>
            <w:pPr>
              <w:ind w:left="160"/>
              <w:spacing w:after="0"/>
              <w:rPr>
                <w:sz w:val="20"/>
                <w:szCs w:val="20"/>
                <w:color w:val="auto"/>
              </w:rPr>
            </w:pPr>
            <w:r>
              <w:rPr>
                <w:rFonts w:ascii="Arial" w:cs="Arial" w:eastAsia="Arial" w:hAnsi="Arial"/>
                <w:sz w:val="14"/>
                <w:szCs w:val="14"/>
                <w:b w:val="1"/>
                <w:bCs w:val="1"/>
                <w:color w:val="auto"/>
              </w:rPr>
              <w:t>Per Share</w:t>
            </w:r>
            <w:r>
              <w:rPr>
                <w:rFonts w:ascii="Arial" w:cs="Arial" w:eastAsia="Arial" w:hAnsi="Arial"/>
                <w:sz w:val="16"/>
                <w:szCs w:val="16"/>
                <w:b w:val="1"/>
                <w:bCs w:val="1"/>
                <w:color w:val="auto"/>
              </w:rPr>
              <w:t>*</w:t>
            </w:r>
          </w:p>
        </w:tc>
      </w:tr>
      <w:tr>
        <w:trPr>
          <w:trHeight w:val="639"/>
        </w:trPr>
        <w:tc>
          <w:tcPr>
            <w:tcW w:w="2360" w:type="dxa"/>
            <w:vAlign w:val="bottom"/>
          </w:tcPr>
          <w:p>
            <w:pPr>
              <w:ind w:left="560"/>
              <w:spacing w:after="0"/>
              <w:rPr>
                <w:sz w:val="20"/>
                <w:szCs w:val="20"/>
                <w:color w:val="auto"/>
              </w:rPr>
            </w:pPr>
            <w:r>
              <w:rPr>
                <w:rFonts w:ascii="Arial" w:cs="Arial" w:eastAsia="Arial" w:hAnsi="Arial"/>
                <w:sz w:val="43"/>
                <w:szCs w:val="43"/>
                <w:b w:val="1"/>
                <w:bCs w:val="1"/>
                <w:color w:val="4A7EBB"/>
              </w:rPr>
              <w:t>$3.0B</w:t>
            </w:r>
          </w:p>
        </w:tc>
        <w:tc>
          <w:tcPr>
            <w:tcW w:w="2420" w:type="dxa"/>
            <w:vAlign w:val="bottom"/>
          </w:tcPr>
          <w:p>
            <w:pPr>
              <w:ind w:left="580"/>
              <w:spacing w:after="0"/>
              <w:rPr>
                <w:sz w:val="20"/>
                <w:szCs w:val="20"/>
                <w:color w:val="auto"/>
              </w:rPr>
            </w:pPr>
            <w:r>
              <w:rPr>
                <w:rFonts w:ascii="Arial" w:cs="Arial" w:eastAsia="Arial" w:hAnsi="Arial"/>
                <w:sz w:val="43"/>
                <w:szCs w:val="43"/>
                <w:b w:val="1"/>
                <w:bCs w:val="1"/>
                <w:color w:val="4A7EBB"/>
              </w:rPr>
              <w:t>$192M</w:t>
            </w:r>
          </w:p>
        </w:tc>
        <w:tc>
          <w:tcPr>
            <w:tcW w:w="2460" w:type="dxa"/>
            <w:vAlign w:val="bottom"/>
          </w:tcPr>
          <w:p>
            <w:pPr>
              <w:jc w:val="center"/>
              <w:spacing w:after="0"/>
              <w:rPr>
                <w:sz w:val="20"/>
                <w:szCs w:val="20"/>
                <w:color w:val="auto"/>
              </w:rPr>
            </w:pPr>
            <w:r>
              <w:rPr>
                <w:rFonts w:ascii="Arial" w:cs="Arial" w:eastAsia="Arial" w:hAnsi="Arial"/>
                <w:sz w:val="43"/>
                <w:szCs w:val="43"/>
                <w:b w:val="1"/>
                <w:bCs w:val="1"/>
                <w:color w:val="4A7EBB"/>
                <w:w w:val="98"/>
              </w:rPr>
              <w:t>$116M</w:t>
            </w:r>
          </w:p>
        </w:tc>
        <w:tc>
          <w:tcPr>
            <w:tcW w:w="2440" w:type="dxa"/>
            <w:vAlign w:val="bottom"/>
          </w:tcPr>
          <w:p>
            <w:pPr>
              <w:jc w:val="center"/>
              <w:ind w:left="67"/>
              <w:spacing w:after="0"/>
              <w:rPr>
                <w:sz w:val="20"/>
                <w:szCs w:val="20"/>
                <w:color w:val="auto"/>
              </w:rPr>
            </w:pPr>
            <w:r>
              <w:rPr>
                <w:rFonts w:ascii="Arial" w:cs="Arial" w:eastAsia="Arial" w:hAnsi="Arial"/>
                <w:sz w:val="43"/>
                <w:szCs w:val="43"/>
                <w:b w:val="1"/>
                <w:bCs w:val="1"/>
                <w:color w:val="4A7EBB"/>
              </w:rPr>
              <w:t>$2.61</w:t>
            </w:r>
          </w:p>
        </w:tc>
      </w:tr>
      <w:tr>
        <w:trPr>
          <w:trHeight w:val="299"/>
        </w:trPr>
        <w:tc>
          <w:tcPr>
            <w:tcW w:w="2360" w:type="dxa"/>
            <w:vAlign w:val="bottom"/>
          </w:tcPr>
          <w:p>
            <w:pPr>
              <w:jc w:val="center"/>
              <w:spacing w:after="0"/>
              <w:rPr>
                <w:sz w:val="20"/>
                <w:szCs w:val="20"/>
                <w:color w:val="auto"/>
              </w:rPr>
            </w:pPr>
            <w:r>
              <w:rPr>
                <w:rFonts w:ascii="Arial" w:cs="Arial" w:eastAsia="Arial" w:hAnsi="Arial"/>
                <w:sz w:val="14"/>
                <w:szCs w:val="14"/>
                <w:b w:val="1"/>
                <w:bCs w:val="1"/>
                <w:color w:val="auto"/>
              </w:rPr>
              <w:t>Compares to $3.2B last year</w:t>
            </w:r>
          </w:p>
        </w:tc>
        <w:tc>
          <w:tcPr>
            <w:tcW w:w="2420" w:type="dxa"/>
            <w:vAlign w:val="bottom"/>
          </w:tcPr>
          <w:p>
            <w:pPr>
              <w:ind w:left="280"/>
              <w:spacing w:after="0"/>
              <w:rPr>
                <w:sz w:val="20"/>
                <w:szCs w:val="20"/>
                <w:color w:val="auto"/>
              </w:rPr>
            </w:pPr>
            <w:r>
              <w:rPr>
                <w:rFonts w:ascii="Arial" w:cs="Arial" w:eastAsia="Arial" w:hAnsi="Arial"/>
                <w:sz w:val="14"/>
                <w:szCs w:val="14"/>
                <w:b w:val="1"/>
                <w:bCs w:val="1"/>
                <w:color w:val="auto"/>
              </w:rPr>
              <w:t>Compares to $326M last year</w:t>
            </w:r>
          </w:p>
        </w:tc>
        <w:tc>
          <w:tcPr>
            <w:tcW w:w="2460" w:type="dxa"/>
            <w:vAlign w:val="bottom"/>
          </w:tcPr>
          <w:p>
            <w:pPr>
              <w:jc w:val="center"/>
              <w:spacing w:after="0"/>
              <w:rPr>
                <w:sz w:val="20"/>
                <w:szCs w:val="20"/>
                <w:color w:val="auto"/>
              </w:rPr>
            </w:pPr>
            <w:r>
              <w:rPr>
                <w:rFonts w:ascii="Arial" w:cs="Arial" w:eastAsia="Arial" w:hAnsi="Arial"/>
                <w:sz w:val="14"/>
                <w:szCs w:val="14"/>
                <w:b w:val="1"/>
                <w:bCs w:val="1"/>
                <w:color w:val="auto"/>
              </w:rPr>
              <w:t>Compares to $204M last year</w:t>
            </w:r>
          </w:p>
        </w:tc>
        <w:tc>
          <w:tcPr>
            <w:tcW w:w="2440" w:type="dxa"/>
            <w:vAlign w:val="bottom"/>
          </w:tcPr>
          <w:p>
            <w:pPr>
              <w:jc w:val="center"/>
              <w:ind w:left="87"/>
              <w:spacing w:after="0"/>
              <w:rPr>
                <w:sz w:val="20"/>
                <w:szCs w:val="20"/>
                <w:color w:val="auto"/>
              </w:rPr>
            </w:pPr>
            <w:r>
              <w:rPr>
                <w:rFonts w:ascii="Arial" w:cs="Arial" w:eastAsia="Arial" w:hAnsi="Arial"/>
                <w:sz w:val="14"/>
                <w:szCs w:val="14"/>
                <w:b w:val="1"/>
                <w:bCs w:val="1"/>
                <w:color w:val="auto"/>
              </w:rPr>
              <w:t>Includes the negative impact of</w:t>
            </w:r>
          </w:p>
        </w:tc>
      </w:tr>
      <w:tr>
        <w:trPr>
          <w:trHeight w:val="153"/>
        </w:trPr>
        <w:tc>
          <w:tcPr>
            <w:tcW w:w="23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reflecting transition out of</w:t>
            </w:r>
          </w:p>
        </w:tc>
        <w:tc>
          <w:tcPr>
            <w:tcW w:w="24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2440" w:type="dxa"/>
            <w:vAlign w:val="bottom"/>
          </w:tcPr>
          <w:p>
            <w:pPr>
              <w:jc w:val="center"/>
              <w:ind w:left="67"/>
              <w:spacing w:after="0" w:line="153" w:lineRule="exact"/>
              <w:rPr>
                <w:sz w:val="20"/>
                <w:szCs w:val="20"/>
                <w:color w:val="auto"/>
              </w:rPr>
            </w:pPr>
            <w:r>
              <w:rPr>
                <w:rFonts w:ascii="Arial" w:cs="Arial" w:eastAsia="Arial" w:hAnsi="Arial"/>
                <w:sz w:val="14"/>
                <w:szCs w:val="14"/>
                <w:b w:val="1"/>
                <w:bCs w:val="1"/>
                <w:color w:val="auto"/>
              </w:rPr>
              <w:t>$0.30 per share from the Saks</w:t>
            </w:r>
          </w:p>
        </w:tc>
      </w:tr>
      <w:tr>
        <w:trPr>
          <w:trHeight w:val="162"/>
        </w:trPr>
        <w:tc>
          <w:tcPr>
            <w:tcW w:w="2360" w:type="dxa"/>
            <w:vAlign w:val="bottom"/>
          </w:tcPr>
          <w:p>
            <w:pPr>
              <w:jc w:val="center"/>
              <w:spacing w:after="0"/>
              <w:rPr>
                <w:sz w:val="20"/>
                <w:szCs w:val="20"/>
                <w:color w:val="auto"/>
              </w:rPr>
            </w:pPr>
            <w:r>
              <w:rPr>
                <w:rFonts w:ascii="Arial" w:cs="Arial" w:eastAsia="Arial" w:hAnsi="Arial"/>
                <w:sz w:val="14"/>
                <w:szCs w:val="14"/>
                <w:b w:val="1"/>
                <w:bCs w:val="1"/>
                <w:color w:val="auto"/>
              </w:rPr>
              <w:t>certain Calvin Klein and Tommy</w:t>
            </w:r>
          </w:p>
        </w:tc>
        <w:tc>
          <w:tcPr>
            <w:tcW w:w="24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440" w:type="dxa"/>
            <w:vAlign w:val="bottom"/>
          </w:tcPr>
          <w:p>
            <w:pPr>
              <w:jc w:val="center"/>
              <w:ind w:left="67"/>
              <w:spacing w:after="0"/>
              <w:rPr>
                <w:sz w:val="20"/>
                <w:szCs w:val="20"/>
                <w:color w:val="auto"/>
              </w:rPr>
            </w:pPr>
            <w:r>
              <w:rPr>
                <w:rFonts w:ascii="Arial" w:cs="Arial" w:eastAsia="Arial" w:hAnsi="Arial"/>
                <w:sz w:val="14"/>
                <w:szCs w:val="14"/>
                <w:b w:val="1"/>
                <w:bCs w:val="1"/>
                <w:color w:val="auto"/>
              </w:rPr>
              <w:t>Global bankruptcy and compares</w:t>
            </w:r>
          </w:p>
        </w:tc>
      </w:tr>
      <w:tr>
        <w:trPr>
          <w:trHeight w:val="162"/>
        </w:trPr>
        <w:tc>
          <w:tcPr>
            <w:tcW w:w="2360" w:type="dxa"/>
            <w:vAlign w:val="bottom"/>
          </w:tcPr>
          <w:p>
            <w:pPr>
              <w:jc w:val="center"/>
              <w:spacing w:after="0"/>
              <w:rPr>
                <w:sz w:val="20"/>
                <w:szCs w:val="20"/>
                <w:color w:val="auto"/>
              </w:rPr>
            </w:pPr>
            <w:r>
              <w:rPr>
                <w:rFonts w:ascii="Arial" w:cs="Arial" w:eastAsia="Arial" w:hAnsi="Arial"/>
                <w:sz w:val="14"/>
                <w:szCs w:val="14"/>
                <w:b w:val="1"/>
                <w:bCs w:val="1"/>
                <w:color w:val="auto"/>
              </w:rPr>
              <w:t>Hilfiger businesses offset by</w:t>
            </w:r>
          </w:p>
        </w:tc>
        <w:tc>
          <w:tcPr>
            <w:tcW w:w="24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440" w:type="dxa"/>
            <w:vAlign w:val="bottom"/>
          </w:tcPr>
          <w:p>
            <w:pPr>
              <w:jc w:val="center"/>
              <w:ind w:left="67"/>
              <w:spacing w:after="0"/>
              <w:rPr>
                <w:sz w:val="20"/>
                <w:szCs w:val="20"/>
                <w:color w:val="auto"/>
              </w:rPr>
            </w:pPr>
            <w:r>
              <w:rPr>
                <w:rFonts w:ascii="Arial" w:cs="Arial" w:eastAsia="Arial" w:hAnsi="Arial"/>
                <w:sz w:val="14"/>
                <w:szCs w:val="14"/>
                <w:b w:val="1"/>
                <w:bCs w:val="1"/>
                <w:color w:val="auto"/>
              </w:rPr>
              <w:t>to $4.42 last year</w:t>
            </w:r>
          </w:p>
        </w:tc>
      </w:tr>
      <w:tr>
        <w:trPr>
          <w:trHeight w:val="196"/>
        </w:trPr>
        <w:tc>
          <w:tcPr>
            <w:tcW w:w="2360" w:type="dxa"/>
            <w:vAlign w:val="bottom"/>
          </w:tcPr>
          <w:p>
            <w:pPr>
              <w:jc w:val="center"/>
              <w:spacing w:after="0"/>
              <w:rPr>
                <w:sz w:val="20"/>
                <w:szCs w:val="20"/>
                <w:color w:val="auto"/>
              </w:rPr>
            </w:pPr>
            <w:r>
              <w:rPr>
                <w:rFonts w:ascii="Arial" w:cs="Arial" w:eastAsia="Arial" w:hAnsi="Arial"/>
                <w:sz w:val="14"/>
                <w:szCs w:val="14"/>
                <w:b w:val="1"/>
                <w:bCs w:val="1"/>
                <w:color w:val="auto"/>
              </w:rPr>
              <w:t>growth in our owned brands</w:t>
            </w:r>
          </w:p>
        </w:tc>
        <w:tc>
          <w:tcPr>
            <w:tcW w:w="24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244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-1266825</wp:posOffset>
            </wp:positionV>
            <wp:extent cx="6292215" cy="13290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1329055"/>
                    </a:xfrm>
                    <a:prstGeom prst="rect">
                      <a:avLst/>
                    </a:prstGeom>
                    <a:noFill/>
                  </pic:spPr>
                </pic:pic>
              </a:graphicData>
            </a:graphic>
          </wp:anchor>
        </w:drawing>
      </w:r>
    </w:p>
    <w:p>
      <w:pPr>
        <w:spacing w:after="0" w:line="5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*Please see Appendix B for a reconciliation of Adjusted EBITDA, Non-GAAP Net Income and Non-GAAP Diluted Net Income Per Share to GAAP amounts.</w:t>
      </w:r>
    </w:p>
    <w:p>
      <w:pPr>
        <w:spacing w:after="0" w:line="14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Under the leadership of Morris Goldfarb, Sammy Aaron, Jeffrey Goldfarb and Dana Perlman and our dedicated executive team, G-III has successfully operated in fashion markets that are intensely competitive. Our ability to continuously evaluate and respond to changing consumer demands and tastes, across multiple market segments, distribution channels and geographic areas, is critical to our success. This is demonstrated by our ability to reposition the Company and deliver strong results during a challenging environment in fiscal 2026.</w:t>
      </w:r>
    </w:p>
    <w:p>
      <w:pPr>
        <w:spacing w:after="0" w:line="1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Our Board believes the relative performance of our Common Stock, as measured by Total Stockholder Return (TSR), is an important performance indicator. </w:t>
      </w:r>
      <w:r>
        <w:rPr>
          <w:rFonts w:ascii="Arial" w:cs="Arial" w:eastAsia="Arial" w:hAnsi="Arial"/>
          <w:sz w:val="18"/>
          <w:szCs w:val="18"/>
          <w:b w:val="1"/>
          <w:bCs w:val="1"/>
          <w:color w:val="auto"/>
        </w:rPr>
        <w:t>Our TSR strongly outperformed the S&amp;P 1500 Apparel, Accessories &amp; Luxury Goods</w:t>
      </w:r>
      <w:r>
        <w:rPr>
          <w:rFonts w:ascii="Arial" w:cs="Arial" w:eastAsia="Arial" w:hAnsi="Arial"/>
          <w:sz w:val="18"/>
          <w:szCs w:val="18"/>
          <w:color w:val="auto"/>
        </w:rPr>
        <w:t xml:space="preserve"> </w:t>
      </w:r>
      <w:r>
        <w:rPr>
          <w:rFonts w:ascii="Arial" w:cs="Arial" w:eastAsia="Arial" w:hAnsi="Arial"/>
          <w:sz w:val="18"/>
          <w:szCs w:val="18"/>
          <w:b w:val="1"/>
          <w:bCs w:val="1"/>
          <w:color w:val="auto"/>
        </w:rPr>
        <w:t>Industry Index over the one, three and five-year periods ended on January 31, 2026. In addition, our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266700</wp:posOffset>
            </wp:positionV>
            <wp:extent cx="629221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left="7660"/>
        <w:spacing w:after="0"/>
        <w:rPr>
          <w:sz w:val="20"/>
          <w:szCs w:val="20"/>
          <w:color w:val="auto"/>
        </w:rPr>
      </w:pPr>
      <w:r>
        <w:rPr>
          <w:rFonts w:ascii="Arial" w:cs="Arial" w:eastAsia="Arial" w:hAnsi="Arial"/>
          <w:sz w:val="16"/>
          <w:szCs w:val="16"/>
          <w:color w:val="auto"/>
        </w:rPr>
        <w:t xml:space="preserve">2026 PROXY STATEMENT </w:t>
      </w:r>
      <w:r>
        <w:rPr>
          <w:rFonts w:ascii="Arial" w:cs="Arial" w:eastAsia="Arial" w:hAnsi="Arial"/>
          <w:sz w:val="19"/>
          <w:szCs w:val="19"/>
          <w:color w:val="808080"/>
        </w:rPr>
        <w:t>/</w:t>
      </w:r>
      <w:r>
        <w:rPr>
          <w:rFonts w:ascii="Arial" w:cs="Arial" w:eastAsia="Arial" w:hAnsi="Arial"/>
          <w:sz w:val="16"/>
          <w:szCs w:val="16"/>
          <w:color w:val="auto"/>
        </w:rPr>
        <w:t xml:space="preserve"> </w:t>
      </w:r>
      <w:r>
        <w:rPr>
          <w:rFonts w:ascii="Arial" w:cs="Arial" w:eastAsia="Arial" w:hAnsi="Arial"/>
          <w:sz w:val="19"/>
          <w:szCs w:val="19"/>
          <w:b w:val="1"/>
          <w:bCs w:val="1"/>
          <w:color w:val="4A7EBB"/>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356235</wp:posOffset>
            </wp:positionV>
            <wp:extent cx="629221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17780</wp:posOffset>
            </wp:positionV>
            <wp:extent cx="62490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49035" cy="8255"/>
                    </a:xfrm>
                    <a:prstGeom prst="rect">
                      <a:avLst/>
                    </a:prstGeom>
                    <a:noFill/>
                  </pic:spPr>
                </pic:pic>
              </a:graphicData>
            </a:graphic>
          </wp:anchor>
        </w:drawing>
      </w:r>
    </w:p>
    <w:p>
      <w:pPr>
        <w:spacing w:after="0" w:line="21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performance has been competitive with the performance of our compensation peer group over these periods. </w:t>
      </w:r>
      <w:r>
        <w:rPr>
          <w:rFonts w:ascii="Arial" w:cs="Arial" w:eastAsia="Arial" w:hAnsi="Arial"/>
          <w:sz w:val="18"/>
          <w:szCs w:val="18"/>
          <w:color w:val="auto"/>
        </w:rPr>
        <w:t>Importantly, we instituted a quarterly cash dividend in fiscal 2026 and paid $0.10 per share in each of the third and fourth quarters of fiscal 2026.</w:t>
      </w:r>
    </w:p>
    <w:p>
      <w:pPr>
        <w:spacing w:after="0" w:line="15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believe that our stockholders attribute this strong performance to the successful measures we have taken following the announcement of the planned long-term termination of the Calvin Klein and Tommy Hilfiger licenses, including by driving our owned brands across categories, continued development and expansion of our DKNY business and repositioning and expansion of our Donna Karan business, expanding our international business, increasing digital channel business opportunities and entering into important new license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115570</wp:posOffset>
            </wp:positionV>
            <wp:extent cx="6172200" cy="26231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172200" cy="2623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rPr>
          <w:sz w:val="20"/>
          <w:szCs w:val="20"/>
          <w:color w:val="auto"/>
        </w:rPr>
      </w:pPr>
      <w:r>
        <w:rPr>
          <w:rFonts w:ascii="Arial" w:cs="Arial" w:eastAsia="Arial" w:hAnsi="Arial"/>
          <w:sz w:val="18"/>
          <w:szCs w:val="18"/>
          <w:color w:val="auto"/>
        </w:rPr>
        <w:t>Effective February 2026, we entered into a license agreement with French Connection Limited to design and produce women’s and men’s apparel (subject to certain exclusions), women’s and men’s outerwear, handbags and men’s footwear under the French Connection brand. The license agreement includes an initial term of five-years with an option to renew for an additional five-year term. The products produced under this license agreement are expected to be distributed in North America through our diversified distribution network, including premier department stores, digital channels, as well as other channels. First deliveries of our French Connection product began in February 2026 for Spring 2026. We believe that significant opportunity exists in the categories subject to this license agreement where we have strong expertise, and the products expected to be produced align with G-III’s core competencies.</w:t>
      </w:r>
    </w:p>
    <w:p>
      <w:pPr>
        <w:spacing w:after="0" w:line="16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strategy is focused on four key strategic pillars, which we believe are critical to driving long-term profitability and stockholder value:</w:t>
      </w:r>
    </w:p>
    <w:p>
      <w:pPr>
        <w:spacing w:after="0" w:line="140" w:lineRule="exact"/>
        <w:rPr>
          <w:sz w:val="20"/>
          <w:szCs w:val="20"/>
          <w:color w:val="auto"/>
        </w:rPr>
      </w:pPr>
    </w:p>
    <w:p>
      <w:pPr>
        <w:jc w:val="both"/>
        <w:ind w:left="680" w:hanging="321"/>
        <w:spacing w:after="0" w:line="242" w:lineRule="auto"/>
        <w:tabs>
          <w:tab w:leader="none" w:pos="680" w:val="left"/>
        </w:tabs>
        <w:numPr>
          <w:ilvl w:val="0"/>
          <w:numId w:val="37"/>
        </w:numPr>
        <w:rPr>
          <w:rFonts w:ascii="Times New Roman" w:cs="Times New Roman" w:eastAsia="Times New Roman" w:hAnsi="Times New Roman"/>
          <w:sz w:val="18"/>
          <w:szCs w:val="18"/>
          <w:color w:val="4A7EBB"/>
        </w:rPr>
      </w:pPr>
      <w:r>
        <w:rPr>
          <w:rFonts w:ascii="Arial" w:cs="Arial" w:eastAsia="Arial" w:hAnsi="Arial"/>
          <w:sz w:val="18"/>
          <w:szCs w:val="18"/>
          <w:b w:val="1"/>
          <w:bCs w:val="1"/>
          <w:color w:val="auto"/>
        </w:rPr>
        <w:t xml:space="preserve">Drive growth of our owned brands: </w:t>
      </w:r>
      <w:r>
        <w:rPr>
          <w:rFonts w:ascii="Arial" w:cs="Arial" w:eastAsia="Arial" w:hAnsi="Arial"/>
          <w:sz w:val="18"/>
          <w:szCs w:val="18"/>
          <w:color w:val="auto"/>
        </w:rPr>
        <w:t>Capturing the long-term potential of our owned brands is one of our top</w:t>
      </w:r>
      <w:r>
        <w:rPr>
          <w:rFonts w:ascii="Arial" w:cs="Arial" w:eastAsia="Arial" w:hAnsi="Arial"/>
          <w:sz w:val="18"/>
          <w:szCs w:val="18"/>
          <w:b w:val="1"/>
          <w:bCs w:val="1"/>
          <w:color w:val="auto"/>
        </w:rPr>
        <w:t xml:space="preserve"> </w:t>
      </w:r>
      <w:r>
        <w:rPr>
          <w:rFonts w:ascii="Arial" w:cs="Arial" w:eastAsia="Arial" w:hAnsi="Arial"/>
          <w:sz w:val="18"/>
          <w:szCs w:val="18"/>
          <w:color w:val="auto"/>
        </w:rPr>
        <w:t>priorities. With full control over design, production, global distribution and marketing, these brands represent an important and sustainable long-term profit driver, generating higher operating margins and providing an incremental licensing income stream. We believe we have a significant runway for growth in North America as well as internationally for our key owned brands DKNY, Donna Karan, Karl Lagerfeld and Vilebrequin. We are actively working to unlock the full potential of these brands on a global scale.</w:t>
      </w:r>
    </w:p>
    <w:p>
      <w:pPr>
        <w:spacing w:after="0" w:line="164" w:lineRule="exact"/>
        <w:rPr>
          <w:rFonts w:ascii="Times New Roman" w:cs="Times New Roman" w:eastAsia="Times New Roman" w:hAnsi="Times New Roman"/>
          <w:sz w:val="18"/>
          <w:szCs w:val="18"/>
          <w:color w:val="4A7EBB"/>
        </w:rPr>
      </w:pPr>
    </w:p>
    <w:p>
      <w:pPr>
        <w:jc w:val="both"/>
        <w:ind w:left="680" w:hanging="321"/>
        <w:spacing w:after="0" w:line="243" w:lineRule="auto"/>
        <w:tabs>
          <w:tab w:leader="none" w:pos="680" w:val="left"/>
        </w:tabs>
        <w:numPr>
          <w:ilvl w:val="0"/>
          <w:numId w:val="37"/>
        </w:numPr>
        <w:rPr>
          <w:rFonts w:ascii="Times New Roman" w:cs="Times New Roman" w:eastAsia="Times New Roman" w:hAnsi="Times New Roman"/>
          <w:sz w:val="18"/>
          <w:szCs w:val="18"/>
          <w:color w:val="4A7EBB"/>
        </w:rPr>
      </w:pPr>
      <w:r>
        <w:rPr>
          <w:rFonts w:ascii="Arial" w:cs="Arial" w:eastAsia="Arial" w:hAnsi="Arial"/>
          <w:sz w:val="18"/>
          <w:szCs w:val="18"/>
          <w:b w:val="1"/>
          <w:bCs w:val="1"/>
          <w:color w:val="auto"/>
        </w:rPr>
        <w:t xml:space="preserve">Build our complementary portfolio of licensed brands: </w:t>
      </w:r>
      <w:r>
        <w:rPr>
          <w:rFonts w:ascii="Arial" w:cs="Arial" w:eastAsia="Arial" w:hAnsi="Arial"/>
          <w:sz w:val="18"/>
          <w:szCs w:val="18"/>
          <w:color w:val="auto"/>
        </w:rPr>
        <w:t>Expanding our portfolio of strategic licenses remains</w:t>
      </w:r>
      <w:r>
        <w:rPr>
          <w:rFonts w:ascii="Arial" w:cs="Arial" w:eastAsia="Arial" w:hAnsi="Arial"/>
          <w:sz w:val="18"/>
          <w:szCs w:val="18"/>
          <w:b w:val="1"/>
          <w:bCs w:val="1"/>
          <w:color w:val="auto"/>
        </w:rPr>
        <w:t xml:space="preserve"> </w:t>
      </w:r>
      <w:r>
        <w:rPr>
          <w:rFonts w:ascii="Arial" w:cs="Arial" w:eastAsia="Arial" w:hAnsi="Arial"/>
          <w:sz w:val="18"/>
          <w:szCs w:val="18"/>
          <w:color w:val="auto"/>
        </w:rPr>
        <w:t>central to our growth strategy. Each of our licensed brands offer unique attributes that diversify our portfolio across product, aesthetic, distribution channels and consumer segments. We have built a powerful corporate platform that enables us to bring brands to market in an efficient and scalable manner. In 2024, we brought to market three new licensed brands: Halston, Champion and Nautica. In Fall 2025, we launched two additional licenses for Converse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280670</wp:posOffset>
            </wp:positionV>
            <wp:extent cx="629221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20"/>
          <w:szCs w:val="20"/>
          <w:b w:val="1"/>
          <w:bCs w:val="1"/>
          <w:color w:val="4A7EBB"/>
        </w:rPr>
        <w:t xml:space="preserve">6 </w:t>
      </w:r>
      <w:r>
        <w:rPr>
          <w:rFonts w:ascii="Arial" w:cs="Arial" w:eastAsia="Arial" w:hAnsi="Arial"/>
          <w:sz w:val="20"/>
          <w:szCs w:val="20"/>
          <w:color w:val="808080"/>
        </w:rPr>
        <w:t xml:space="preserve">\ </w:t>
      </w:r>
      <w:r>
        <w:rPr>
          <w:sz w:val="1"/>
          <w:szCs w:val="1"/>
          <w:color w:val="auto"/>
        </w:rPr>
        <w:drawing>
          <wp:inline distT="0" distB="0" distL="0" distR="0">
            <wp:extent cx="274320" cy="154305"/>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74320" cy="154305"/>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350520</wp:posOffset>
            </wp:positionV>
            <wp:extent cx="629221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17780</wp:posOffset>
            </wp:positionV>
            <wp:extent cx="62490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49035" cy="8255"/>
                    </a:xfrm>
                    <a:prstGeom prst="rect">
                      <a:avLst/>
                    </a:prstGeom>
                    <a:noFill/>
                  </pic:spPr>
                </pic:pic>
              </a:graphicData>
            </a:graphic>
          </wp:anchor>
        </w:drawing>
      </w:r>
    </w:p>
    <w:p>
      <w:pPr>
        <w:spacing w:after="0" w:line="219" w:lineRule="exact"/>
        <w:rPr>
          <w:sz w:val="20"/>
          <w:szCs w:val="20"/>
          <w:color w:val="auto"/>
        </w:rPr>
      </w:pPr>
    </w:p>
    <w:p>
      <w:pPr>
        <w:jc w:val="both"/>
        <w:ind w:left="680"/>
        <w:spacing w:after="0" w:line="253" w:lineRule="auto"/>
        <w:rPr>
          <w:sz w:val="20"/>
          <w:szCs w:val="20"/>
          <w:color w:val="auto"/>
        </w:rPr>
      </w:pPr>
      <w:r>
        <w:rPr>
          <w:rFonts w:ascii="Arial" w:cs="Arial" w:eastAsia="Arial" w:hAnsi="Arial"/>
          <w:sz w:val="18"/>
          <w:szCs w:val="18"/>
          <w:color w:val="auto"/>
        </w:rPr>
        <w:t>and BCBG. Most recently, in January 2026, we signed a new licensing agreement for the French Connection brand. We plan to grow these brands as we expand distribution and launch new product over the course of these multi-year licenses.</w:t>
      </w:r>
    </w:p>
    <w:p>
      <w:pPr>
        <w:spacing w:after="0" w:line="155" w:lineRule="exact"/>
        <w:rPr>
          <w:sz w:val="20"/>
          <w:szCs w:val="20"/>
          <w:color w:val="auto"/>
        </w:rPr>
      </w:pPr>
    </w:p>
    <w:p>
      <w:pPr>
        <w:jc w:val="both"/>
        <w:ind w:left="680" w:hanging="321"/>
        <w:spacing w:after="0" w:line="239" w:lineRule="auto"/>
        <w:tabs>
          <w:tab w:leader="none" w:pos="680" w:val="left"/>
        </w:tabs>
        <w:numPr>
          <w:ilvl w:val="0"/>
          <w:numId w:val="38"/>
        </w:numPr>
        <w:rPr>
          <w:rFonts w:ascii="Times New Roman" w:cs="Times New Roman" w:eastAsia="Times New Roman" w:hAnsi="Times New Roman"/>
          <w:sz w:val="18"/>
          <w:szCs w:val="18"/>
          <w:color w:val="4A7EBB"/>
        </w:rPr>
      </w:pPr>
      <w:r>
        <w:rPr>
          <w:rFonts w:ascii="Arial" w:cs="Arial" w:eastAsia="Arial" w:hAnsi="Arial"/>
          <w:sz w:val="18"/>
          <w:szCs w:val="18"/>
          <w:b w:val="1"/>
          <w:bCs w:val="1"/>
          <w:color w:val="auto"/>
        </w:rPr>
        <w:t xml:space="preserve">Expand our global reach: </w:t>
      </w:r>
      <w:r>
        <w:rPr>
          <w:rFonts w:ascii="Arial" w:cs="Arial" w:eastAsia="Arial" w:hAnsi="Arial"/>
          <w:sz w:val="18"/>
          <w:szCs w:val="18"/>
          <w:color w:val="auto"/>
        </w:rPr>
        <w:t>International expansion remains one of our largest opportunities over the near and long</w:t>
      </w:r>
      <w:r>
        <w:rPr>
          <w:rFonts w:ascii="Arial" w:cs="Arial" w:eastAsia="Arial" w:hAnsi="Arial"/>
          <w:sz w:val="18"/>
          <w:szCs w:val="18"/>
          <w:b w:val="1"/>
          <w:bCs w:val="1"/>
          <w:color w:val="auto"/>
        </w:rPr>
        <w:t xml:space="preserve"> </w:t>
      </w:r>
      <w:r>
        <w:rPr>
          <w:rFonts w:ascii="Arial" w:cs="Arial" w:eastAsia="Arial" w:hAnsi="Arial"/>
          <w:sz w:val="18"/>
          <w:szCs w:val="18"/>
          <w:color w:val="auto"/>
        </w:rPr>
        <w:t>term. Vilebrequin, along with our acquisition of Karl Lagerfeld, has helped establish our international presence, and we are in the early stages of global expansion for DKNY. Importantly, several of our newly added licenses provide an opportunity for international distribution. We continue to actively invest in and build upon our capabilities to support our international business. We intend to leverage the strength of our brands and our ability to connect with customers to grow our brands internationally and unlock incremental sales in new global markets. In fiscal 2026, we generated approximately $672.1 million in net sales outside the United States, or approximately 23% of total net sales.</w:t>
      </w:r>
    </w:p>
    <w:p>
      <w:pPr>
        <w:spacing w:after="0" w:line="172" w:lineRule="exact"/>
        <w:rPr>
          <w:rFonts w:ascii="Times New Roman" w:cs="Times New Roman" w:eastAsia="Times New Roman" w:hAnsi="Times New Roman"/>
          <w:sz w:val="18"/>
          <w:szCs w:val="18"/>
          <w:color w:val="4A7EBB"/>
        </w:rPr>
      </w:pPr>
    </w:p>
    <w:p>
      <w:pPr>
        <w:jc w:val="both"/>
        <w:ind w:left="680" w:hanging="321"/>
        <w:spacing w:after="0" w:line="239" w:lineRule="auto"/>
        <w:tabs>
          <w:tab w:leader="none" w:pos="680" w:val="left"/>
        </w:tabs>
        <w:numPr>
          <w:ilvl w:val="0"/>
          <w:numId w:val="38"/>
        </w:numPr>
        <w:rPr>
          <w:rFonts w:ascii="Times New Roman" w:cs="Times New Roman" w:eastAsia="Times New Roman" w:hAnsi="Times New Roman"/>
          <w:sz w:val="18"/>
          <w:szCs w:val="18"/>
          <w:color w:val="4A7EBB"/>
        </w:rPr>
      </w:pPr>
      <w:r>
        <w:rPr>
          <w:rFonts w:ascii="Arial" w:cs="Arial" w:eastAsia="Arial" w:hAnsi="Arial"/>
          <w:sz w:val="18"/>
          <w:szCs w:val="18"/>
          <w:b w:val="1"/>
          <w:bCs w:val="1"/>
          <w:color w:val="auto"/>
        </w:rPr>
        <w:t xml:space="preserve">Enhance our omni-channel capabilities: </w:t>
      </w:r>
      <w:r>
        <w:rPr>
          <w:rFonts w:ascii="Arial" w:cs="Arial" w:eastAsia="Arial" w:hAnsi="Arial"/>
          <w:sz w:val="18"/>
          <w:szCs w:val="18"/>
          <w:color w:val="auto"/>
        </w:rPr>
        <w:t>The Company aims to enhance its omni-channel capabilities to meet the</w:t>
      </w:r>
      <w:r>
        <w:rPr>
          <w:rFonts w:ascii="Arial" w:cs="Arial" w:eastAsia="Arial" w:hAnsi="Arial"/>
          <w:sz w:val="18"/>
          <w:szCs w:val="18"/>
          <w:b w:val="1"/>
          <w:bCs w:val="1"/>
          <w:color w:val="auto"/>
        </w:rPr>
        <w:t xml:space="preserve"> </w:t>
      </w:r>
      <w:r>
        <w:rPr>
          <w:rFonts w:ascii="Arial" w:cs="Arial" w:eastAsia="Arial" w:hAnsi="Arial"/>
          <w:sz w:val="18"/>
          <w:szCs w:val="18"/>
          <w:color w:val="auto"/>
        </w:rPr>
        <w:t>customer wherever they shop, delivering growth online and in stores. In North America, we executed well on our retail segment turnaround strategy, which included management changes, reducing our store footprint, and rebasing our merchandising strategy to present a better brand and consumer experience. These initiatives are improving productivity in our direct-to-consumer business for Karl Lagerfeld and DKNY in North America. We are making targeted investments to strengthen our global go-to-market execution, including enhanced data capabilities, upgrades to our owned brand websites and expanded digital partnerships. We are leveraging deeper consumer insights to inform design and merchandising, while improving product presentation across owned and partner platforms to enhance the customer experience and drive conversion.</w:t>
      </w:r>
    </w:p>
    <w:p>
      <w:pPr>
        <w:spacing w:after="0" w:line="16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ended fiscal 2026 in a strong financial position with over $400 million in cash on our balance sheet with no borrowings on our $700 million revolving credit facility, as well as healthy inventory levels, down approximately 4% to last year. We also instituted a cash dividend and continued to repurchase our stock, returning over $50 million to stockholders as well as investing in strategic initiatives to fuel our growth. Our healthy balance sheet and solid credit profile provides us with ample flexibility to make future investments to drive expansion.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518160</wp:posOffset>
            </wp:positionV>
            <wp:extent cx="629221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2026 PROXY STATEMENT </w:t>
      </w:r>
      <w:r>
        <w:rPr>
          <w:rFonts w:ascii="Arial" w:cs="Arial" w:eastAsia="Arial" w:hAnsi="Arial"/>
          <w:sz w:val="19"/>
          <w:szCs w:val="19"/>
          <w:color w:val="808080"/>
        </w:rPr>
        <w:t>/</w:t>
      </w:r>
      <w:r>
        <w:rPr>
          <w:rFonts w:ascii="Arial" w:cs="Arial" w:eastAsia="Arial" w:hAnsi="Arial"/>
          <w:sz w:val="16"/>
          <w:szCs w:val="16"/>
          <w:color w:val="auto"/>
        </w:rPr>
        <w:t xml:space="preserve"> </w:t>
      </w:r>
      <w:r>
        <w:rPr>
          <w:rFonts w:ascii="Arial" w:cs="Arial" w:eastAsia="Arial" w:hAnsi="Arial"/>
          <w:sz w:val="19"/>
          <w:szCs w:val="19"/>
          <w:b w:val="1"/>
          <w:bCs w:val="1"/>
          <w:color w:val="4A7EBB"/>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356235</wp:posOffset>
            </wp:positionV>
            <wp:extent cx="629221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17780</wp:posOffset>
            </wp:positionV>
            <wp:extent cx="62490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49035"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Arial" w:cs="Arial" w:eastAsia="Arial" w:hAnsi="Arial"/>
          <w:sz w:val="29"/>
          <w:szCs w:val="29"/>
          <w:b w:val="1"/>
          <w:bCs w:val="1"/>
          <w:color w:val="4A7EBB"/>
        </w:rPr>
        <w:t>Our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6985</wp:posOffset>
            </wp:positionV>
            <wp:extent cx="5031740" cy="7461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031740" cy="746125"/>
                    </a:xfrm>
                    <a:prstGeom prst="rect">
                      <a:avLst/>
                    </a:prstGeom>
                    <a:noFill/>
                  </pic:spPr>
                </pic:pic>
              </a:graphicData>
            </a:graphic>
          </wp:anchor>
        </w:drawing>
      </w:r>
    </w:p>
    <w:p>
      <w:pPr>
        <w:spacing w:after="0" w:line="179" w:lineRule="exact"/>
        <w:rPr>
          <w:sz w:val="20"/>
          <w:szCs w:val="20"/>
          <w:color w:val="auto"/>
        </w:rPr>
      </w:pPr>
    </w:p>
    <w:p>
      <w:pPr>
        <w:jc w:val="both"/>
        <w:ind w:left="1540" w:right="1100"/>
        <w:spacing w:after="0" w:line="255" w:lineRule="auto"/>
        <w:rPr>
          <w:sz w:val="20"/>
          <w:szCs w:val="20"/>
          <w:color w:val="auto"/>
        </w:rPr>
      </w:pPr>
      <w:r>
        <w:rPr>
          <w:rFonts w:ascii="Arial" w:cs="Arial" w:eastAsia="Arial" w:hAnsi="Arial"/>
          <w:sz w:val="18"/>
          <w:szCs w:val="18"/>
          <w:b w:val="1"/>
          <w:bCs w:val="1"/>
          <w:color w:val="auto"/>
        </w:rPr>
        <w:t xml:space="preserve">The Board of Directors recommends that stockholders vote </w:t>
      </w:r>
      <w:r>
        <w:rPr>
          <w:rFonts w:ascii="Arial" w:cs="Arial" w:eastAsia="Arial" w:hAnsi="Arial"/>
          <w:sz w:val="21"/>
          <w:szCs w:val="21"/>
          <w:b w:val="1"/>
          <w:bCs w:val="1"/>
          <w:color w:val="4A7EBB"/>
        </w:rPr>
        <w:t>FOR</w:t>
      </w:r>
      <w:r>
        <w:rPr>
          <w:rFonts w:ascii="Arial" w:cs="Arial" w:eastAsia="Arial" w:hAnsi="Arial"/>
          <w:sz w:val="18"/>
          <w:szCs w:val="18"/>
          <w:b w:val="1"/>
          <w:bCs w:val="1"/>
          <w:color w:val="auto"/>
        </w:rPr>
        <w:t xml:space="preserve"> Proposal No. 1 to elect eleven directors to serve on our Board of Directors for the ensuing year. Robert L. Johnson and Laura Pomerantz, both current directors, have decided not to stand for reelection at the Annual Meeting.</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Our director nominees are listed below.</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700" w:type="dxa"/>
            <w:vAlign w:val="bottom"/>
            <w:tcBorders>
              <w:top w:val="single" w:sz="8" w:color="4A7EBB"/>
              <w:bottom w:val="single" w:sz="8" w:color="DBE5F1"/>
            </w:tcBorders>
            <w:shd w:val="clear" w:color="auto" w:fill="DBE5F1"/>
          </w:tcPr>
          <w:p>
            <w:pPr>
              <w:spacing w:after="0"/>
              <w:rPr>
                <w:sz w:val="16"/>
                <w:szCs w:val="16"/>
                <w:color w:val="auto"/>
              </w:rPr>
            </w:pPr>
          </w:p>
        </w:tc>
        <w:tc>
          <w:tcPr>
            <w:tcW w:w="960" w:type="dxa"/>
            <w:vAlign w:val="bottom"/>
            <w:tcBorders>
              <w:top w:val="single" w:sz="8" w:color="4A7EBB"/>
              <w:bottom w:val="single" w:sz="8" w:color="DBE5F1"/>
            </w:tcBorders>
            <w:shd w:val="clear" w:color="auto" w:fill="DBE5F1"/>
          </w:tcPr>
          <w:p>
            <w:pPr>
              <w:spacing w:after="0"/>
              <w:rPr>
                <w:sz w:val="16"/>
                <w:szCs w:val="16"/>
                <w:color w:val="auto"/>
              </w:rPr>
            </w:pPr>
          </w:p>
        </w:tc>
        <w:tc>
          <w:tcPr>
            <w:tcW w:w="340" w:type="dxa"/>
            <w:vAlign w:val="bottom"/>
            <w:tcBorders>
              <w:top w:val="single" w:sz="8" w:color="4A7EBB"/>
              <w:bottom w:val="single" w:sz="8" w:color="DBE5F1"/>
            </w:tcBorders>
            <w:shd w:val="clear" w:color="auto" w:fill="DBE5F1"/>
          </w:tcPr>
          <w:p>
            <w:pPr>
              <w:spacing w:after="0"/>
              <w:rPr>
                <w:sz w:val="16"/>
                <w:szCs w:val="16"/>
                <w:color w:val="auto"/>
              </w:rPr>
            </w:pPr>
          </w:p>
        </w:tc>
        <w:tc>
          <w:tcPr>
            <w:tcW w:w="400" w:type="dxa"/>
            <w:vAlign w:val="bottom"/>
            <w:tcBorders>
              <w:top w:val="single" w:sz="8" w:color="4A7EBB"/>
              <w:bottom w:val="single" w:sz="8" w:color="DBE5F1"/>
            </w:tcBorders>
            <w:shd w:val="clear" w:color="auto" w:fill="DBE5F1"/>
          </w:tcPr>
          <w:p>
            <w:pPr>
              <w:spacing w:after="0"/>
              <w:rPr>
                <w:sz w:val="16"/>
                <w:szCs w:val="16"/>
                <w:color w:val="auto"/>
              </w:rPr>
            </w:pPr>
          </w:p>
        </w:tc>
        <w:tc>
          <w:tcPr>
            <w:tcW w:w="1100" w:type="dxa"/>
            <w:vAlign w:val="bottom"/>
            <w:tcBorders>
              <w:top w:val="single" w:sz="8" w:color="4A7EBB"/>
              <w:bottom w:val="single" w:sz="8" w:color="DBE5F1"/>
            </w:tcBorders>
            <w:shd w:val="clear" w:color="auto" w:fill="DBE5F1"/>
          </w:tcPr>
          <w:p>
            <w:pPr>
              <w:spacing w:after="0"/>
              <w:rPr>
                <w:sz w:val="16"/>
                <w:szCs w:val="16"/>
                <w:color w:val="auto"/>
              </w:rPr>
            </w:pPr>
          </w:p>
        </w:tc>
        <w:tc>
          <w:tcPr>
            <w:tcW w:w="1320" w:type="dxa"/>
            <w:vAlign w:val="bottom"/>
            <w:tcBorders>
              <w:top w:val="single" w:sz="8" w:color="4A7EBB"/>
              <w:bottom w:val="single" w:sz="8" w:color="DBE5F1"/>
            </w:tcBorders>
            <w:shd w:val="clear" w:color="auto" w:fill="DBE5F1"/>
          </w:tcPr>
          <w:p>
            <w:pPr>
              <w:spacing w:after="0"/>
              <w:rPr>
                <w:sz w:val="16"/>
                <w:szCs w:val="16"/>
                <w:color w:val="auto"/>
              </w:rPr>
            </w:pPr>
          </w:p>
        </w:tc>
        <w:tc>
          <w:tcPr>
            <w:tcW w:w="780" w:type="dxa"/>
            <w:vAlign w:val="bottom"/>
            <w:tcBorders>
              <w:top w:val="single" w:sz="8" w:color="4A7EBB"/>
              <w:bottom w:val="single" w:sz="8" w:color="4A7EBB"/>
            </w:tcBorders>
            <w:shd w:val="clear" w:color="auto" w:fill="DBE5F1"/>
          </w:tcPr>
          <w:p>
            <w:pPr>
              <w:spacing w:after="0"/>
              <w:rPr>
                <w:sz w:val="16"/>
                <w:szCs w:val="16"/>
                <w:color w:val="auto"/>
              </w:rPr>
            </w:pPr>
          </w:p>
        </w:tc>
        <w:tc>
          <w:tcPr>
            <w:tcW w:w="3320" w:type="dxa"/>
            <w:vAlign w:val="bottom"/>
            <w:tcBorders>
              <w:top w:val="single" w:sz="8" w:color="4A7EBB"/>
              <w:bottom w:val="single" w:sz="8" w:color="4A7EBB"/>
            </w:tcBorders>
            <w:gridSpan w:val="2"/>
            <w:shd w:val="clear" w:color="auto" w:fill="DBE5F1"/>
          </w:tcPr>
          <w:p>
            <w:pPr>
              <w:jc w:val="right"/>
              <w:ind w:right="833"/>
              <w:spacing w:after="0"/>
              <w:rPr>
                <w:sz w:val="20"/>
                <w:szCs w:val="20"/>
                <w:color w:val="auto"/>
              </w:rPr>
            </w:pPr>
            <w:r>
              <w:rPr>
                <w:rFonts w:ascii="Arial" w:cs="Arial" w:eastAsia="Arial" w:hAnsi="Arial"/>
                <w:sz w:val="16"/>
                <w:szCs w:val="16"/>
                <w:b w:val="1"/>
                <w:bCs w:val="1"/>
                <w:color w:val="auto"/>
              </w:rPr>
              <w:t>Committee and Board Roles</w:t>
            </w:r>
          </w:p>
        </w:tc>
        <w:tc>
          <w:tcPr>
            <w:tcW w:w="0" w:type="dxa"/>
            <w:vAlign w:val="bottom"/>
          </w:tcPr>
          <w:p>
            <w:pPr>
              <w:spacing w:after="0"/>
              <w:rPr>
                <w:sz w:val="1"/>
                <w:szCs w:val="1"/>
                <w:color w:val="auto"/>
              </w:rPr>
            </w:pPr>
          </w:p>
        </w:tc>
      </w:tr>
      <w:tr>
        <w:trPr>
          <w:trHeight w:val="155"/>
        </w:trPr>
        <w:tc>
          <w:tcPr>
            <w:tcW w:w="1700" w:type="dxa"/>
            <w:vAlign w:val="bottom"/>
            <w:vMerge w:val="restart"/>
            <w:shd w:val="clear" w:color="auto" w:fill="DBE5F1"/>
          </w:tcPr>
          <w:p>
            <w:pPr>
              <w:ind w:left="120"/>
              <w:spacing w:after="0"/>
              <w:rPr>
                <w:sz w:val="20"/>
                <w:szCs w:val="20"/>
                <w:color w:val="auto"/>
              </w:rPr>
            </w:pPr>
            <w:r>
              <w:rPr>
                <w:rFonts w:ascii="Arial" w:cs="Arial" w:eastAsia="Arial" w:hAnsi="Arial"/>
                <w:sz w:val="16"/>
                <w:szCs w:val="16"/>
                <w:b w:val="1"/>
                <w:bCs w:val="1"/>
                <w:color w:val="auto"/>
              </w:rPr>
              <w:t>Name and</w:t>
            </w:r>
          </w:p>
        </w:tc>
        <w:tc>
          <w:tcPr>
            <w:tcW w:w="960" w:type="dxa"/>
            <w:vAlign w:val="bottom"/>
            <w:shd w:val="clear" w:color="auto" w:fill="DBE5F1"/>
          </w:tcPr>
          <w:p>
            <w:pPr>
              <w:spacing w:after="0"/>
              <w:rPr>
                <w:sz w:val="13"/>
                <w:szCs w:val="13"/>
                <w:color w:val="auto"/>
              </w:rPr>
            </w:pPr>
          </w:p>
        </w:tc>
        <w:tc>
          <w:tcPr>
            <w:tcW w:w="340" w:type="dxa"/>
            <w:vAlign w:val="bottom"/>
            <w:shd w:val="clear" w:color="auto" w:fill="DBE5F1"/>
          </w:tcPr>
          <w:p>
            <w:pPr>
              <w:spacing w:after="0"/>
              <w:rPr>
                <w:sz w:val="13"/>
                <w:szCs w:val="13"/>
                <w:color w:val="auto"/>
              </w:rPr>
            </w:pPr>
          </w:p>
        </w:tc>
        <w:tc>
          <w:tcPr>
            <w:tcW w:w="400" w:type="dxa"/>
            <w:vAlign w:val="bottom"/>
            <w:shd w:val="clear" w:color="auto" w:fill="DBE5F1"/>
          </w:tcPr>
          <w:p>
            <w:pPr>
              <w:spacing w:after="0"/>
              <w:rPr>
                <w:sz w:val="13"/>
                <w:szCs w:val="13"/>
                <w:color w:val="auto"/>
              </w:rPr>
            </w:pPr>
          </w:p>
        </w:tc>
        <w:tc>
          <w:tcPr>
            <w:tcW w:w="1100" w:type="dxa"/>
            <w:vAlign w:val="bottom"/>
            <w:vMerge w:val="restart"/>
            <w:shd w:val="clear" w:color="auto" w:fill="DBE5F1"/>
          </w:tcPr>
          <w:p>
            <w:pPr>
              <w:jc w:val="right"/>
              <w:ind w:right="139"/>
              <w:spacing w:after="0"/>
              <w:rPr>
                <w:sz w:val="20"/>
                <w:szCs w:val="20"/>
                <w:color w:val="auto"/>
              </w:rPr>
            </w:pPr>
            <w:r>
              <w:rPr>
                <w:rFonts w:ascii="Arial" w:cs="Arial" w:eastAsia="Arial" w:hAnsi="Arial"/>
                <w:sz w:val="16"/>
                <w:szCs w:val="16"/>
                <w:b w:val="1"/>
                <w:bCs w:val="1"/>
                <w:color w:val="auto"/>
              </w:rPr>
              <w:t>Director</w:t>
            </w:r>
          </w:p>
        </w:tc>
        <w:tc>
          <w:tcPr>
            <w:tcW w:w="1320" w:type="dxa"/>
            <w:vAlign w:val="bottom"/>
            <w:shd w:val="clear" w:color="auto" w:fill="DBE5F1"/>
          </w:tcPr>
          <w:p>
            <w:pPr>
              <w:spacing w:after="0"/>
              <w:rPr>
                <w:sz w:val="13"/>
                <w:szCs w:val="13"/>
                <w:color w:val="auto"/>
              </w:rPr>
            </w:pPr>
          </w:p>
        </w:tc>
        <w:tc>
          <w:tcPr>
            <w:tcW w:w="780" w:type="dxa"/>
            <w:vAlign w:val="bottom"/>
            <w:shd w:val="clear" w:color="auto" w:fill="DBE5F1"/>
          </w:tcPr>
          <w:p>
            <w:pPr>
              <w:spacing w:after="0"/>
              <w:rPr>
                <w:sz w:val="13"/>
                <w:szCs w:val="13"/>
                <w:color w:val="auto"/>
              </w:rPr>
            </w:pPr>
          </w:p>
        </w:tc>
        <w:tc>
          <w:tcPr>
            <w:tcW w:w="1680" w:type="dxa"/>
            <w:vAlign w:val="bottom"/>
            <w:shd w:val="clear" w:color="auto" w:fill="DBE5F1"/>
          </w:tcPr>
          <w:p>
            <w:pPr>
              <w:spacing w:after="0"/>
              <w:rPr>
                <w:sz w:val="13"/>
                <w:szCs w:val="13"/>
                <w:color w:val="auto"/>
              </w:rPr>
            </w:pPr>
          </w:p>
        </w:tc>
        <w:tc>
          <w:tcPr>
            <w:tcW w:w="1640" w:type="dxa"/>
            <w:vAlign w:val="bottom"/>
            <w:shd w:val="clear" w:color="auto" w:fill="DBE5F1"/>
          </w:tcPr>
          <w:p>
            <w:pPr>
              <w:jc w:val="center"/>
              <w:ind w:left="253"/>
              <w:spacing w:after="0" w:line="155" w:lineRule="exact"/>
              <w:rPr>
                <w:sz w:val="20"/>
                <w:szCs w:val="20"/>
                <w:color w:val="auto"/>
              </w:rPr>
            </w:pPr>
            <w:r>
              <w:rPr>
                <w:rFonts w:ascii="Arial" w:cs="Arial" w:eastAsia="Arial" w:hAnsi="Arial"/>
                <w:sz w:val="16"/>
                <w:szCs w:val="16"/>
                <w:b w:val="1"/>
                <w:bCs w:val="1"/>
                <w:color w:val="auto"/>
              </w:rPr>
              <w:t>Nominating &amp;</w:t>
            </w:r>
          </w:p>
        </w:tc>
        <w:tc>
          <w:tcPr>
            <w:tcW w:w="0" w:type="dxa"/>
            <w:vAlign w:val="bottom"/>
          </w:tcPr>
          <w:p>
            <w:pPr>
              <w:spacing w:after="0"/>
              <w:rPr>
                <w:sz w:val="1"/>
                <w:szCs w:val="1"/>
                <w:color w:val="auto"/>
              </w:rPr>
            </w:pPr>
          </w:p>
        </w:tc>
      </w:tr>
      <w:tr>
        <w:trPr>
          <w:trHeight w:val="176"/>
        </w:trPr>
        <w:tc>
          <w:tcPr>
            <w:tcW w:w="1700" w:type="dxa"/>
            <w:vAlign w:val="bottom"/>
            <w:vMerge w:val="continue"/>
            <w:shd w:val="clear" w:color="auto" w:fill="DBE5F1"/>
          </w:tcPr>
          <w:p>
            <w:pPr>
              <w:spacing w:after="0"/>
              <w:rPr>
                <w:sz w:val="15"/>
                <w:szCs w:val="15"/>
                <w:color w:val="auto"/>
              </w:rPr>
            </w:pPr>
          </w:p>
        </w:tc>
        <w:tc>
          <w:tcPr>
            <w:tcW w:w="960" w:type="dxa"/>
            <w:vAlign w:val="bottom"/>
            <w:shd w:val="clear" w:color="auto" w:fill="DBE5F1"/>
          </w:tcPr>
          <w:p>
            <w:pPr>
              <w:spacing w:after="0"/>
              <w:rPr>
                <w:sz w:val="15"/>
                <w:szCs w:val="15"/>
                <w:color w:val="auto"/>
              </w:rPr>
            </w:pPr>
          </w:p>
        </w:tc>
        <w:tc>
          <w:tcPr>
            <w:tcW w:w="340" w:type="dxa"/>
            <w:vAlign w:val="bottom"/>
            <w:shd w:val="clear" w:color="auto" w:fill="DBE5F1"/>
          </w:tcPr>
          <w:p>
            <w:pPr>
              <w:spacing w:after="0"/>
              <w:rPr>
                <w:sz w:val="15"/>
                <w:szCs w:val="15"/>
                <w:color w:val="auto"/>
              </w:rPr>
            </w:pPr>
          </w:p>
        </w:tc>
        <w:tc>
          <w:tcPr>
            <w:tcW w:w="400" w:type="dxa"/>
            <w:vAlign w:val="bottom"/>
            <w:vMerge w:val="restart"/>
            <w:shd w:val="clear" w:color="auto" w:fill="DBE5F1"/>
          </w:tcPr>
          <w:p>
            <w:pPr>
              <w:ind w:left="20"/>
              <w:spacing w:after="0"/>
              <w:rPr>
                <w:sz w:val="20"/>
                <w:szCs w:val="20"/>
                <w:color w:val="auto"/>
              </w:rPr>
            </w:pPr>
            <w:r>
              <w:rPr>
                <w:rFonts w:ascii="Arial" w:cs="Arial" w:eastAsia="Arial" w:hAnsi="Arial"/>
                <w:sz w:val="16"/>
                <w:szCs w:val="16"/>
                <w:b w:val="1"/>
                <w:bCs w:val="1"/>
                <w:color w:val="auto"/>
              </w:rPr>
              <w:t>Age</w:t>
            </w:r>
          </w:p>
        </w:tc>
        <w:tc>
          <w:tcPr>
            <w:tcW w:w="1100" w:type="dxa"/>
            <w:vAlign w:val="bottom"/>
            <w:vMerge w:val="continue"/>
            <w:shd w:val="clear" w:color="auto" w:fill="DBE5F1"/>
          </w:tcPr>
          <w:p>
            <w:pPr>
              <w:spacing w:after="0"/>
              <w:rPr>
                <w:sz w:val="15"/>
                <w:szCs w:val="15"/>
                <w:color w:val="auto"/>
              </w:rPr>
            </w:pPr>
          </w:p>
        </w:tc>
        <w:tc>
          <w:tcPr>
            <w:tcW w:w="1320" w:type="dxa"/>
            <w:vAlign w:val="bottom"/>
            <w:vMerge w:val="restart"/>
            <w:shd w:val="clear" w:color="auto" w:fill="DBE5F1"/>
          </w:tcPr>
          <w:p>
            <w:pPr>
              <w:ind w:left="140"/>
              <w:spacing w:after="0"/>
              <w:rPr>
                <w:sz w:val="20"/>
                <w:szCs w:val="20"/>
                <w:color w:val="auto"/>
              </w:rPr>
            </w:pPr>
            <w:r>
              <w:rPr>
                <w:rFonts w:ascii="Arial" w:cs="Arial" w:eastAsia="Arial" w:hAnsi="Arial"/>
                <w:sz w:val="16"/>
                <w:szCs w:val="16"/>
                <w:b w:val="1"/>
                <w:bCs w:val="1"/>
                <w:color w:val="auto"/>
              </w:rPr>
              <w:t>Independent</w:t>
            </w:r>
          </w:p>
        </w:tc>
        <w:tc>
          <w:tcPr>
            <w:tcW w:w="780" w:type="dxa"/>
            <w:vAlign w:val="bottom"/>
            <w:vMerge w:val="restart"/>
            <w:shd w:val="clear" w:color="auto" w:fill="DBE5F1"/>
          </w:tcPr>
          <w:p>
            <w:pPr>
              <w:jc w:val="right"/>
              <w:ind w:right="35"/>
              <w:spacing w:after="0"/>
              <w:rPr>
                <w:sz w:val="20"/>
                <w:szCs w:val="20"/>
                <w:color w:val="auto"/>
              </w:rPr>
            </w:pPr>
            <w:r>
              <w:rPr>
                <w:rFonts w:ascii="Arial" w:cs="Arial" w:eastAsia="Arial" w:hAnsi="Arial"/>
                <w:sz w:val="16"/>
                <w:szCs w:val="16"/>
                <w:b w:val="1"/>
                <w:bCs w:val="1"/>
                <w:color w:val="auto"/>
              </w:rPr>
              <w:t>Audit</w:t>
            </w:r>
          </w:p>
        </w:tc>
        <w:tc>
          <w:tcPr>
            <w:tcW w:w="1680" w:type="dxa"/>
            <w:vAlign w:val="bottom"/>
            <w:vMerge w:val="restart"/>
            <w:shd w:val="clear" w:color="auto" w:fill="DBE5F1"/>
          </w:tcPr>
          <w:p>
            <w:pPr>
              <w:jc w:val="center"/>
              <w:ind w:left="364"/>
              <w:spacing w:after="0"/>
              <w:rPr>
                <w:sz w:val="20"/>
                <w:szCs w:val="20"/>
                <w:color w:val="auto"/>
              </w:rPr>
            </w:pPr>
            <w:r>
              <w:rPr>
                <w:rFonts w:ascii="Arial" w:cs="Arial" w:eastAsia="Arial" w:hAnsi="Arial"/>
                <w:sz w:val="16"/>
                <w:szCs w:val="16"/>
                <w:b w:val="1"/>
                <w:bCs w:val="1"/>
                <w:color w:val="auto"/>
              </w:rPr>
              <w:t>Compensation</w:t>
            </w:r>
          </w:p>
        </w:tc>
        <w:tc>
          <w:tcPr>
            <w:tcW w:w="1640" w:type="dxa"/>
            <w:vAlign w:val="bottom"/>
            <w:shd w:val="clear" w:color="auto" w:fill="DBE5F1"/>
          </w:tcPr>
          <w:p>
            <w:pPr>
              <w:jc w:val="center"/>
              <w:ind w:left="253"/>
              <w:spacing w:after="0" w:line="175" w:lineRule="exact"/>
              <w:rPr>
                <w:sz w:val="20"/>
                <w:szCs w:val="20"/>
                <w:color w:val="auto"/>
              </w:rPr>
            </w:pPr>
            <w:r>
              <w:rPr>
                <w:rFonts w:ascii="Arial" w:cs="Arial" w:eastAsia="Arial" w:hAnsi="Arial"/>
                <w:sz w:val="16"/>
                <w:szCs w:val="16"/>
                <w:b w:val="1"/>
                <w:bCs w:val="1"/>
                <w:color w:val="auto"/>
              </w:rPr>
              <w:t>Corporate</w:t>
            </w:r>
          </w:p>
        </w:tc>
        <w:tc>
          <w:tcPr>
            <w:tcW w:w="0" w:type="dxa"/>
            <w:vAlign w:val="bottom"/>
          </w:tcPr>
          <w:p>
            <w:pPr>
              <w:spacing w:after="0"/>
              <w:rPr>
                <w:sz w:val="1"/>
                <w:szCs w:val="1"/>
                <w:color w:val="auto"/>
              </w:rPr>
            </w:pPr>
          </w:p>
        </w:tc>
      </w:tr>
      <w:tr>
        <w:trPr>
          <w:trHeight w:val="203"/>
        </w:trPr>
        <w:tc>
          <w:tcPr>
            <w:tcW w:w="1700" w:type="dxa"/>
            <w:vAlign w:val="bottom"/>
            <w:tcBorders>
              <w:bottom w:val="single" w:sz="8" w:color="4A7EBB"/>
            </w:tcBorders>
            <w:shd w:val="clear" w:color="auto" w:fill="DBE5F1"/>
          </w:tcPr>
          <w:p>
            <w:pPr>
              <w:ind w:left="120"/>
              <w:spacing w:after="0"/>
              <w:rPr>
                <w:sz w:val="20"/>
                <w:szCs w:val="20"/>
                <w:color w:val="auto"/>
              </w:rPr>
            </w:pPr>
            <w:r>
              <w:rPr>
                <w:rFonts w:ascii="Arial" w:cs="Arial" w:eastAsia="Arial" w:hAnsi="Arial"/>
                <w:sz w:val="16"/>
                <w:szCs w:val="16"/>
                <w:b w:val="1"/>
                <w:bCs w:val="1"/>
                <w:color w:val="auto"/>
              </w:rPr>
              <w:t>Primary Occupation</w:t>
            </w:r>
          </w:p>
        </w:tc>
        <w:tc>
          <w:tcPr>
            <w:tcW w:w="960" w:type="dxa"/>
            <w:vAlign w:val="bottom"/>
            <w:tcBorders>
              <w:bottom w:val="single" w:sz="8" w:color="4A7EBB"/>
            </w:tcBorders>
            <w:shd w:val="clear" w:color="auto" w:fill="DBE5F1"/>
          </w:tcPr>
          <w:p>
            <w:pPr>
              <w:spacing w:after="0"/>
              <w:rPr>
                <w:sz w:val="17"/>
                <w:szCs w:val="17"/>
                <w:color w:val="auto"/>
              </w:rPr>
            </w:pPr>
          </w:p>
        </w:tc>
        <w:tc>
          <w:tcPr>
            <w:tcW w:w="340" w:type="dxa"/>
            <w:vAlign w:val="bottom"/>
            <w:tcBorders>
              <w:bottom w:val="single" w:sz="8" w:color="4A7EBB"/>
            </w:tcBorders>
            <w:shd w:val="clear" w:color="auto" w:fill="DBE5F1"/>
          </w:tcPr>
          <w:p>
            <w:pPr>
              <w:spacing w:after="0"/>
              <w:rPr>
                <w:sz w:val="17"/>
                <w:szCs w:val="17"/>
                <w:color w:val="auto"/>
              </w:rPr>
            </w:pPr>
          </w:p>
        </w:tc>
        <w:tc>
          <w:tcPr>
            <w:tcW w:w="400" w:type="dxa"/>
            <w:vAlign w:val="bottom"/>
            <w:tcBorders>
              <w:bottom w:val="single" w:sz="8" w:color="4A7EBB"/>
            </w:tcBorders>
            <w:vMerge w:val="continue"/>
            <w:shd w:val="clear" w:color="auto" w:fill="DBE5F1"/>
          </w:tcPr>
          <w:p>
            <w:pPr>
              <w:spacing w:after="0"/>
              <w:rPr>
                <w:sz w:val="17"/>
                <w:szCs w:val="17"/>
                <w:color w:val="auto"/>
              </w:rPr>
            </w:pPr>
          </w:p>
        </w:tc>
        <w:tc>
          <w:tcPr>
            <w:tcW w:w="1100" w:type="dxa"/>
            <w:vAlign w:val="bottom"/>
            <w:tcBorders>
              <w:bottom w:val="single" w:sz="8" w:color="4A7EBB"/>
            </w:tcBorders>
            <w:shd w:val="clear" w:color="auto" w:fill="DBE5F1"/>
          </w:tcPr>
          <w:p>
            <w:pPr>
              <w:jc w:val="right"/>
              <w:ind w:right="239"/>
              <w:spacing w:after="0"/>
              <w:rPr>
                <w:sz w:val="20"/>
                <w:szCs w:val="20"/>
                <w:color w:val="auto"/>
              </w:rPr>
            </w:pPr>
            <w:r>
              <w:rPr>
                <w:rFonts w:ascii="Arial" w:cs="Arial" w:eastAsia="Arial" w:hAnsi="Arial"/>
                <w:sz w:val="16"/>
                <w:szCs w:val="16"/>
                <w:b w:val="1"/>
                <w:bCs w:val="1"/>
                <w:color w:val="auto"/>
              </w:rPr>
              <w:t>since</w:t>
            </w:r>
          </w:p>
        </w:tc>
        <w:tc>
          <w:tcPr>
            <w:tcW w:w="1320" w:type="dxa"/>
            <w:vAlign w:val="bottom"/>
            <w:tcBorders>
              <w:bottom w:val="single" w:sz="8" w:color="4A7EBB"/>
            </w:tcBorders>
            <w:vMerge w:val="continue"/>
            <w:shd w:val="clear" w:color="auto" w:fill="DBE5F1"/>
          </w:tcPr>
          <w:p>
            <w:pPr>
              <w:spacing w:after="0"/>
              <w:rPr>
                <w:sz w:val="17"/>
                <w:szCs w:val="17"/>
                <w:color w:val="auto"/>
              </w:rPr>
            </w:pPr>
          </w:p>
        </w:tc>
        <w:tc>
          <w:tcPr>
            <w:tcW w:w="780" w:type="dxa"/>
            <w:vAlign w:val="bottom"/>
            <w:tcBorders>
              <w:bottom w:val="single" w:sz="8" w:color="4A7EBB"/>
            </w:tcBorders>
            <w:vMerge w:val="continue"/>
            <w:shd w:val="clear" w:color="auto" w:fill="DBE5F1"/>
          </w:tcPr>
          <w:p>
            <w:pPr>
              <w:spacing w:after="0"/>
              <w:rPr>
                <w:sz w:val="17"/>
                <w:szCs w:val="17"/>
                <w:color w:val="auto"/>
              </w:rPr>
            </w:pPr>
          </w:p>
        </w:tc>
        <w:tc>
          <w:tcPr>
            <w:tcW w:w="1680" w:type="dxa"/>
            <w:vAlign w:val="bottom"/>
            <w:tcBorders>
              <w:bottom w:val="single" w:sz="8" w:color="4A7EBB"/>
            </w:tcBorders>
            <w:vMerge w:val="continue"/>
            <w:shd w:val="clear" w:color="auto" w:fill="DBE5F1"/>
          </w:tcPr>
          <w:p>
            <w:pPr>
              <w:spacing w:after="0"/>
              <w:rPr>
                <w:sz w:val="17"/>
                <w:szCs w:val="17"/>
                <w:color w:val="auto"/>
              </w:rPr>
            </w:pPr>
          </w:p>
        </w:tc>
        <w:tc>
          <w:tcPr>
            <w:tcW w:w="1640" w:type="dxa"/>
            <w:vAlign w:val="bottom"/>
            <w:tcBorders>
              <w:bottom w:val="single" w:sz="8" w:color="4A7EBB"/>
            </w:tcBorders>
            <w:shd w:val="clear" w:color="auto" w:fill="DBE5F1"/>
          </w:tcPr>
          <w:p>
            <w:pPr>
              <w:jc w:val="right"/>
              <w:ind w:right="33"/>
              <w:spacing w:after="0"/>
              <w:rPr>
                <w:sz w:val="20"/>
                <w:szCs w:val="20"/>
                <w:color w:val="auto"/>
              </w:rPr>
            </w:pPr>
            <w:r>
              <w:rPr>
                <w:rFonts w:ascii="Arial" w:cs="Arial" w:eastAsia="Arial" w:hAnsi="Arial"/>
                <w:sz w:val="16"/>
                <w:szCs w:val="16"/>
                <w:b w:val="1"/>
                <w:bCs w:val="1"/>
                <w:color w:val="auto"/>
              </w:rPr>
              <w:t>Governance</w:t>
            </w:r>
          </w:p>
        </w:tc>
        <w:tc>
          <w:tcPr>
            <w:tcW w:w="0" w:type="dxa"/>
            <w:vAlign w:val="bottom"/>
          </w:tcPr>
          <w:p>
            <w:pPr>
              <w:spacing w:after="0"/>
              <w:rPr>
                <w:sz w:val="1"/>
                <w:szCs w:val="1"/>
                <w:color w:val="auto"/>
              </w:rPr>
            </w:pPr>
          </w:p>
        </w:tc>
      </w:tr>
      <w:tr>
        <w:trPr>
          <w:trHeight w:val="263"/>
        </w:trPr>
        <w:tc>
          <w:tcPr>
            <w:tcW w:w="1700" w:type="dxa"/>
            <w:vAlign w:val="bottom"/>
          </w:tcPr>
          <w:p>
            <w:pPr>
              <w:ind w:left="120"/>
              <w:spacing w:after="0"/>
              <w:rPr>
                <w:sz w:val="20"/>
                <w:szCs w:val="20"/>
                <w:color w:val="auto"/>
              </w:rPr>
            </w:pPr>
            <w:r>
              <w:rPr>
                <w:rFonts w:ascii="Arial" w:cs="Arial" w:eastAsia="Arial" w:hAnsi="Arial"/>
                <w:sz w:val="16"/>
                <w:szCs w:val="16"/>
                <w:b w:val="1"/>
                <w:bCs w:val="1"/>
                <w:color w:val="auto"/>
              </w:rPr>
              <w:t>Morris Goldfarb</w:t>
            </w:r>
          </w:p>
        </w:tc>
        <w:tc>
          <w:tcPr>
            <w:tcW w:w="96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75</w:t>
            </w:r>
          </w:p>
        </w:tc>
        <w:tc>
          <w:tcPr>
            <w:tcW w:w="400" w:type="dxa"/>
            <w:vAlign w:val="bottom"/>
          </w:tcPr>
          <w:p>
            <w:pPr>
              <w:spacing w:after="0"/>
              <w:rPr>
                <w:sz w:val="22"/>
                <w:szCs w:val="22"/>
                <w:color w:val="auto"/>
              </w:rPr>
            </w:pPr>
          </w:p>
        </w:tc>
        <w:tc>
          <w:tcPr>
            <w:tcW w:w="1100" w:type="dxa"/>
            <w:vAlign w:val="bottom"/>
          </w:tcPr>
          <w:p>
            <w:pPr>
              <w:jc w:val="right"/>
              <w:ind w:right="579"/>
              <w:spacing w:after="0"/>
              <w:rPr>
                <w:sz w:val="20"/>
                <w:szCs w:val="20"/>
                <w:color w:val="auto"/>
              </w:rPr>
            </w:pPr>
            <w:r>
              <w:rPr>
                <w:rFonts w:ascii="Arial" w:cs="Arial" w:eastAsia="Arial" w:hAnsi="Arial"/>
                <w:sz w:val="16"/>
                <w:szCs w:val="16"/>
                <w:color w:val="auto"/>
              </w:rPr>
              <w:t>1974</w:t>
            </w:r>
          </w:p>
        </w:tc>
        <w:tc>
          <w:tcPr>
            <w:tcW w:w="13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2660" w:type="dxa"/>
            <w:vAlign w:val="bottom"/>
            <w:tcBorders>
              <w:bottom w:val="single" w:sz="8" w:color="4A7EBB"/>
            </w:tcBorders>
            <w:gridSpan w:val="2"/>
          </w:tcPr>
          <w:p>
            <w:pPr>
              <w:ind w:left="120"/>
              <w:spacing w:after="0" w:line="175" w:lineRule="exact"/>
              <w:rPr>
                <w:sz w:val="20"/>
                <w:szCs w:val="20"/>
                <w:color w:val="auto"/>
              </w:rPr>
            </w:pPr>
            <w:r>
              <w:rPr>
                <w:rFonts w:ascii="Arial" w:cs="Arial" w:eastAsia="Arial" w:hAnsi="Arial"/>
                <w:sz w:val="16"/>
                <w:szCs w:val="16"/>
                <w:color w:val="auto"/>
              </w:rPr>
              <w:t>Chairman &amp; CEO, G-III</w:t>
            </w:r>
          </w:p>
        </w:tc>
        <w:tc>
          <w:tcPr>
            <w:tcW w:w="340" w:type="dxa"/>
            <w:vAlign w:val="bottom"/>
            <w:tcBorders>
              <w:bottom w:val="single" w:sz="8" w:color="4A7EBB"/>
            </w:tcBorders>
          </w:tcPr>
          <w:p>
            <w:pPr>
              <w:spacing w:after="0"/>
              <w:rPr>
                <w:sz w:val="15"/>
                <w:szCs w:val="15"/>
                <w:color w:val="auto"/>
              </w:rPr>
            </w:pPr>
          </w:p>
        </w:tc>
        <w:tc>
          <w:tcPr>
            <w:tcW w:w="400" w:type="dxa"/>
            <w:vAlign w:val="bottom"/>
            <w:tcBorders>
              <w:bottom w:val="single" w:sz="8" w:color="4A7EBB"/>
            </w:tcBorders>
          </w:tcPr>
          <w:p>
            <w:pPr>
              <w:spacing w:after="0"/>
              <w:rPr>
                <w:sz w:val="15"/>
                <w:szCs w:val="15"/>
                <w:color w:val="auto"/>
              </w:rPr>
            </w:pPr>
          </w:p>
        </w:tc>
        <w:tc>
          <w:tcPr>
            <w:tcW w:w="1100" w:type="dxa"/>
            <w:vAlign w:val="bottom"/>
            <w:tcBorders>
              <w:bottom w:val="single" w:sz="8" w:color="4A7EBB"/>
            </w:tcBorders>
          </w:tcPr>
          <w:p>
            <w:pPr>
              <w:spacing w:after="0"/>
              <w:rPr>
                <w:sz w:val="15"/>
                <w:szCs w:val="15"/>
                <w:color w:val="auto"/>
              </w:rPr>
            </w:pPr>
          </w:p>
        </w:tc>
        <w:tc>
          <w:tcPr>
            <w:tcW w:w="1320" w:type="dxa"/>
            <w:vAlign w:val="bottom"/>
            <w:tcBorders>
              <w:bottom w:val="single" w:sz="8" w:color="4A7EBB"/>
            </w:tcBorders>
          </w:tcPr>
          <w:p>
            <w:pPr>
              <w:spacing w:after="0"/>
              <w:rPr>
                <w:sz w:val="15"/>
                <w:szCs w:val="15"/>
                <w:color w:val="auto"/>
              </w:rPr>
            </w:pPr>
          </w:p>
        </w:tc>
        <w:tc>
          <w:tcPr>
            <w:tcW w:w="780" w:type="dxa"/>
            <w:vAlign w:val="bottom"/>
            <w:tcBorders>
              <w:bottom w:val="single" w:sz="8" w:color="4A7EBB"/>
            </w:tcBorders>
          </w:tcPr>
          <w:p>
            <w:pPr>
              <w:spacing w:after="0"/>
              <w:rPr>
                <w:sz w:val="15"/>
                <w:szCs w:val="15"/>
                <w:color w:val="auto"/>
              </w:rPr>
            </w:pPr>
          </w:p>
        </w:tc>
        <w:tc>
          <w:tcPr>
            <w:tcW w:w="1680" w:type="dxa"/>
            <w:vAlign w:val="bottom"/>
            <w:tcBorders>
              <w:bottom w:val="single" w:sz="8" w:color="4A7EBB"/>
            </w:tcBorders>
          </w:tcPr>
          <w:p>
            <w:pPr>
              <w:spacing w:after="0"/>
              <w:rPr>
                <w:sz w:val="15"/>
                <w:szCs w:val="15"/>
                <w:color w:val="auto"/>
              </w:rPr>
            </w:pPr>
          </w:p>
        </w:tc>
        <w:tc>
          <w:tcPr>
            <w:tcW w:w="1640" w:type="dxa"/>
            <w:vAlign w:val="bottom"/>
            <w:tcBorders>
              <w:bottom w:val="single" w:sz="8" w:color="4A7EBB"/>
            </w:tcBorders>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1700" w:type="dxa"/>
            <w:vAlign w:val="bottom"/>
            <w:shd w:val="clear" w:color="auto" w:fill="F2F2F2"/>
          </w:tcPr>
          <w:p>
            <w:pPr>
              <w:ind w:left="120"/>
              <w:spacing w:after="0" w:line="168" w:lineRule="exact"/>
              <w:rPr>
                <w:sz w:val="20"/>
                <w:szCs w:val="20"/>
                <w:color w:val="auto"/>
              </w:rPr>
            </w:pPr>
            <w:r>
              <w:rPr>
                <w:rFonts w:ascii="Arial" w:cs="Arial" w:eastAsia="Arial" w:hAnsi="Arial"/>
                <w:sz w:val="16"/>
                <w:szCs w:val="16"/>
                <w:b w:val="1"/>
                <w:bCs w:val="1"/>
                <w:color w:val="auto"/>
              </w:rPr>
              <w:t>Sammy Aaron</w:t>
            </w:r>
          </w:p>
        </w:tc>
        <w:tc>
          <w:tcPr>
            <w:tcW w:w="960" w:type="dxa"/>
            <w:vAlign w:val="bottom"/>
            <w:shd w:val="clear" w:color="auto" w:fill="F2F2F2"/>
          </w:tcPr>
          <w:p>
            <w:pPr>
              <w:spacing w:after="0"/>
              <w:rPr>
                <w:sz w:val="14"/>
                <w:szCs w:val="14"/>
                <w:color w:val="auto"/>
              </w:rPr>
            </w:pPr>
          </w:p>
        </w:tc>
        <w:tc>
          <w:tcPr>
            <w:tcW w:w="340" w:type="dxa"/>
            <w:vAlign w:val="bottom"/>
            <w:shd w:val="clear" w:color="auto" w:fill="F2F2F2"/>
          </w:tcPr>
          <w:p>
            <w:pPr>
              <w:spacing w:after="0"/>
              <w:rPr>
                <w:sz w:val="14"/>
                <w:szCs w:val="14"/>
                <w:color w:val="auto"/>
              </w:rPr>
            </w:pPr>
          </w:p>
        </w:tc>
        <w:tc>
          <w:tcPr>
            <w:tcW w:w="400" w:type="dxa"/>
            <w:vAlign w:val="bottom"/>
            <w:shd w:val="clear" w:color="auto" w:fill="F2F2F2"/>
          </w:tcPr>
          <w:p>
            <w:pPr>
              <w:spacing w:after="0"/>
              <w:rPr>
                <w:sz w:val="14"/>
                <w:szCs w:val="14"/>
                <w:color w:val="auto"/>
              </w:rPr>
            </w:pPr>
          </w:p>
        </w:tc>
        <w:tc>
          <w:tcPr>
            <w:tcW w:w="1100" w:type="dxa"/>
            <w:vAlign w:val="bottom"/>
            <w:shd w:val="clear" w:color="auto" w:fill="F2F2F2"/>
          </w:tcPr>
          <w:p>
            <w:pPr>
              <w:spacing w:after="0"/>
              <w:rPr>
                <w:sz w:val="14"/>
                <w:szCs w:val="14"/>
                <w:color w:val="auto"/>
              </w:rPr>
            </w:pPr>
          </w:p>
        </w:tc>
        <w:tc>
          <w:tcPr>
            <w:tcW w:w="1320" w:type="dxa"/>
            <w:vAlign w:val="bottom"/>
            <w:shd w:val="clear" w:color="auto" w:fill="F2F2F2"/>
          </w:tcPr>
          <w:p>
            <w:pPr>
              <w:spacing w:after="0"/>
              <w:rPr>
                <w:sz w:val="14"/>
                <w:szCs w:val="14"/>
                <w:color w:val="auto"/>
              </w:rPr>
            </w:pPr>
          </w:p>
        </w:tc>
        <w:tc>
          <w:tcPr>
            <w:tcW w:w="780" w:type="dxa"/>
            <w:vAlign w:val="bottom"/>
            <w:shd w:val="clear" w:color="auto" w:fill="F2F2F2"/>
          </w:tcPr>
          <w:p>
            <w:pPr>
              <w:spacing w:after="0"/>
              <w:rPr>
                <w:sz w:val="14"/>
                <w:szCs w:val="14"/>
                <w:color w:val="auto"/>
              </w:rPr>
            </w:pPr>
          </w:p>
        </w:tc>
        <w:tc>
          <w:tcPr>
            <w:tcW w:w="1680" w:type="dxa"/>
            <w:vAlign w:val="bottom"/>
            <w:shd w:val="clear" w:color="auto" w:fill="F2F2F2"/>
          </w:tcPr>
          <w:p>
            <w:pPr>
              <w:spacing w:after="0"/>
              <w:rPr>
                <w:sz w:val="14"/>
                <w:szCs w:val="14"/>
                <w:color w:val="auto"/>
              </w:rPr>
            </w:pPr>
          </w:p>
        </w:tc>
        <w:tc>
          <w:tcPr>
            <w:tcW w:w="1640" w:type="dxa"/>
            <w:vAlign w:val="bottom"/>
            <w:shd w:val="clear" w:color="auto" w:fill="F2F2F2"/>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660" w:type="dxa"/>
            <w:vAlign w:val="bottom"/>
            <w:gridSpan w:val="2"/>
            <w:shd w:val="clear" w:color="auto" w:fill="F2F2F2"/>
          </w:tcPr>
          <w:p>
            <w:pPr>
              <w:ind w:left="120"/>
              <w:spacing w:after="0"/>
              <w:rPr>
                <w:sz w:val="20"/>
                <w:szCs w:val="20"/>
                <w:color w:val="auto"/>
              </w:rPr>
            </w:pPr>
            <w:r>
              <w:rPr>
                <w:rFonts w:ascii="Arial" w:cs="Arial" w:eastAsia="Arial" w:hAnsi="Arial"/>
                <w:sz w:val="16"/>
                <w:szCs w:val="16"/>
                <w:color w:val="auto"/>
              </w:rPr>
              <w:t>Vice Chairman and President, G-</w:t>
            </w:r>
          </w:p>
        </w:tc>
        <w:tc>
          <w:tcPr>
            <w:tcW w:w="340" w:type="dxa"/>
            <w:vAlign w:val="bottom"/>
            <w:shd w:val="clear" w:color="auto" w:fill="F2F2F2"/>
          </w:tcPr>
          <w:p>
            <w:pPr>
              <w:jc w:val="right"/>
              <w:spacing w:after="0"/>
              <w:rPr>
                <w:sz w:val="20"/>
                <w:szCs w:val="20"/>
                <w:color w:val="auto"/>
              </w:rPr>
            </w:pPr>
            <w:r>
              <w:rPr>
                <w:rFonts w:ascii="Arial" w:cs="Arial" w:eastAsia="Arial" w:hAnsi="Arial"/>
                <w:sz w:val="16"/>
                <w:szCs w:val="16"/>
                <w:color w:val="auto"/>
              </w:rPr>
              <w:t>66</w:t>
            </w:r>
          </w:p>
        </w:tc>
        <w:tc>
          <w:tcPr>
            <w:tcW w:w="400" w:type="dxa"/>
            <w:vAlign w:val="bottom"/>
            <w:shd w:val="clear" w:color="auto" w:fill="F2F2F2"/>
          </w:tcPr>
          <w:p>
            <w:pPr>
              <w:spacing w:after="0"/>
              <w:rPr>
                <w:sz w:val="16"/>
                <w:szCs w:val="16"/>
                <w:color w:val="auto"/>
              </w:rPr>
            </w:pPr>
          </w:p>
        </w:tc>
        <w:tc>
          <w:tcPr>
            <w:tcW w:w="1100" w:type="dxa"/>
            <w:vAlign w:val="bottom"/>
            <w:shd w:val="clear" w:color="auto" w:fill="F2F2F2"/>
          </w:tcPr>
          <w:p>
            <w:pPr>
              <w:jc w:val="right"/>
              <w:ind w:right="579"/>
              <w:spacing w:after="0"/>
              <w:rPr>
                <w:sz w:val="20"/>
                <w:szCs w:val="20"/>
                <w:color w:val="auto"/>
              </w:rPr>
            </w:pPr>
            <w:r>
              <w:rPr>
                <w:rFonts w:ascii="Arial" w:cs="Arial" w:eastAsia="Arial" w:hAnsi="Arial"/>
                <w:sz w:val="16"/>
                <w:szCs w:val="16"/>
                <w:color w:val="auto"/>
              </w:rPr>
              <w:t>2005</w:t>
            </w:r>
          </w:p>
        </w:tc>
        <w:tc>
          <w:tcPr>
            <w:tcW w:w="1320" w:type="dxa"/>
            <w:vAlign w:val="bottom"/>
            <w:shd w:val="clear" w:color="auto" w:fill="F2F2F2"/>
          </w:tcPr>
          <w:p>
            <w:pPr>
              <w:spacing w:after="0"/>
              <w:rPr>
                <w:sz w:val="16"/>
                <w:szCs w:val="16"/>
                <w:color w:val="auto"/>
              </w:rPr>
            </w:pPr>
          </w:p>
        </w:tc>
        <w:tc>
          <w:tcPr>
            <w:tcW w:w="780" w:type="dxa"/>
            <w:vAlign w:val="bottom"/>
            <w:shd w:val="clear" w:color="auto" w:fill="F2F2F2"/>
          </w:tcPr>
          <w:p>
            <w:pPr>
              <w:spacing w:after="0"/>
              <w:rPr>
                <w:sz w:val="16"/>
                <w:szCs w:val="16"/>
                <w:color w:val="auto"/>
              </w:rPr>
            </w:pPr>
          </w:p>
        </w:tc>
        <w:tc>
          <w:tcPr>
            <w:tcW w:w="1680" w:type="dxa"/>
            <w:vAlign w:val="bottom"/>
            <w:shd w:val="clear" w:color="auto" w:fill="F2F2F2"/>
          </w:tcPr>
          <w:p>
            <w:pPr>
              <w:spacing w:after="0"/>
              <w:rPr>
                <w:sz w:val="16"/>
                <w:szCs w:val="16"/>
                <w:color w:val="auto"/>
              </w:rPr>
            </w:pPr>
          </w:p>
        </w:tc>
        <w:tc>
          <w:tcPr>
            <w:tcW w:w="1640" w:type="dxa"/>
            <w:vAlign w:val="bottom"/>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00" w:type="dxa"/>
            <w:vAlign w:val="bottom"/>
            <w:tcBorders>
              <w:bottom w:val="single" w:sz="8" w:color="4A7EBB"/>
            </w:tcBorders>
            <w:shd w:val="clear" w:color="auto" w:fill="F2F2F2"/>
          </w:tcPr>
          <w:p>
            <w:pPr>
              <w:ind w:left="120"/>
              <w:spacing w:after="0"/>
              <w:rPr>
                <w:sz w:val="20"/>
                <w:szCs w:val="20"/>
                <w:color w:val="auto"/>
              </w:rPr>
            </w:pPr>
            <w:r>
              <w:rPr>
                <w:rFonts w:ascii="Arial" w:cs="Arial" w:eastAsia="Arial" w:hAnsi="Arial"/>
                <w:sz w:val="16"/>
                <w:szCs w:val="16"/>
                <w:color w:val="auto"/>
              </w:rPr>
              <w:t>III</w:t>
            </w:r>
          </w:p>
        </w:tc>
        <w:tc>
          <w:tcPr>
            <w:tcW w:w="960" w:type="dxa"/>
            <w:vAlign w:val="bottom"/>
            <w:tcBorders>
              <w:bottom w:val="single" w:sz="8" w:color="4A7EBB"/>
            </w:tcBorders>
            <w:shd w:val="clear" w:color="auto" w:fill="F2F2F2"/>
          </w:tcPr>
          <w:p>
            <w:pPr>
              <w:spacing w:after="0"/>
              <w:rPr>
                <w:sz w:val="17"/>
                <w:szCs w:val="17"/>
                <w:color w:val="auto"/>
              </w:rPr>
            </w:pPr>
          </w:p>
        </w:tc>
        <w:tc>
          <w:tcPr>
            <w:tcW w:w="340" w:type="dxa"/>
            <w:vAlign w:val="bottom"/>
            <w:tcBorders>
              <w:bottom w:val="single" w:sz="8" w:color="4A7EBB"/>
            </w:tcBorders>
            <w:shd w:val="clear" w:color="auto" w:fill="F2F2F2"/>
          </w:tcPr>
          <w:p>
            <w:pPr>
              <w:spacing w:after="0"/>
              <w:rPr>
                <w:sz w:val="17"/>
                <w:szCs w:val="17"/>
                <w:color w:val="auto"/>
              </w:rPr>
            </w:pPr>
          </w:p>
        </w:tc>
        <w:tc>
          <w:tcPr>
            <w:tcW w:w="400" w:type="dxa"/>
            <w:vAlign w:val="bottom"/>
            <w:tcBorders>
              <w:bottom w:val="single" w:sz="8" w:color="4A7EBB"/>
            </w:tcBorders>
            <w:shd w:val="clear" w:color="auto" w:fill="F2F2F2"/>
          </w:tcPr>
          <w:p>
            <w:pPr>
              <w:spacing w:after="0"/>
              <w:rPr>
                <w:sz w:val="17"/>
                <w:szCs w:val="17"/>
                <w:color w:val="auto"/>
              </w:rPr>
            </w:pPr>
          </w:p>
        </w:tc>
        <w:tc>
          <w:tcPr>
            <w:tcW w:w="1100" w:type="dxa"/>
            <w:vAlign w:val="bottom"/>
            <w:tcBorders>
              <w:bottom w:val="single" w:sz="8" w:color="4A7EBB"/>
            </w:tcBorders>
            <w:shd w:val="clear" w:color="auto" w:fill="F2F2F2"/>
          </w:tcPr>
          <w:p>
            <w:pPr>
              <w:spacing w:after="0"/>
              <w:rPr>
                <w:sz w:val="17"/>
                <w:szCs w:val="17"/>
                <w:color w:val="auto"/>
              </w:rPr>
            </w:pPr>
          </w:p>
        </w:tc>
        <w:tc>
          <w:tcPr>
            <w:tcW w:w="1320" w:type="dxa"/>
            <w:vAlign w:val="bottom"/>
            <w:tcBorders>
              <w:bottom w:val="single" w:sz="8" w:color="4A7EBB"/>
            </w:tcBorders>
            <w:shd w:val="clear" w:color="auto" w:fill="F2F2F2"/>
          </w:tcPr>
          <w:p>
            <w:pPr>
              <w:spacing w:after="0"/>
              <w:rPr>
                <w:sz w:val="17"/>
                <w:szCs w:val="17"/>
                <w:color w:val="auto"/>
              </w:rPr>
            </w:pPr>
          </w:p>
        </w:tc>
        <w:tc>
          <w:tcPr>
            <w:tcW w:w="780" w:type="dxa"/>
            <w:vAlign w:val="bottom"/>
            <w:tcBorders>
              <w:bottom w:val="single" w:sz="8" w:color="4A7EBB"/>
            </w:tcBorders>
            <w:shd w:val="clear" w:color="auto" w:fill="F2F2F2"/>
          </w:tcPr>
          <w:p>
            <w:pPr>
              <w:spacing w:after="0"/>
              <w:rPr>
                <w:sz w:val="17"/>
                <w:szCs w:val="17"/>
                <w:color w:val="auto"/>
              </w:rPr>
            </w:pPr>
          </w:p>
        </w:tc>
        <w:tc>
          <w:tcPr>
            <w:tcW w:w="1680" w:type="dxa"/>
            <w:vAlign w:val="bottom"/>
            <w:tcBorders>
              <w:bottom w:val="single" w:sz="8" w:color="4A7EBB"/>
            </w:tcBorders>
            <w:shd w:val="clear" w:color="auto" w:fill="F2F2F2"/>
          </w:tcPr>
          <w:p>
            <w:pPr>
              <w:spacing w:after="0"/>
              <w:rPr>
                <w:sz w:val="17"/>
                <w:szCs w:val="17"/>
                <w:color w:val="auto"/>
              </w:rPr>
            </w:pPr>
          </w:p>
        </w:tc>
        <w:tc>
          <w:tcPr>
            <w:tcW w:w="1640" w:type="dxa"/>
            <w:vAlign w:val="bottom"/>
            <w:tcBorders>
              <w:bottom w:val="single" w:sz="8" w:color="4A7EBB"/>
            </w:tcBorders>
            <w:shd w:val="clear" w:color="auto" w:fill="F2F2F2"/>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700" w:type="dxa"/>
            <w:vAlign w:val="bottom"/>
          </w:tcPr>
          <w:p>
            <w:pPr>
              <w:ind w:left="120"/>
              <w:spacing w:after="0"/>
              <w:rPr>
                <w:sz w:val="20"/>
                <w:szCs w:val="20"/>
                <w:color w:val="auto"/>
              </w:rPr>
            </w:pPr>
            <w:r>
              <w:rPr>
                <w:rFonts w:ascii="Arial" w:cs="Arial" w:eastAsia="Arial" w:hAnsi="Arial"/>
                <w:sz w:val="16"/>
                <w:szCs w:val="16"/>
                <w:b w:val="1"/>
                <w:bCs w:val="1"/>
                <w:color w:val="auto"/>
              </w:rPr>
              <w:t>Thomas J. Brosig</w:t>
            </w:r>
          </w:p>
        </w:tc>
        <w:tc>
          <w:tcPr>
            <w:tcW w:w="960" w:type="dxa"/>
            <w:vAlign w:val="bottom"/>
          </w:tcPr>
          <w:p>
            <w:pPr>
              <w:spacing w:after="0"/>
              <w:rPr>
                <w:sz w:val="18"/>
                <w:szCs w:val="18"/>
                <w:color w:val="auto"/>
              </w:rPr>
            </w:pPr>
          </w:p>
        </w:tc>
        <w:tc>
          <w:tcPr>
            <w:tcW w:w="340" w:type="dxa"/>
            <w:vAlign w:val="bottom"/>
            <w:vMerge w:val="restart"/>
          </w:tcPr>
          <w:p>
            <w:pPr>
              <w:jc w:val="right"/>
              <w:spacing w:after="0"/>
              <w:rPr>
                <w:sz w:val="20"/>
                <w:szCs w:val="20"/>
                <w:color w:val="auto"/>
              </w:rPr>
            </w:pPr>
            <w:r>
              <w:rPr>
                <w:rFonts w:ascii="Arial" w:cs="Arial" w:eastAsia="Arial" w:hAnsi="Arial"/>
                <w:sz w:val="16"/>
                <w:szCs w:val="16"/>
                <w:color w:val="auto"/>
              </w:rPr>
              <w:t>76</w:t>
            </w:r>
          </w:p>
        </w:tc>
        <w:tc>
          <w:tcPr>
            <w:tcW w:w="400" w:type="dxa"/>
            <w:vAlign w:val="bottom"/>
          </w:tcPr>
          <w:p>
            <w:pPr>
              <w:spacing w:after="0"/>
              <w:rPr>
                <w:sz w:val="18"/>
                <w:szCs w:val="18"/>
                <w:color w:val="auto"/>
              </w:rPr>
            </w:pPr>
          </w:p>
        </w:tc>
        <w:tc>
          <w:tcPr>
            <w:tcW w:w="1100" w:type="dxa"/>
            <w:vAlign w:val="bottom"/>
            <w:vMerge w:val="restart"/>
          </w:tcPr>
          <w:p>
            <w:pPr>
              <w:jc w:val="right"/>
              <w:ind w:right="579"/>
              <w:spacing w:after="0"/>
              <w:rPr>
                <w:sz w:val="20"/>
                <w:szCs w:val="20"/>
                <w:color w:val="auto"/>
              </w:rPr>
            </w:pPr>
            <w:r>
              <w:rPr>
                <w:rFonts w:ascii="Arial" w:cs="Arial" w:eastAsia="Arial" w:hAnsi="Arial"/>
                <w:sz w:val="16"/>
                <w:szCs w:val="16"/>
                <w:color w:val="auto"/>
              </w:rPr>
              <w:t>1992</w:t>
            </w:r>
          </w:p>
        </w:tc>
        <w:tc>
          <w:tcPr>
            <w:tcW w:w="1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40" w:type="dxa"/>
            <w:vAlign w:val="bottom"/>
            <w:vMerge w:val="restart"/>
          </w:tcPr>
          <w:p>
            <w:pPr>
              <w:jc w:val="right"/>
              <w:ind w:right="1293"/>
              <w:spacing w:after="0"/>
              <w:rPr>
                <w:sz w:val="20"/>
                <w:szCs w:val="20"/>
                <w:color w:val="auto"/>
              </w:rPr>
            </w:pPr>
            <w:r>
              <w:rPr>
                <w:rFonts w:ascii="Arial" w:cs="Arial" w:eastAsia="Arial" w:hAnsi="Arial"/>
                <w:sz w:val="32"/>
                <w:szCs w:val="32"/>
                <w:color w:val="4A7EBB"/>
              </w:rPr>
              <w:t>●</w:t>
            </w:r>
          </w:p>
        </w:tc>
        <w:tc>
          <w:tcPr>
            <w:tcW w:w="0" w:type="dxa"/>
            <w:vAlign w:val="bottom"/>
          </w:tcPr>
          <w:p>
            <w:pPr>
              <w:spacing w:after="0"/>
              <w:rPr>
                <w:sz w:val="1"/>
                <w:szCs w:val="1"/>
                <w:color w:val="auto"/>
              </w:rPr>
            </w:pPr>
          </w:p>
        </w:tc>
      </w:tr>
      <w:tr>
        <w:trPr>
          <w:trHeight w:val="190"/>
        </w:trPr>
        <w:tc>
          <w:tcPr>
            <w:tcW w:w="2660" w:type="dxa"/>
            <w:vAlign w:val="bottom"/>
            <w:gridSpan w:val="2"/>
          </w:tcPr>
          <w:p>
            <w:pPr>
              <w:ind w:left="120"/>
              <w:spacing w:after="0"/>
              <w:rPr>
                <w:sz w:val="20"/>
                <w:szCs w:val="20"/>
                <w:color w:val="auto"/>
              </w:rPr>
            </w:pPr>
            <w:r>
              <w:rPr>
                <w:rFonts w:ascii="Arial" w:cs="Arial" w:eastAsia="Arial" w:hAnsi="Arial"/>
                <w:sz w:val="16"/>
                <w:szCs w:val="16"/>
                <w:color w:val="auto"/>
              </w:rPr>
              <w:t>Owner and Chief Financial</w:t>
            </w:r>
          </w:p>
        </w:tc>
        <w:tc>
          <w:tcPr>
            <w:tcW w:w="34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60" w:type="dxa"/>
            <w:vAlign w:val="bottom"/>
            <w:tcBorders>
              <w:bottom w:val="single" w:sz="8" w:color="4A7EBB"/>
            </w:tcBorders>
            <w:gridSpan w:val="2"/>
          </w:tcPr>
          <w:p>
            <w:pPr>
              <w:ind w:left="120"/>
              <w:spacing w:after="0"/>
              <w:rPr>
                <w:sz w:val="20"/>
                <w:szCs w:val="20"/>
                <w:color w:val="auto"/>
              </w:rPr>
            </w:pPr>
            <w:r>
              <w:rPr>
                <w:rFonts w:ascii="Arial" w:cs="Arial" w:eastAsia="Arial" w:hAnsi="Arial"/>
                <w:sz w:val="16"/>
                <w:szCs w:val="16"/>
                <w:color w:val="auto"/>
              </w:rPr>
              <w:t>Officer, McMurphy Homes, LLC</w:t>
            </w:r>
          </w:p>
        </w:tc>
        <w:tc>
          <w:tcPr>
            <w:tcW w:w="340" w:type="dxa"/>
            <w:vAlign w:val="bottom"/>
            <w:tcBorders>
              <w:bottom w:val="single" w:sz="8" w:color="4A7EBB"/>
            </w:tcBorders>
          </w:tcPr>
          <w:p>
            <w:pPr>
              <w:spacing w:after="0"/>
              <w:rPr>
                <w:sz w:val="17"/>
                <w:szCs w:val="17"/>
                <w:color w:val="auto"/>
              </w:rPr>
            </w:pPr>
          </w:p>
        </w:tc>
        <w:tc>
          <w:tcPr>
            <w:tcW w:w="400" w:type="dxa"/>
            <w:vAlign w:val="bottom"/>
            <w:tcBorders>
              <w:bottom w:val="single" w:sz="8" w:color="4A7EBB"/>
            </w:tcBorders>
          </w:tcPr>
          <w:p>
            <w:pPr>
              <w:spacing w:after="0"/>
              <w:rPr>
                <w:sz w:val="17"/>
                <w:szCs w:val="17"/>
                <w:color w:val="auto"/>
              </w:rPr>
            </w:pPr>
          </w:p>
        </w:tc>
        <w:tc>
          <w:tcPr>
            <w:tcW w:w="1100" w:type="dxa"/>
            <w:vAlign w:val="bottom"/>
            <w:tcBorders>
              <w:bottom w:val="single" w:sz="8" w:color="4A7EBB"/>
            </w:tcBorders>
          </w:tcPr>
          <w:p>
            <w:pPr>
              <w:spacing w:after="0"/>
              <w:rPr>
                <w:sz w:val="17"/>
                <w:szCs w:val="17"/>
                <w:color w:val="auto"/>
              </w:rPr>
            </w:pPr>
          </w:p>
        </w:tc>
        <w:tc>
          <w:tcPr>
            <w:tcW w:w="1320" w:type="dxa"/>
            <w:vAlign w:val="bottom"/>
            <w:tcBorders>
              <w:bottom w:val="single" w:sz="8" w:color="4A7EBB"/>
            </w:tcBorders>
          </w:tcPr>
          <w:p>
            <w:pPr>
              <w:spacing w:after="0"/>
              <w:rPr>
                <w:sz w:val="17"/>
                <w:szCs w:val="17"/>
                <w:color w:val="auto"/>
              </w:rPr>
            </w:pPr>
          </w:p>
        </w:tc>
        <w:tc>
          <w:tcPr>
            <w:tcW w:w="780" w:type="dxa"/>
            <w:vAlign w:val="bottom"/>
            <w:tcBorders>
              <w:bottom w:val="single" w:sz="8" w:color="4A7EBB"/>
            </w:tcBorders>
          </w:tcPr>
          <w:p>
            <w:pPr>
              <w:spacing w:after="0"/>
              <w:rPr>
                <w:sz w:val="17"/>
                <w:szCs w:val="17"/>
                <w:color w:val="auto"/>
              </w:rPr>
            </w:pPr>
          </w:p>
        </w:tc>
        <w:tc>
          <w:tcPr>
            <w:tcW w:w="1680" w:type="dxa"/>
            <w:vAlign w:val="bottom"/>
            <w:tcBorders>
              <w:bottom w:val="single" w:sz="8" w:color="4A7EBB"/>
            </w:tcBorders>
          </w:tcPr>
          <w:p>
            <w:pPr>
              <w:spacing w:after="0"/>
              <w:rPr>
                <w:sz w:val="17"/>
                <w:szCs w:val="17"/>
                <w:color w:val="auto"/>
              </w:rPr>
            </w:pPr>
          </w:p>
        </w:tc>
        <w:tc>
          <w:tcPr>
            <w:tcW w:w="1640" w:type="dxa"/>
            <w:vAlign w:val="bottom"/>
            <w:tcBorders>
              <w:bottom w:val="single" w:sz="8" w:color="4A7EBB"/>
            </w:tcBorders>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1700" w:type="dxa"/>
            <w:vAlign w:val="bottom"/>
            <w:shd w:val="clear" w:color="auto" w:fill="F2F2F2"/>
          </w:tcPr>
          <w:p>
            <w:pPr>
              <w:ind w:left="120"/>
              <w:spacing w:after="0" w:line="168" w:lineRule="exact"/>
              <w:rPr>
                <w:sz w:val="20"/>
                <w:szCs w:val="20"/>
                <w:color w:val="auto"/>
              </w:rPr>
            </w:pPr>
            <w:r>
              <w:rPr>
                <w:rFonts w:ascii="Arial" w:cs="Arial" w:eastAsia="Arial" w:hAnsi="Arial"/>
                <w:sz w:val="16"/>
                <w:szCs w:val="16"/>
                <w:b w:val="1"/>
                <w:bCs w:val="1"/>
                <w:color w:val="auto"/>
              </w:rPr>
              <w:t>Dr. Joyce F. Brown</w:t>
            </w:r>
          </w:p>
        </w:tc>
        <w:tc>
          <w:tcPr>
            <w:tcW w:w="960" w:type="dxa"/>
            <w:vAlign w:val="bottom"/>
            <w:shd w:val="clear" w:color="auto" w:fill="F2F2F2"/>
          </w:tcPr>
          <w:p>
            <w:pPr>
              <w:spacing w:after="0"/>
              <w:rPr>
                <w:sz w:val="14"/>
                <w:szCs w:val="14"/>
                <w:color w:val="auto"/>
              </w:rPr>
            </w:pPr>
          </w:p>
        </w:tc>
        <w:tc>
          <w:tcPr>
            <w:tcW w:w="340" w:type="dxa"/>
            <w:vAlign w:val="bottom"/>
            <w:shd w:val="clear" w:color="auto" w:fill="F2F2F2"/>
          </w:tcPr>
          <w:p>
            <w:pPr>
              <w:spacing w:after="0"/>
              <w:rPr>
                <w:sz w:val="14"/>
                <w:szCs w:val="14"/>
                <w:color w:val="auto"/>
              </w:rPr>
            </w:pPr>
          </w:p>
        </w:tc>
        <w:tc>
          <w:tcPr>
            <w:tcW w:w="400" w:type="dxa"/>
            <w:vAlign w:val="bottom"/>
            <w:shd w:val="clear" w:color="auto" w:fill="F2F2F2"/>
          </w:tcPr>
          <w:p>
            <w:pPr>
              <w:spacing w:after="0"/>
              <w:rPr>
                <w:sz w:val="14"/>
                <w:szCs w:val="14"/>
                <w:color w:val="auto"/>
              </w:rPr>
            </w:pPr>
          </w:p>
        </w:tc>
        <w:tc>
          <w:tcPr>
            <w:tcW w:w="1100" w:type="dxa"/>
            <w:vAlign w:val="bottom"/>
            <w:shd w:val="clear" w:color="auto" w:fill="F2F2F2"/>
          </w:tcPr>
          <w:p>
            <w:pPr>
              <w:spacing w:after="0"/>
              <w:rPr>
                <w:sz w:val="14"/>
                <w:szCs w:val="14"/>
                <w:color w:val="auto"/>
              </w:rPr>
            </w:pPr>
          </w:p>
        </w:tc>
        <w:tc>
          <w:tcPr>
            <w:tcW w:w="1320" w:type="dxa"/>
            <w:vAlign w:val="bottom"/>
            <w:shd w:val="clear" w:color="auto" w:fill="F2F2F2"/>
          </w:tcPr>
          <w:p>
            <w:pPr>
              <w:spacing w:after="0"/>
              <w:rPr>
                <w:sz w:val="14"/>
                <w:szCs w:val="14"/>
                <w:color w:val="auto"/>
              </w:rPr>
            </w:pPr>
          </w:p>
        </w:tc>
        <w:tc>
          <w:tcPr>
            <w:tcW w:w="780" w:type="dxa"/>
            <w:vAlign w:val="bottom"/>
            <w:shd w:val="clear" w:color="auto" w:fill="F2F2F2"/>
          </w:tcPr>
          <w:p>
            <w:pPr>
              <w:spacing w:after="0"/>
              <w:rPr>
                <w:sz w:val="14"/>
                <w:szCs w:val="14"/>
                <w:color w:val="auto"/>
              </w:rPr>
            </w:pPr>
          </w:p>
        </w:tc>
        <w:tc>
          <w:tcPr>
            <w:tcW w:w="1680" w:type="dxa"/>
            <w:vAlign w:val="bottom"/>
            <w:shd w:val="clear" w:color="auto" w:fill="F2F2F2"/>
          </w:tcPr>
          <w:p>
            <w:pPr>
              <w:spacing w:after="0"/>
              <w:rPr>
                <w:sz w:val="14"/>
                <w:szCs w:val="14"/>
                <w:color w:val="auto"/>
              </w:rPr>
            </w:pPr>
          </w:p>
        </w:tc>
        <w:tc>
          <w:tcPr>
            <w:tcW w:w="1640" w:type="dxa"/>
            <w:vAlign w:val="bottom"/>
            <w:vMerge w:val="restart"/>
            <w:shd w:val="clear" w:color="auto" w:fill="F2F2F2"/>
          </w:tcPr>
          <w:p>
            <w:pPr>
              <w:jc w:val="right"/>
              <w:ind w:right="33"/>
              <w:spacing w:after="0"/>
              <w:rPr>
                <w:sz w:val="20"/>
                <w:szCs w:val="20"/>
                <w:color w:val="auto"/>
              </w:rPr>
            </w:pPr>
            <w:r>
              <w:rPr>
                <w:rFonts w:ascii="Arial" w:cs="Arial" w:eastAsia="Arial" w:hAnsi="Arial"/>
                <w:sz w:val="32"/>
                <w:szCs w:val="32"/>
                <w:color w:val="4A7EBB"/>
              </w:rPr>
              <w:t>●</w:t>
            </w:r>
          </w:p>
        </w:tc>
        <w:tc>
          <w:tcPr>
            <w:tcW w:w="0" w:type="dxa"/>
            <w:vAlign w:val="bottom"/>
          </w:tcPr>
          <w:p>
            <w:pPr>
              <w:spacing w:after="0"/>
              <w:rPr>
                <w:sz w:val="1"/>
                <w:szCs w:val="1"/>
                <w:color w:val="auto"/>
              </w:rPr>
            </w:pPr>
          </w:p>
        </w:tc>
      </w:tr>
      <w:tr>
        <w:trPr>
          <w:trHeight w:val="205"/>
        </w:trPr>
        <w:tc>
          <w:tcPr>
            <w:tcW w:w="2660" w:type="dxa"/>
            <w:vAlign w:val="bottom"/>
            <w:gridSpan w:val="2"/>
            <w:shd w:val="clear" w:color="auto" w:fill="F2F2F2"/>
          </w:tcPr>
          <w:p>
            <w:pPr>
              <w:ind w:left="120"/>
              <w:spacing w:after="0"/>
              <w:rPr>
                <w:sz w:val="20"/>
                <w:szCs w:val="20"/>
                <w:color w:val="auto"/>
              </w:rPr>
            </w:pPr>
            <w:r>
              <w:rPr>
                <w:rFonts w:ascii="Arial" w:cs="Arial" w:eastAsia="Arial" w:hAnsi="Arial"/>
                <w:sz w:val="16"/>
                <w:szCs w:val="16"/>
                <w:color w:val="auto"/>
              </w:rPr>
              <w:t>President, Fashion Institute of</w:t>
            </w:r>
          </w:p>
        </w:tc>
        <w:tc>
          <w:tcPr>
            <w:tcW w:w="340" w:type="dxa"/>
            <w:vAlign w:val="bottom"/>
            <w:shd w:val="clear" w:color="auto" w:fill="F2F2F2"/>
          </w:tcPr>
          <w:p>
            <w:pPr>
              <w:jc w:val="right"/>
              <w:spacing w:after="0"/>
              <w:rPr>
                <w:sz w:val="20"/>
                <w:szCs w:val="20"/>
                <w:color w:val="auto"/>
              </w:rPr>
            </w:pPr>
            <w:r>
              <w:rPr>
                <w:rFonts w:ascii="Arial" w:cs="Arial" w:eastAsia="Arial" w:hAnsi="Arial"/>
                <w:sz w:val="16"/>
                <w:szCs w:val="16"/>
                <w:color w:val="auto"/>
              </w:rPr>
              <w:t>79</w:t>
            </w:r>
          </w:p>
        </w:tc>
        <w:tc>
          <w:tcPr>
            <w:tcW w:w="400" w:type="dxa"/>
            <w:vAlign w:val="bottom"/>
            <w:shd w:val="clear" w:color="auto" w:fill="F2F2F2"/>
          </w:tcPr>
          <w:p>
            <w:pPr>
              <w:spacing w:after="0"/>
              <w:rPr>
                <w:sz w:val="17"/>
                <w:szCs w:val="17"/>
                <w:color w:val="auto"/>
              </w:rPr>
            </w:pPr>
          </w:p>
        </w:tc>
        <w:tc>
          <w:tcPr>
            <w:tcW w:w="1100" w:type="dxa"/>
            <w:vAlign w:val="bottom"/>
            <w:shd w:val="clear" w:color="auto" w:fill="F2F2F2"/>
          </w:tcPr>
          <w:p>
            <w:pPr>
              <w:jc w:val="right"/>
              <w:ind w:right="579"/>
              <w:spacing w:after="0"/>
              <w:rPr>
                <w:sz w:val="20"/>
                <w:szCs w:val="20"/>
                <w:color w:val="auto"/>
              </w:rPr>
            </w:pPr>
            <w:r>
              <w:rPr>
                <w:rFonts w:ascii="Arial" w:cs="Arial" w:eastAsia="Arial" w:hAnsi="Arial"/>
                <w:sz w:val="16"/>
                <w:szCs w:val="16"/>
                <w:color w:val="auto"/>
              </w:rPr>
              <w:t>2023</w:t>
            </w:r>
          </w:p>
        </w:tc>
        <w:tc>
          <w:tcPr>
            <w:tcW w:w="1320" w:type="dxa"/>
            <w:vAlign w:val="bottom"/>
            <w:shd w:val="clear" w:color="auto" w:fill="F2F2F2"/>
          </w:tcPr>
          <w:p>
            <w:pPr>
              <w:spacing w:after="0"/>
              <w:rPr>
                <w:sz w:val="17"/>
                <w:szCs w:val="17"/>
                <w:color w:val="auto"/>
              </w:rPr>
            </w:pPr>
          </w:p>
        </w:tc>
        <w:tc>
          <w:tcPr>
            <w:tcW w:w="780" w:type="dxa"/>
            <w:vAlign w:val="bottom"/>
            <w:shd w:val="clear" w:color="auto" w:fill="F2F2F2"/>
          </w:tcPr>
          <w:p>
            <w:pPr>
              <w:spacing w:after="0"/>
              <w:rPr>
                <w:sz w:val="17"/>
                <w:szCs w:val="17"/>
                <w:color w:val="auto"/>
              </w:rPr>
            </w:pPr>
          </w:p>
        </w:tc>
        <w:tc>
          <w:tcPr>
            <w:tcW w:w="1680" w:type="dxa"/>
            <w:vAlign w:val="bottom"/>
            <w:shd w:val="clear" w:color="auto" w:fill="F2F2F2"/>
          </w:tcPr>
          <w:p>
            <w:pPr>
              <w:spacing w:after="0"/>
              <w:rPr>
                <w:sz w:val="17"/>
                <w:szCs w:val="17"/>
                <w:color w:val="auto"/>
              </w:rPr>
            </w:pPr>
          </w:p>
        </w:tc>
        <w:tc>
          <w:tcPr>
            <w:tcW w:w="1640" w:type="dxa"/>
            <w:vAlign w:val="bottom"/>
            <w:vMerge w:val="continue"/>
            <w:shd w:val="clear" w:color="auto" w:fill="F2F2F2"/>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700" w:type="dxa"/>
            <w:vAlign w:val="bottom"/>
            <w:tcBorders>
              <w:bottom w:val="single" w:sz="8" w:color="4A7EBB"/>
            </w:tcBorders>
            <w:shd w:val="clear" w:color="auto" w:fill="F2F2F2"/>
          </w:tcPr>
          <w:p>
            <w:pPr>
              <w:ind w:left="120"/>
              <w:spacing w:after="0"/>
              <w:rPr>
                <w:sz w:val="20"/>
                <w:szCs w:val="20"/>
                <w:color w:val="auto"/>
              </w:rPr>
            </w:pPr>
            <w:r>
              <w:rPr>
                <w:rFonts w:ascii="Arial" w:cs="Arial" w:eastAsia="Arial" w:hAnsi="Arial"/>
                <w:sz w:val="16"/>
                <w:szCs w:val="16"/>
                <w:color w:val="auto"/>
              </w:rPr>
              <w:t>Technology</w:t>
            </w:r>
          </w:p>
        </w:tc>
        <w:tc>
          <w:tcPr>
            <w:tcW w:w="960" w:type="dxa"/>
            <w:vAlign w:val="bottom"/>
            <w:tcBorders>
              <w:bottom w:val="single" w:sz="8" w:color="4A7EBB"/>
            </w:tcBorders>
            <w:shd w:val="clear" w:color="auto" w:fill="F2F2F2"/>
          </w:tcPr>
          <w:p>
            <w:pPr>
              <w:spacing w:after="0"/>
              <w:rPr>
                <w:sz w:val="16"/>
                <w:szCs w:val="16"/>
                <w:color w:val="auto"/>
              </w:rPr>
            </w:pPr>
          </w:p>
        </w:tc>
        <w:tc>
          <w:tcPr>
            <w:tcW w:w="340" w:type="dxa"/>
            <w:vAlign w:val="bottom"/>
            <w:tcBorders>
              <w:bottom w:val="single" w:sz="8" w:color="4A7EBB"/>
            </w:tcBorders>
            <w:shd w:val="clear" w:color="auto" w:fill="F2F2F2"/>
          </w:tcPr>
          <w:p>
            <w:pPr>
              <w:spacing w:after="0"/>
              <w:rPr>
                <w:sz w:val="16"/>
                <w:szCs w:val="16"/>
                <w:color w:val="auto"/>
              </w:rPr>
            </w:pPr>
          </w:p>
        </w:tc>
        <w:tc>
          <w:tcPr>
            <w:tcW w:w="400" w:type="dxa"/>
            <w:vAlign w:val="bottom"/>
            <w:tcBorders>
              <w:bottom w:val="single" w:sz="8" w:color="4A7EBB"/>
            </w:tcBorders>
            <w:shd w:val="clear" w:color="auto" w:fill="F2F2F2"/>
          </w:tcPr>
          <w:p>
            <w:pPr>
              <w:spacing w:after="0"/>
              <w:rPr>
                <w:sz w:val="16"/>
                <w:szCs w:val="16"/>
                <w:color w:val="auto"/>
              </w:rPr>
            </w:pPr>
          </w:p>
        </w:tc>
        <w:tc>
          <w:tcPr>
            <w:tcW w:w="1100" w:type="dxa"/>
            <w:vAlign w:val="bottom"/>
            <w:tcBorders>
              <w:bottom w:val="single" w:sz="8" w:color="4A7EBB"/>
            </w:tcBorders>
            <w:shd w:val="clear" w:color="auto" w:fill="F2F2F2"/>
          </w:tcPr>
          <w:p>
            <w:pPr>
              <w:spacing w:after="0"/>
              <w:rPr>
                <w:sz w:val="16"/>
                <w:szCs w:val="16"/>
                <w:color w:val="auto"/>
              </w:rPr>
            </w:pPr>
          </w:p>
        </w:tc>
        <w:tc>
          <w:tcPr>
            <w:tcW w:w="1320" w:type="dxa"/>
            <w:vAlign w:val="bottom"/>
            <w:tcBorders>
              <w:bottom w:val="single" w:sz="8" w:color="4A7EBB"/>
            </w:tcBorders>
            <w:shd w:val="clear" w:color="auto" w:fill="F2F2F2"/>
          </w:tcPr>
          <w:p>
            <w:pPr>
              <w:spacing w:after="0"/>
              <w:rPr>
                <w:sz w:val="16"/>
                <w:szCs w:val="16"/>
                <w:color w:val="auto"/>
              </w:rPr>
            </w:pPr>
          </w:p>
        </w:tc>
        <w:tc>
          <w:tcPr>
            <w:tcW w:w="780" w:type="dxa"/>
            <w:vAlign w:val="bottom"/>
            <w:tcBorders>
              <w:bottom w:val="single" w:sz="8" w:color="4A7EBB"/>
            </w:tcBorders>
            <w:shd w:val="clear" w:color="auto" w:fill="F2F2F2"/>
          </w:tcPr>
          <w:p>
            <w:pPr>
              <w:spacing w:after="0"/>
              <w:rPr>
                <w:sz w:val="16"/>
                <w:szCs w:val="16"/>
                <w:color w:val="auto"/>
              </w:rPr>
            </w:pPr>
          </w:p>
        </w:tc>
        <w:tc>
          <w:tcPr>
            <w:tcW w:w="1680" w:type="dxa"/>
            <w:vAlign w:val="bottom"/>
            <w:tcBorders>
              <w:bottom w:val="single" w:sz="8" w:color="4A7EBB"/>
            </w:tcBorders>
            <w:shd w:val="clear" w:color="auto" w:fill="F2F2F2"/>
          </w:tcPr>
          <w:p>
            <w:pPr>
              <w:spacing w:after="0"/>
              <w:rPr>
                <w:sz w:val="16"/>
                <w:szCs w:val="16"/>
                <w:color w:val="auto"/>
              </w:rPr>
            </w:pPr>
          </w:p>
        </w:tc>
        <w:tc>
          <w:tcPr>
            <w:tcW w:w="1640" w:type="dxa"/>
            <w:vAlign w:val="bottom"/>
            <w:tcBorders>
              <w:bottom w:val="single" w:sz="8" w:color="4A7EBB"/>
            </w:tcBorders>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1700" w:type="dxa"/>
            <w:vAlign w:val="bottom"/>
          </w:tcPr>
          <w:p>
            <w:pPr>
              <w:ind w:left="120"/>
              <w:spacing w:after="0" w:line="168" w:lineRule="exact"/>
              <w:rPr>
                <w:sz w:val="20"/>
                <w:szCs w:val="20"/>
                <w:color w:val="auto"/>
              </w:rPr>
            </w:pPr>
            <w:r>
              <w:rPr>
                <w:rFonts w:ascii="Arial" w:cs="Arial" w:eastAsia="Arial" w:hAnsi="Arial"/>
                <w:sz w:val="16"/>
                <w:szCs w:val="16"/>
                <w:b w:val="1"/>
                <w:bCs w:val="1"/>
                <w:color w:val="auto"/>
              </w:rPr>
              <w:t>Jeffrey Goldfarb</w:t>
            </w:r>
          </w:p>
        </w:tc>
        <w:tc>
          <w:tcPr>
            <w:tcW w:w="960" w:type="dxa"/>
            <w:vAlign w:val="bottom"/>
          </w:tcPr>
          <w:p>
            <w:pPr>
              <w:spacing w:after="0"/>
              <w:rPr>
                <w:sz w:val="14"/>
                <w:szCs w:val="14"/>
                <w:color w:val="auto"/>
              </w:rPr>
            </w:pPr>
          </w:p>
        </w:tc>
        <w:tc>
          <w:tcPr>
            <w:tcW w:w="340" w:type="dxa"/>
            <w:vAlign w:val="bottom"/>
            <w:vMerge w:val="restart"/>
          </w:tcPr>
          <w:p>
            <w:pPr>
              <w:jc w:val="right"/>
              <w:spacing w:after="0"/>
              <w:rPr>
                <w:sz w:val="20"/>
                <w:szCs w:val="20"/>
                <w:color w:val="auto"/>
              </w:rPr>
            </w:pPr>
            <w:r>
              <w:rPr>
                <w:rFonts w:ascii="Arial" w:cs="Arial" w:eastAsia="Arial" w:hAnsi="Arial"/>
                <w:sz w:val="16"/>
                <w:szCs w:val="16"/>
                <w:color w:val="auto"/>
              </w:rPr>
              <w:t>49</w:t>
            </w:r>
          </w:p>
        </w:tc>
        <w:tc>
          <w:tcPr>
            <w:tcW w:w="400" w:type="dxa"/>
            <w:vAlign w:val="bottom"/>
          </w:tcPr>
          <w:p>
            <w:pPr>
              <w:spacing w:after="0"/>
              <w:rPr>
                <w:sz w:val="14"/>
                <w:szCs w:val="14"/>
                <w:color w:val="auto"/>
              </w:rPr>
            </w:pPr>
          </w:p>
        </w:tc>
        <w:tc>
          <w:tcPr>
            <w:tcW w:w="1100" w:type="dxa"/>
            <w:vAlign w:val="bottom"/>
            <w:vMerge w:val="restart"/>
          </w:tcPr>
          <w:p>
            <w:pPr>
              <w:jc w:val="right"/>
              <w:ind w:right="579"/>
              <w:spacing w:after="0"/>
              <w:rPr>
                <w:sz w:val="20"/>
                <w:szCs w:val="20"/>
                <w:color w:val="auto"/>
              </w:rPr>
            </w:pPr>
            <w:r>
              <w:rPr>
                <w:rFonts w:ascii="Arial" w:cs="Arial" w:eastAsia="Arial" w:hAnsi="Arial"/>
                <w:sz w:val="16"/>
                <w:szCs w:val="16"/>
                <w:color w:val="auto"/>
              </w:rPr>
              <w:t>2009</w:t>
            </w:r>
          </w:p>
        </w:tc>
        <w:tc>
          <w:tcPr>
            <w:tcW w:w="1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2660" w:type="dxa"/>
            <w:vAlign w:val="bottom"/>
            <w:gridSpan w:val="2"/>
            <w:vMerge w:val="restart"/>
          </w:tcPr>
          <w:p>
            <w:pPr>
              <w:ind w:left="120"/>
              <w:spacing w:after="0"/>
              <w:rPr>
                <w:sz w:val="20"/>
                <w:szCs w:val="20"/>
                <w:color w:val="auto"/>
              </w:rPr>
            </w:pPr>
            <w:r>
              <w:rPr>
                <w:rFonts w:ascii="Arial" w:cs="Arial" w:eastAsia="Arial" w:hAnsi="Arial"/>
                <w:sz w:val="16"/>
                <w:szCs w:val="16"/>
                <w:color w:val="auto"/>
              </w:rPr>
              <w:t>Executive Vice President, G-III</w:t>
            </w:r>
          </w:p>
        </w:tc>
        <w:tc>
          <w:tcPr>
            <w:tcW w:w="34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1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2660" w:type="dxa"/>
            <w:vAlign w:val="bottom"/>
            <w:tcBorders>
              <w:bottom w:val="single" w:sz="8" w:color="4A7EBB"/>
            </w:tcBorders>
            <w:gridSpan w:val="2"/>
            <w:vMerge w:val="continue"/>
          </w:tcPr>
          <w:p>
            <w:pPr>
              <w:spacing w:after="0"/>
              <w:rPr>
                <w:sz w:val="7"/>
                <w:szCs w:val="7"/>
                <w:color w:val="auto"/>
              </w:rPr>
            </w:pPr>
          </w:p>
        </w:tc>
        <w:tc>
          <w:tcPr>
            <w:tcW w:w="340" w:type="dxa"/>
            <w:vAlign w:val="bottom"/>
            <w:tcBorders>
              <w:bottom w:val="single" w:sz="8" w:color="4A7EBB"/>
            </w:tcBorders>
          </w:tcPr>
          <w:p>
            <w:pPr>
              <w:spacing w:after="0"/>
              <w:rPr>
                <w:sz w:val="7"/>
                <w:szCs w:val="7"/>
                <w:color w:val="auto"/>
              </w:rPr>
            </w:pPr>
          </w:p>
        </w:tc>
        <w:tc>
          <w:tcPr>
            <w:tcW w:w="400" w:type="dxa"/>
            <w:vAlign w:val="bottom"/>
            <w:tcBorders>
              <w:bottom w:val="single" w:sz="8" w:color="4A7EBB"/>
            </w:tcBorders>
          </w:tcPr>
          <w:p>
            <w:pPr>
              <w:spacing w:after="0"/>
              <w:rPr>
                <w:sz w:val="7"/>
                <w:szCs w:val="7"/>
                <w:color w:val="auto"/>
              </w:rPr>
            </w:pPr>
          </w:p>
        </w:tc>
        <w:tc>
          <w:tcPr>
            <w:tcW w:w="1100" w:type="dxa"/>
            <w:vAlign w:val="bottom"/>
            <w:tcBorders>
              <w:bottom w:val="single" w:sz="8" w:color="4A7EBB"/>
            </w:tcBorders>
          </w:tcPr>
          <w:p>
            <w:pPr>
              <w:spacing w:after="0"/>
              <w:rPr>
                <w:sz w:val="7"/>
                <w:szCs w:val="7"/>
                <w:color w:val="auto"/>
              </w:rPr>
            </w:pPr>
          </w:p>
        </w:tc>
        <w:tc>
          <w:tcPr>
            <w:tcW w:w="1320" w:type="dxa"/>
            <w:vAlign w:val="bottom"/>
            <w:tcBorders>
              <w:bottom w:val="single" w:sz="8" w:color="4A7EBB"/>
            </w:tcBorders>
          </w:tcPr>
          <w:p>
            <w:pPr>
              <w:spacing w:after="0"/>
              <w:rPr>
                <w:sz w:val="7"/>
                <w:szCs w:val="7"/>
                <w:color w:val="auto"/>
              </w:rPr>
            </w:pPr>
          </w:p>
        </w:tc>
        <w:tc>
          <w:tcPr>
            <w:tcW w:w="780" w:type="dxa"/>
            <w:vAlign w:val="bottom"/>
            <w:tcBorders>
              <w:bottom w:val="single" w:sz="8" w:color="4A7EBB"/>
            </w:tcBorders>
          </w:tcPr>
          <w:p>
            <w:pPr>
              <w:spacing w:after="0"/>
              <w:rPr>
                <w:sz w:val="7"/>
                <w:szCs w:val="7"/>
                <w:color w:val="auto"/>
              </w:rPr>
            </w:pPr>
          </w:p>
        </w:tc>
        <w:tc>
          <w:tcPr>
            <w:tcW w:w="1680" w:type="dxa"/>
            <w:vAlign w:val="bottom"/>
            <w:tcBorders>
              <w:bottom w:val="single" w:sz="8" w:color="4A7EBB"/>
            </w:tcBorders>
          </w:tcPr>
          <w:p>
            <w:pPr>
              <w:spacing w:after="0"/>
              <w:rPr>
                <w:sz w:val="7"/>
                <w:szCs w:val="7"/>
                <w:color w:val="auto"/>
              </w:rPr>
            </w:pPr>
          </w:p>
        </w:tc>
        <w:tc>
          <w:tcPr>
            <w:tcW w:w="1640" w:type="dxa"/>
            <w:vAlign w:val="bottom"/>
            <w:tcBorders>
              <w:bottom w:val="single" w:sz="8" w:color="4A7EBB"/>
            </w:tcBorders>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1700" w:type="dxa"/>
            <w:vAlign w:val="bottom"/>
            <w:shd w:val="clear" w:color="auto" w:fill="F2F2F2"/>
          </w:tcPr>
          <w:p>
            <w:pPr>
              <w:ind w:left="120"/>
              <w:spacing w:after="0" w:line="168" w:lineRule="exact"/>
              <w:rPr>
                <w:sz w:val="20"/>
                <w:szCs w:val="20"/>
                <w:color w:val="auto"/>
              </w:rPr>
            </w:pPr>
            <w:r>
              <w:rPr>
                <w:rFonts w:ascii="Arial" w:cs="Arial" w:eastAsia="Arial" w:hAnsi="Arial"/>
                <w:sz w:val="16"/>
                <w:szCs w:val="16"/>
                <w:b w:val="1"/>
                <w:bCs w:val="1"/>
                <w:color w:val="auto"/>
              </w:rPr>
              <w:t>Victor Herrero</w:t>
            </w:r>
          </w:p>
        </w:tc>
        <w:tc>
          <w:tcPr>
            <w:tcW w:w="960" w:type="dxa"/>
            <w:vAlign w:val="bottom"/>
            <w:shd w:val="clear" w:color="auto" w:fill="F2F2F2"/>
          </w:tcPr>
          <w:p>
            <w:pPr>
              <w:spacing w:after="0"/>
              <w:rPr>
                <w:sz w:val="14"/>
                <w:szCs w:val="14"/>
                <w:color w:val="auto"/>
              </w:rPr>
            </w:pPr>
          </w:p>
        </w:tc>
        <w:tc>
          <w:tcPr>
            <w:tcW w:w="340" w:type="dxa"/>
            <w:vAlign w:val="bottom"/>
            <w:shd w:val="clear" w:color="auto" w:fill="F2F2F2"/>
          </w:tcPr>
          <w:p>
            <w:pPr>
              <w:spacing w:after="0"/>
              <w:rPr>
                <w:sz w:val="14"/>
                <w:szCs w:val="14"/>
                <w:color w:val="auto"/>
              </w:rPr>
            </w:pPr>
          </w:p>
        </w:tc>
        <w:tc>
          <w:tcPr>
            <w:tcW w:w="400" w:type="dxa"/>
            <w:vAlign w:val="bottom"/>
            <w:shd w:val="clear" w:color="auto" w:fill="F2F2F2"/>
          </w:tcPr>
          <w:p>
            <w:pPr>
              <w:spacing w:after="0"/>
              <w:rPr>
                <w:sz w:val="14"/>
                <w:szCs w:val="14"/>
                <w:color w:val="auto"/>
              </w:rPr>
            </w:pPr>
          </w:p>
        </w:tc>
        <w:tc>
          <w:tcPr>
            <w:tcW w:w="1100" w:type="dxa"/>
            <w:vAlign w:val="bottom"/>
            <w:shd w:val="clear" w:color="auto" w:fill="F2F2F2"/>
          </w:tcPr>
          <w:p>
            <w:pPr>
              <w:spacing w:after="0"/>
              <w:rPr>
                <w:sz w:val="14"/>
                <w:szCs w:val="14"/>
                <w:color w:val="auto"/>
              </w:rPr>
            </w:pPr>
          </w:p>
        </w:tc>
        <w:tc>
          <w:tcPr>
            <w:tcW w:w="1320" w:type="dxa"/>
            <w:vAlign w:val="bottom"/>
            <w:shd w:val="clear" w:color="auto" w:fill="F2F2F2"/>
          </w:tcPr>
          <w:p>
            <w:pPr>
              <w:spacing w:after="0"/>
              <w:rPr>
                <w:sz w:val="14"/>
                <w:szCs w:val="14"/>
                <w:color w:val="auto"/>
              </w:rPr>
            </w:pPr>
          </w:p>
        </w:tc>
        <w:tc>
          <w:tcPr>
            <w:tcW w:w="780" w:type="dxa"/>
            <w:vAlign w:val="bottom"/>
            <w:shd w:val="clear" w:color="auto" w:fill="F2F2F2"/>
          </w:tcPr>
          <w:p>
            <w:pPr>
              <w:spacing w:after="0"/>
              <w:rPr>
                <w:sz w:val="14"/>
                <w:szCs w:val="14"/>
                <w:color w:val="auto"/>
              </w:rPr>
            </w:pPr>
          </w:p>
        </w:tc>
        <w:tc>
          <w:tcPr>
            <w:tcW w:w="1680" w:type="dxa"/>
            <w:vAlign w:val="bottom"/>
            <w:vMerge w:val="restart"/>
            <w:shd w:val="clear" w:color="auto" w:fill="F2F2F2"/>
          </w:tcPr>
          <w:p>
            <w:pPr>
              <w:ind w:left="140"/>
              <w:spacing w:after="0"/>
              <w:rPr>
                <w:sz w:val="20"/>
                <w:szCs w:val="20"/>
                <w:color w:val="auto"/>
              </w:rPr>
            </w:pPr>
            <w:r>
              <w:rPr>
                <w:rFonts w:ascii="Arial" w:cs="Arial" w:eastAsia="Arial" w:hAnsi="Arial"/>
                <w:sz w:val="32"/>
                <w:szCs w:val="32"/>
                <w:color w:val="4A7EBB"/>
              </w:rPr>
              <w:t>●</w:t>
            </w:r>
          </w:p>
        </w:tc>
        <w:tc>
          <w:tcPr>
            <w:tcW w:w="1640" w:type="dxa"/>
            <w:vAlign w:val="bottom"/>
            <w:shd w:val="clear" w:color="auto" w:fill="F2F2F2"/>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660" w:type="dxa"/>
            <w:vAlign w:val="bottom"/>
            <w:gridSpan w:val="2"/>
            <w:shd w:val="clear" w:color="auto" w:fill="F2F2F2"/>
          </w:tcPr>
          <w:p>
            <w:pPr>
              <w:ind w:left="120"/>
              <w:spacing w:after="0"/>
              <w:rPr>
                <w:sz w:val="20"/>
                <w:szCs w:val="20"/>
                <w:color w:val="auto"/>
              </w:rPr>
            </w:pPr>
            <w:r>
              <w:rPr>
                <w:rFonts w:ascii="Arial" w:cs="Arial" w:eastAsia="Arial" w:hAnsi="Arial"/>
                <w:sz w:val="16"/>
                <w:szCs w:val="16"/>
                <w:color w:val="auto"/>
              </w:rPr>
              <w:t>Co-Chief Executive Officer, Viva</w:t>
            </w:r>
          </w:p>
        </w:tc>
        <w:tc>
          <w:tcPr>
            <w:tcW w:w="340" w:type="dxa"/>
            <w:vAlign w:val="bottom"/>
            <w:shd w:val="clear" w:color="auto" w:fill="F2F2F2"/>
          </w:tcPr>
          <w:p>
            <w:pPr>
              <w:jc w:val="right"/>
              <w:spacing w:after="0"/>
              <w:rPr>
                <w:sz w:val="20"/>
                <w:szCs w:val="20"/>
                <w:color w:val="auto"/>
              </w:rPr>
            </w:pPr>
            <w:r>
              <w:rPr>
                <w:rFonts w:ascii="Arial" w:cs="Arial" w:eastAsia="Arial" w:hAnsi="Arial"/>
                <w:sz w:val="16"/>
                <w:szCs w:val="16"/>
                <w:color w:val="auto"/>
              </w:rPr>
              <w:t>57</w:t>
            </w:r>
          </w:p>
        </w:tc>
        <w:tc>
          <w:tcPr>
            <w:tcW w:w="400" w:type="dxa"/>
            <w:vAlign w:val="bottom"/>
            <w:shd w:val="clear" w:color="auto" w:fill="F2F2F2"/>
          </w:tcPr>
          <w:p>
            <w:pPr>
              <w:spacing w:after="0"/>
              <w:rPr>
                <w:sz w:val="17"/>
                <w:szCs w:val="17"/>
                <w:color w:val="auto"/>
              </w:rPr>
            </w:pPr>
          </w:p>
        </w:tc>
        <w:tc>
          <w:tcPr>
            <w:tcW w:w="1100" w:type="dxa"/>
            <w:vAlign w:val="bottom"/>
            <w:shd w:val="clear" w:color="auto" w:fill="F2F2F2"/>
          </w:tcPr>
          <w:p>
            <w:pPr>
              <w:jc w:val="right"/>
              <w:ind w:right="579"/>
              <w:spacing w:after="0"/>
              <w:rPr>
                <w:sz w:val="20"/>
                <w:szCs w:val="20"/>
                <w:color w:val="auto"/>
              </w:rPr>
            </w:pPr>
            <w:r>
              <w:rPr>
                <w:rFonts w:ascii="Arial" w:cs="Arial" w:eastAsia="Arial" w:hAnsi="Arial"/>
                <w:sz w:val="16"/>
                <w:szCs w:val="16"/>
                <w:color w:val="auto"/>
              </w:rPr>
              <w:t>2019</w:t>
            </w:r>
          </w:p>
        </w:tc>
        <w:tc>
          <w:tcPr>
            <w:tcW w:w="1320" w:type="dxa"/>
            <w:vAlign w:val="bottom"/>
            <w:shd w:val="clear" w:color="auto" w:fill="F2F2F2"/>
          </w:tcPr>
          <w:p>
            <w:pPr>
              <w:spacing w:after="0"/>
              <w:rPr>
                <w:sz w:val="17"/>
                <w:szCs w:val="17"/>
                <w:color w:val="auto"/>
              </w:rPr>
            </w:pPr>
          </w:p>
        </w:tc>
        <w:tc>
          <w:tcPr>
            <w:tcW w:w="780" w:type="dxa"/>
            <w:vAlign w:val="bottom"/>
            <w:shd w:val="clear" w:color="auto" w:fill="F2F2F2"/>
          </w:tcPr>
          <w:p>
            <w:pPr>
              <w:spacing w:after="0"/>
              <w:rPr>
                <w:sz w:val="17"/>
                <w:szCs w:val="17"/>
                <w:color w:val="auto"/>
              </w:rPr>
            </w:pPr>
          </w:p>
        </w:tc>
        <w:tc>
          <w:tcPr>
            <w:tcW w:w="1680" w:type="dxa"/>
            <w:vAlign w:val="bottom"/>
            <w:vMerge w:val="continue"/>
            <w:shd w:val="clear" w:color="auto" w:fill="F2F2F2"/>
          </w:tcPr>
          <w:p>
            <w:pPr>
              <w:spacing w:after="0"/>
              <w:rPr>
                <w:sz w:val="17"/>
                <w:szCs w:val="17"/>
                <w:color w:val="auto"/>
              </w:rPr>
            </w:pPr>
          </w:p>
        </w:tc>
        <w:tc>
          <w:tcPr>
            <w:tcW w:w="1640" w:type="dxa"/>
            <w:vAlign w:val="bottom"/>
            <w:shd w:val="clear" w:color="auto" w:fill="F2F2F2"/>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660" w:type="dxa"/>
            <w:vAlign w:val="bottom"/>
            <w:tcBorders>
              <w:bottom w:val="single" w:sz="8" w:color="4A7EBB"/>
            </w:tcBorders>
            <w:gridSpan w:val="2"/>
            <w:shd w:val="clear" w:color="auto" w:fill="F2F2F2"/>
          </w:tcPr>
          <w:p>
            <w:pPr>
              <w:ind w:left="120"/>
              <w:spacing w:after="0"/>
              <w:rPr>
                <w:sz w:val="20"/>
                <w:szCs w:val="20"/>
                <w:color w:val="auto"/>
              </w:rPr>
            </w:pPr>
            <w:r>
              <w:rPr>
                <w:rFonts w:ascii="Arial" w:cs="Arial" w:eastAsia="Arial" w:hAnsi="Arial"/>
                <w:sz w:val="16"/>
                <w:szCs w:val="16"/>
                <w:color w:val="auto"/>
              </w:rPr>
              <w:t>Goods Company Limited</w:t>
            </w:r>
          </w:p>
        </w:tc>
        <w:tc>
          <w:tcPr>
            <w:tcW w:w="340" w:type="dxa"/>
            <w:vAlign w:val="bottom"/>
            <w:tcBorders>
              <w:bottom w:val="single" w:sz="8" w:color="4A7EBB"/>
            </w:tcBorders>
            <w:shd w:val="clear" w:color="auto" w:fill="F2F2F2"/>
          </w:tcPr>
          <w:p>
            <w:pPr>
              <w:spacing w:after="0"/>
              <w:rPr>
                <w:sz w:val="16"/>
                <w:szCs w:val="16"/>
                <w:color w:val="auto"/>
              </w:rPr>
            </w:pPr>
          </w:p>
        </w:tc>
        <w:tc>
          <w:tcPr>
            <w:tcW w:w="400" w:type="dxa"/>
            <w:vAlign w:val="bottom"/>
            <w:tcBorders>
              <w:bottom w:val="single" w:sz="8" w:color="4A7EBB"/>
            </w:tcBorders>
            <w:shd w:val="clear" w:color="auto" w:fill="F2F2F2"/>
          </w:tcPr>
          <w:p>
            <w:pPr>
              <w:spacing w:after="0"/>
              <w:rPr>
                <w:sz w:val="16"/>
                <w:szCs w:val="16"/>
                <w:color w:val="auto"/>
              </w:rPr>
            </w:pPr>
          </w:p>
        </w:tc>
        <w:tc>
          <w:tcPr>
            <w:tcW w:w="1100" w:type="dxa"/>
            <w:vAlign w:val="bottom"/>
            <w:tcBorders>
              <w:bottom w:val="single" w:sz="8" w:color="4A7EBB"/>
            </w:tcBorders>
            <w:shd w:val="clear" w:color="auto" w:fill="F2F2F2"/>
          </w:tcPr>
          <w:p>
            <w:pPr>
              <w:spacing w:after="0"/>
              <w:rPr>
                <w:sz w:val="16"/>
                <w:szCs w:val="16"/>
                <w:color w:val="auto"/>
              </w:rPr>
            </w:pPr>
          </w:p>
        </w:tc>
        <w:tc>
          <w:tcPr>
            <w:tcW w:w="1320" w:type="dxa"/>
            <w:vAlign w:val="bottom"/>
            <w:tcBorders>
              <w:bottom w:val="single" w:sz="8" w:color="4A7EBB"/>
            </w:tcBorders>
            <w:shd w:val="clear" w:color="auto" w:fill="F2F2F2"/>
          </w:tcPr>
          <w:p>
            <w:pPr>
              <w:spacing w:after="0"/>
              <w:rPr>
                <w:sz w:val="16"/>
                <w:szCs w:val="16"/>
                <w:color w:val="auto"/>
              </w:rPr>
            </w:pPr>
          </w:p>
        </w:tc>
        <w:tc>
          <w:tcPr>
            <w:tcW w:w="780" w:type="dxa"/>
            <w:vAlign w:val="bottom"/>
            <w:tcBorders>
              <w:bottom w:val="single" w:sz="8" w:color="4A7EBB"/>
            </w:tcBorders>
            <w:shd w:val="clear" w:color="auto" w:fill="F2F2F2"/>
          </w:tcPr>
          <w:p>
            <w:pPr>
              <w:spacing w:after="0"/>
              <w:rPr>
                <w:sz w:val="16"/>
                <w:szCs w:val="16"/>
                <w:color w:val="auto"/>
              </w:rPr>
            </w:pPr>
          </w:p>
        </w:tc>
        <w:tc>
          <w:tcPr>
            <w:tcW w:w="1680" w:type="dxa"/>
            <w:vAlign w:val="bottom"/>
            <w:tcBorders>
              <w:bottom w:val="single" w:sz="8" w:color="4A7EBB"/>
            </w:tcBorders>
            <w:shd w:val="clear" w:color="auto" w:fill="F2F2F2"/>
          </w:tcPr>
          <w:p>
            <w:pPr>
              <w:spacing w:after="0"/>
              <w:rPr>
                <w:sz w:val="16"/>
                <w:szCs w:val="16"/>
                <w:color w:val="auto"/>
              </w:rPr>
            </w:pPr>
          </w:p>
        </w:tc>
        <w:tc>
          <w:tcPr>
            <w:tcW w:w="1640" w:type="dxa"/>
            <w:vAlign w:val="bottom"/>
            <w:tcBorders>
              <w:bottom w:val="single" w:sz="8" w:color="4A7EBB"/>
            </w:tcBorders>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1700" w:type="dxa"/>
            <w:vAlign w:val="bottom"/>
          </w:tcPr>
          <w:p>
            <w:pPr>
              <w:ind w:left="120"/>
              <w:spacing w:after="0" w:line="168" w:lineRule="exact"/>
              <w:rPr>
                <w:sz w:val="20"/>
                <w:szCs w:val="20"/>
                <w:color w:val="auto"/>
              </w:rPr>
            </w:pPr>
            <w:r>
              <w:rPr>
                <w:rFonts w:ascii="Arial" w:cs="Arial" w:eastAsia="Arial" w:hAnsi="Arial"/>
                <w:sz w:val="16"/>
                <w:szCs w:val="16"/>
                <w:b w:val="1"/>
                <w:bCs w:val="1"/>
                <w:color w:val="auto"/>
              </w:rPr>
              <w:t>Patti H. Ongman</w:t>
            </w: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40" w:type="dxa"/>
            <w:vAlign w:val="bottom"/>
            <w:vMerge w:val="restart"/>
          </w:tcPr>
          <w:p>
            <w:pPr>
              <w:jc w:val="right"/>
              <w:ind w:right="1293"/>
              <w:spacing w:after="0"/>
              <w:rPr>
                <w:sz w:val="20"/>
                <w:szCs w:val="20"/>
                <w:color w:val="auto"/>
              </w:rPr>
            </w:pPr>
            <w:r>
              <w:rPr>
                <w:rFonts w:ascii="Arial" w:cs="Arial" w:eastAsia="Arial" w:hAnsi="Arial"/>
                <w:sz w:val="32"/>
                <w:szCs w:val="32"/>
                <w:color w:val="4A7EBB"/>
              </w:rPr>
              <w:t>●</w:t>
            </w:r>
          </w:p>
        </w:tc>
        <w:tc>
          <w:tcPr>
            <w:tcW w:w="0" w:type="dxa"/>
            <w:vAlign w:val="bottom"/>
          </w:tcPr>
          <w:p>
            <w:pPr>
              <w:spacing w:after="0"/>
              <w:rPr>
                <w:sz w:val="1"/>
                <w:szCs w:val="1"/>
                <w:color w:val="auto"/>
              </w:rPr>
            </w:pPr>
          </w:p>
        </w:tc>
      </w:tr>
      <w:tr>
        <w:trPr>
          <w:trHeight w:val="189"/>
        </w:trPr>
        <w:tc>
          <w:tcPr>
            <w:tcW w:w="2660" w:type="dxa"/>
            <w:vAlign w:val="bottom"/>
            <w:gridSpan w:val="2"/>
          </w:tcPr>
          <w:p>
            <w:pPr>
              <w:ind w:left="120"/>
              <w:spacing w:after="0"/>
              <w:rPr>
                <w:sz w:val="20"/>
                <w:szCs w:val="20"/>
                <w:color w:val="auto"/>
              </w:rPr>
            </w:pPr>
            <w:r>
              <w:rPr>
                <w:rFonts w:ascii="Arial" w:cs="Arial" w:eastAsia="Arial" w:hAnsi="Arial"/>
                <w:sz w:val="16"/>
                <w:szCs w:val="16"/>
                <w:color w:val="auto"/>
              </w:rPr>
              <w:t>Independent Retail Consultant</w:t>
            </w:r>
          </w:p>
        </w:tc>
        <w:tc>
          <w:tcPr>
            <w:tcW w:w="340" w:type="dxa"/>
            <w:vAlign w:val="bottom"/>
            <w:vMerge w:val="restart"/>
          </w:tcPr>
          <w:p>
            <w:pPr>
              <w:jc w:val="right"/>
              <w:spacing w:after="0"/>
              <w:rPr>
                <w:sz w:val="20"/>
                <w:szCs w:val="20"/>
                <w:color w:val="auto"/>
              </w:rPr>
            </w:pPr>
            <w:r>
              <w:rPr>
                <w:rFonts w:ascii="Arial" w:cs="Arial" w:eastAsia="Arial" w:hAnsi="Arial"/>
                <w:sz w:val="16"/>
                <w:szCs w:val="16"/>
                <w:color w:val="auto"/>
              </w:rPr>
              <w:t>70</w:t>
            </w:r>
          </w:p>
        </w:tc>
        <w:tc>
          <w:tcPr>
            <w:tcW w:w="400" w:type="dxa"/>
            <w:vAlign w:val="bottom"/>
          </w:tcPr>
          <w:p>
            <w:pPr>
              <w:spacing w:after="0"/>
              <w:rPr>
                <w:sz w:val="16"/>
                <w:szCs w:val="16"/>
                <w:color w:val="auto"/>
              </w:rPr>
            </w:pPr>
          </w:p>
        </w:tc>
        <w:tc>
          <w:tcPr>
            <w:tcW w:w="1100" w:type="dxa"/>
            <w:vAlign w:val="bottom"/>
            <w:vMerge w:val="restart"/>
          </w:tcPr>
          <w:p>
            <w:pPr>
              <w:jc w:val="right"/>
              <w:ind w:right="579"/>
              <w:spacing w:after="0"/>
              <w:rPr>
                <w:sz w:val="20"/>
                <w:szCs w:val="20"/>
                <w:color w:val="auto"/>
              </w:rPr>
            </w:pPr>
            <w:r>
              <w:rPr>
                <w:rFonts w:ascii="Arial" w:cs="Arial" w:eastAsia="Arial" w:hAnsi="Arial"/>
                <w:sz w:val="16"/>
                <w:szCs w:val="16"/>
                <w:color w:val="auto"/>
              </w:rPr>
              <w:t>2022</w:t>
            </w:r>
          </w:p>
        </w:tc>
        <w:tc>
          <w:tcPr>
            <w:tcW w:w="1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60" w:type="dxa"/>
            <w:vAlign w:val="bottom"/>
            <w:gridSpan w:val="2"/>
          </w:tcPr>
          <w:p>
            <w:pPr>
              <w:ind w:left="120"/>
              <w:spacing w:after="0"/>
              <w:rPr>
                <w:sz w:val="20"/>
                <w:szCs w:val="20"/>
                <w:color w:val="auto"/>
              </w:rPr>
            </w:pPr>
            <w:r>
              <w:rPr>
                <w:rFonts w:ascii="Arial" w:cs="Arial" w:eastAsia="Arial" w:hAnsi="Arial"/>
                <w:sz w:val="16"/>
                <w:szCs w:val="16"/>
                <w:color w:val="auto"/>
              </w:rPr>
              <w:t>and Former Chief Merchandising</w:t>
            </w:r>
          </w:p>
        </w:tc>
        <w:tc>
          <w:tcPr>
            <w:tcW w:w="34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00" w:type="dxa"/>
            <w:vAlign w:val="bottom"/>
            <w:tcBorders>
              <w:bottom w:val="single" w:sz="8" w:color="4A7EBB"/>
            </w:tcBorders>
          </w:tcPr>
          <w:p>
            <w:pPr>
              <w:ind w:left="120"/>
              <w:spacing w:after="0"/>
              <w:rPr>
                <w:sz w:val="20"/>
                <w:szCs w:val="20"/>
                <w:color w:val="auto"/>
              </w:rPr>
            </w:pPr>
            <w:r>
              <w:rPr>
                <w:rFonts w:ascii="Arial" w:cs="Arial" w:eastAsia="Arial" w:hAnsi="Arial"/>
                <w:sz w:val="16"/>
                <w:szCs w:val="16"/>
                <w:color w:val="auto"/>
              </w:rPr>
              <w:t>Officer - Macy’s</w:t>
            </w:r>
          </w:p>
        </w:tc>
        <w:tc>
          <w:tcPr>
            <w:tcW w:w="960" w:type="dxa"/>
            <w:vAlign w:val="bottom"/>
            <w:tcBorders>
              <w:bottom w:val="single" w:sz="8" w:color="4A7EBB"/>
            </w:tcBorders>
          </w:tcPr>
          <w:p>
            <w:pPr>
              <w:spacing w:after="0"/>
              <w:rPr>
                <w:sz w:val="17"/>
                <w:szCs w:val="17"/>
                <w:color w:val="auto"/>
              </w:rPr>
            </w:pPr>
          </w:p>
        </w:tc>
        <w:tc>
          <w:tcPr>
            <w:tcW w:w="340" w:type="dxa"/>
            <w:vAlign w:val="bottom"/>
            <w:tcBorders>
              <w:bottom w:val="single" w:sz="8" w:color="4A7EBB"/>
            </w:tcBorders>
          </w:tcPr>
          <w:p>
            <w:pPr>
              <w:spacing w:after="0"/>
              <w:rPr>
                <w:sz w:val="17"/>
                <w:szCs w:val="17"/>
                <w:color w:val="auto"/>
              </w:rPr>
            </w:pPr>
          </w:p>
        </w:tc>
        <w:tc>
          <w:tcPr>
            <w:tcW w:w="400" w:type="dxa"/>
            <w:vAlign w:val="bottom"/>
            <w:tcBorders>
              <w:bottom w:val="single" w:sz="8" w:color="4A7EBB"/>
            </w:tcBorders>
          </w:tcPr>
          <w:p>
            <w:pPr>
              <w:spacing w:after="0"/>
              <w:rPr>
                <w:sz w:val="17"/>
                <w:szCs w:val="17"/>
                <w:color w:val="auto"/>
              </w:rPr>
            </w:pPr>
          </w:p>
        </w:tc>
        <w:tc>
          <w:tcPr>
            <w:tcW w:w="1100" w:type="dxa"/>
            <w:vAlign w:val="bottom"/>
            <w:tcBorders>
              <w:bottom w:val="single" w:sz="8" w:color="4A7EBB"/>
            </w:tcBorders>
          </w:tcPr>
          <w:p>
            <w:pPr>
              <w:spacing w:after="0"/>
              <w:rPr>
                <w:sz w:val="17"/>
                <w:szCs w:val="17"/>
                <w:color w:val="auto"/>
              </w:rPr>
            </w:pPr>
          </w:p>
        </w:tc>
        <w:tc>
          <w:tcPr>
            <w:tcW w:w="1320" w:type="dxa"/>
            <w:vAlign w:val="bottom"/>
            <w:tcBorders>
              <w:bottom w:val="single" w:sz="8" w:color="4A7EBB"/>
            </w:tcBorders>
          </w:tcPr>
          <w:p>
            <w:pPr>
              <w:spacing w:after="0"/>
              <w:rPr>
                <w:sz w:val="17"/>
                <w:szCs w:val="17"/>
                <w:color w:val="auto"/>
              </w:rPr>
            </w:pPr>
          </w:p>
        </w:tc>
        <w:tc>
          <w:tcPr>
            <w:tcW w:w="780" w:type="dxa"/>
            <w:vAlign w:val="bottom"/>
            <w:tcBorders>
              <w:bottom w:val="single" w:sz="8" w:color="4A7EBB"/>
            </w:tcBorders>
          </w:tcPr>
          <w:p>
            <w:pPr>
              <w:spacing w:after="0"/>
              <w:rPr>
                <w:sz w:val="17"/>
                <w:szCs w:val="17"/>
                <w:color w:val="auto"/>
              </w:rPr>
            </w:pPr>
          </w:p>
        </w:tc>
        <w:tc>
          <w:tcPr>
            <w:tcW w:w="1680" w:type="dxa"/>
            <w:vAlign w:val="bottom"/>
            <w:tcBorders>
              <w:bottom w:val="single" w:sz="8" w:color="4A7EBB"/>
            </w:tcBorders>
          </w:tcPr>
          <w:p>
            <w:pPr>
              <w:spacing w:after="0"/>
              <w:rPr>
                <w:sz w:val="17"/>
                <w:szCs w:val="17"/>
                <w:color w:val="auto"/>
              </w:rPr>
            </w:pPr>
          </w:p>
        </w:tc>
        <w:tc>
          <w:tcPr>
            <w:tcW w:w="1640" w:type="dxa"/>
            <w:vAlign w:val="bottom"/>
            <w:tcBorders>
              <w:bottom w:val="single" w:sz="8" w:color="4A7EBB"/>
            </w:tcBorders>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1700" w:type="dxa"/>
            <w:vAlign w:val="bottom"/>
            <w:shd w:val="clear" w:color="auto" w:fill="F2F2F2"/>
          </w:tcPr>
          <w:p>
            <w:pPr>
              <w:ind w:left="120"/>
              <w:spacing w:after="0" w:line="168" w:lineRule="exact"/>
              <w:rPr>
                <w:sz w:val="20"/>
                <w:szCs w:val="20"/>
                <w:color w:val="auto"/>
              </w:rPr>
            </w:pPr>
            <w:r>
              <w:rPr>
                <w:rFonts w:ascii="Arial" w:cs="Arial" w:eastAsia="Arial" w:hAnsi="Arial"/>
                <w:sz w:val="16"/>
                <w:szCs w:val="16"/>
                <w:b w:val="1"/>
                <w:bCs w:val="1"/>
                <w:color w:val="auto"/>
              </w:rPr>
              <w:t>Michael Shaffer</w:t>
            </w:r>
          </w:p>
        </w:tc>
        <w:tc>
          <w:tcPr>
            <w:tcW w:w="960" w:type="dxa"/>
            <w:vAlign w:val="bottom"/>
            <w:shd w:val="clear" w:color="auto" w:fill="F2F2F2"/>
          </w:tcPr>
          <w:p>
            <w:pPr>
              <w:spacing w:after="0"/>
              <w:rPr>
                <w:sz w:val="14"/>
                <w:szCs w:val="14"/>
                <w:color w:val="auto"/>
              </w:rPr>
            </w:pPr>
          </w:p>
        </w:tc>
        <w:tc>
          <w:tcPr>
            <w:tcW w:w="340" w:type="dxa"/>
            <w:vAlign w:val="bottom"/>
            <w:shd w:val="clear" w:color="auto" w:fill="F2F2F2"/>
          </w:tcPr>
          <w:p>
            <w:pPr>
              <w:spacing w:after="0"/>
              <w:rPr>
                <w:sz w:val="14"/>
                <w:szCs w:val="14"/>
                <w:color w:val="auto"/>
              </w:rPr>
            </w:pPr>
          </w:p>
        </w:tc>
        <w:tc>
          <w:tcPr>
            <w:tcW w:w="400" w:type="dxa"/>
            <w:vAlign w:val="bottom"/>
            <w:shd w:val="clear" w:color="auto" w:fill="F2F2F2"/>
          </w:tcPr>
          <w:p>
            <w:pPr>
              <w:spacing w:after="0"/>
              <w:rPr>
                <w:sz w:val="14"/>
                <w:szCs w:val="14"/>
                <w:color w:val="auto"/>
              </w:rPr>
            </w:pPr>
          </w:p>
        </w:tc>
        <w:tc>
          <w:tcPr>
            <w:tcW w:w="1100" w:type="dxa"/>
            <w:vAlign w:val="bottom"/>
            <w:shd w:val="clear" w:color="auto" w:fill="F2F2F2"/>
          </w:tcPr>
          <w:p>
            <w:pPr>
              <w:spacing w:after="0"/>
              <w:rPr>
                <w:sz w:val="14"/>
                <w:szCs w:val="14"/>
                <w:color w:val="auto"/>
              </w:rPr>
            </w:pPr>
          </w:p>
        </w:tc>
        <w:tc>
          <w:tcPr>
            <w:tcW w:w="1320" w:type="dxa"/>
            <w:vAlign w:val="bottom"/>
            <w:shd w:val="clear" w:color="auto" w:fill="F2F2F2"/>
          </w:tcPr>
          <w:p>
            <w:pPr>
              <w:spacing w:after="0"/>
              <w:rPr>
                <w:sz w:val="14"/>
                <w:szCs w:val="14"/>
                <w:color w:val="auto"/>
              </w:rPr>
            </w:pPr>
          </w:p>
        </w:tc>
        <w:tc>
          <w:tcPr>
            <w:tcW w:w="780" w:type="dxa"/>
            <w:vAlign w:val="bottom"/>
            <w:shd w:val="clear" w:color="auto" w:fill="F2F2F2"/>
          </w:tcPr>
          <w:p>
            <w:pPr>
              <w:spacing w:after="0"/>
              <w:rPr>
                <w:sz w:val="14"/>
                <w:szCs w:val="14"/>
                <w:color w:val="auto"/>
              </w:rPr>
            </w:pPr>
          </w:p>
        </w:tc>
        <w:tc>
          <w:tcPr>
            <w:tcW w:w="1680" w:type="dxa"/>
            <w:vAlign w:val="bottom"/>
            <w:shd w:val="clear" w:color="auto" w:fill="F2F2F2"/>
          </w:tcPr>
          <w:p>
            <w:pPr>
              <w:spacing w:after="0"/>
              <w:rPr>
                <w:sz w:val="14"/>
                <w:szCs w:val="14"/>
                <w:color w:val="auto"/>
              </w:rPr>
            </w:pPr>
          </w:p>
        </w:tc>
        <w:tc>
          <w:tcPr>
            <w:tcW w:w="1640" w:type="dxa"/>
            <w:vAlign w:val="bottom"/>
            <w:shd w:val="clear" w:color="auto" w:fill="F2F2F2"/>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660" w:type="dxa"/>
            <w:vAlign w:val="bottom"/>
            <w:gridSpan w:val="2"/>
            <w:shd w:val="clear" w:color="auto" w:fill="F2F2F2"/>
          </w:tcPr>
          <w:p>
            <w:pPr>
              <w:ind w:left="120"/>
              <w:spacing w:after="0"/>
              <w:rPr>
                <w:sz w:val="20"/>
                <w:szCs w:val="20"/>
                <w:color w:val="auto"/>
              </w:rPr>
            </w:pPr>
            <w:r>
              <w:rPr>
                <w:rFonts w:ascii="Arial" w:cs="Arial" w:eastAsia="Arial" w:hAnsi="Arial"/>
                <w:sz w:val="16"/>
                <w:szCs w:val="16"/>
                <w:color w:val="auto"/>
              </w:rPr>
              <w:t>Retired Executive Vice President,</w:t>
            </w:r>
          </w:p>
        </w:tc>
        <w:tc>
          <w:tcPr>
            <w:tcW w:w="340" w:type="dxa"/>
            <w:vAlign w:val="bottom"/>
            <w:vMerge w:val="restart"/>
            <w:shd w:val="clear" w:color="auto" w:fill="F2F2F2"/>
          </w:tcPr>
          <w:p>
            <w:pPr>
              <w:jc w:val="right"/>
              <w:spacing w:after="0"/>
              <w:rPr>
                <w:sz w:val="20"/>
                <w:szCs w:val="20"/>
                <w:color w:val="auto"/>
              </w:rPr>
            </w:pPr>
            <w:r>
              <w:rPr>
                <w:rFonts w:ascii="Arial" w:cs="Arial" w:eastAsia="Arial" w:hAnsi="Arial"/>
                <w:sz w:val="16"/>
                <w:szCs w:val="16"/>
                <w:color w:val="auto"/>
              </w:rPr>
              <w:t>63</w:t>
            </w:r>
          </w:p>
        </w:tc>
        <w:tc>
          <w:tcPr>
            <w:tcW w:w="400" w:type="dxa"/>
            <w:vAlign w:val="bottom"/>
            <w:shd w:val="clear" w:color="auto" w:fill="F2F2F2"/>
          </w:tcPr>
          <w:p>
            <w:pPr>
              <w:spacing w:after="0"/>
              <w:rPr>
                <w:sz w:val="16"/>
                <w:szCs w:val="16"/>
                <w:color w:val="auto"/>
              </w:rPr>
            </w:pPr>
          </w:p>
        </w:tc>
        <w:tc>
          <w:tcPr>
            <w:tcW w:w="1100" w:type="dxa"/>
            <w:vAlign w:val="bottom"/>
            <w:vMerge w:val="restart"/>
            <w:shd w:val="clear" w:color="auto" w:fill="F2F2F2"/>
          </w:tcPr>
          <w:p>
            <w:pPr>
              <w:jc w:val="right"/>
              <w:ind w:right="579"/>
              <w:spacing w:after="0"/>
              <w:rPr>
                <w:sz w:val="20"/>
                <w:szCs w:val="20"/>
                <w:color w:val="auto"/>
              </w:rPr>
            </w:pPr>
            <w:r>
              <w:rPr>
                <w:rFonts w:ascii="Arial" w:cs="Arial" w:eastAsia="Arial" w:hAnsi="Arial"/>
                <w:sz w:val="16"/>
                <w:szCs w:val="16"/>
                <w:color w:val="auto"/>
              </w:rPr>
              <w:t>2023</w:t>
            </w:r>
          </w:p>
        </w:tc>
        <w:tc>
          <w:tcPr>
            <w:tcW w:w="1320" w:type="dxa"/>
            <w:vAlign w:val="bottom"/>
            <w:shd w:val="clear" w:color="auto" w:fill="F2F2F2"/>
          </w:tcPr>
          <w:p>
            <w:pPr>
              <w:spacing w:after="0"/>
              <w:rPr>
                <w:sz w:val="16"/>
                <w:szCs w:val="16"/>
                <w:color w:val="auto"/>
              </w:rPr>
            </w:pPr>
          </w:p>
        </w:tc>
        <w:tc>
          <w:tcPr>
            <w:tcW w:w="780" w:type="dxa"/>
            <w:vAlign w:val="bottom"/>
            <w:shd w:val="clear" w:color="auto" w:fill="F2F2F2"/>
          </w:tcPr>
          <w:p>
            <w:pPr>
              <w:spacing w:after="0"/>
              <w:rPr>
                <w:sz w:val="16"/>
                <w:szCs w:val="16"/>
                <w:color w:val="auto"/>
              </w:rPr>
            </w:pPr>
          </w:p>
        </w:tc>
        <w:tc>
          <w:tcPr>
            <w:tcW w:w="1680" w:type="dxa"/>
            <w:vAlign w:val="bottom"/>
            <w:shd w:val="clear" w:color="auto" w:fill="F2F2F2"/>
          </w:tcPr>
          <w:p>
            <w:pPr>
              <w:spacing w:after="0"/>
              <w:rPr>
                <w:sz w:val="16"/>
                <w:szCs w:val="16"/>
                <w:color w:val="auto"/>
              </w:rPr>
            </w:pPr>
          </w:p>
        </w:tc>
        <w:tc>
          <w:tcPr>
            <w:tcW w:w="1640" w:type="dxa"/>
            <w:vAlign w:val="bottom"/>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2660" w:type="dxa"/>
            <w:vAlign w:val="bottom"/>
            <w:gridSpan w:val="2"/>
            <w:vMerge w:val="restart"/>
            <w:shd w:val="clear" w:color="auto" w:fill="F2F2F2"/>
          </w:tcPr>
          <w:p>
            <w:pPr>
              <w:ind w:left="120"/>
              <w:spacing w:after="0"/>
              <w:rPr>
                <w:sz w:val="20"/>
                <w:szCs w:val="20"/>
                <w:color w:val="auto"/>
              </w:rPr>
            </w:pPr>
            <w:r>
              <w:rPr>
                <w:rFonts w:ascii="Arial" w:cs="Arial" w:eastAsia="Arial" w:hAnsi="Arial"/>
                <w:sz w:val="16"/>
                <w:szCs w:val="16"/>
                <w:color w:val="auto"/>
              </w:rPr>
              <w:t>Chief Operating and Financial</w:t>
            </w:r>
          </w:p>
        </w:tc>
        <w:tc>
          <w:tcPr>
            <w:tcW w:w="340" w:type="dxa"/>
            <w:vAlign w:val="bottom"/>
            <w:vMerge w:val="continue"/>
            <w:shd w:val="clear" w:color="auto" w:fill="F2F2F2"/>
          </w:tcPr>
          <w:p>
            <w:pPr>
              <w:spacing w:after="0"/>
              <w:rPr>
                <w:sz w:val="10"/>
                <w:szCs w:val="10"/>
                <w:color w:val="auto"/>
              </w:rPr>
            </w:pPr>
          </w:p>
        </w:tc>
        <w:tc>
          <w:tcPr>
            <w:tcW w:w="400" w:type="dxa"/>
            <w:vAlign w:val="bottom"/>
            <w:shd w:val="clear" w:color="auto" w:fill="F2F2F2"/>
          </w:tcPr>
          <w:p>
            <w:pPr>
              <w:spacing w:after="0"/>
              <w:rPr>
                <w:sz w:val="10"/>
                <w:szCs w:val="10"/>
                <w:color w:val="auto"/>
              </w:rPr>
            </w:pPr>
          </w:p>
        </w:tc>
        <w:tc>
          <w:tcPr>
            <w:tcW w:w="1100" w:type="dxa"/>
            <w:vAlign w:val="bottom"/>
            <w:vMerge w:val="continue"/>
            <w:shd w:val="clear" w:color="auto" w:fill="F2F2F2"/>
          </w:tcPr>
          <w:p>
            <w:pPr>
              <w:spacing w:after="0"/>
              <w:rPr>
                <w:sz w:val="10"/>
                <w:szCs w:val="10"/>
                <w:color w:val="auto"/>
              </w:rPr>
            </w:pPr>
          </w:p>
        </w:tc>
        <w:tc>
          <w:tcPr>
            <w:tcW w:w="1320" w:type="dxa"/>
            <w:vAlign w:val="bottom"/>
            <w:shd w:val="clear" w:color="auto" w:fill="F2F2F2"/>
          </w:tcPr>
          <w:p>
            <w:pPr>
              <w:spacing w:after="0"/>
              <w:rPr>
                <w:sz w:val="10"/>
                <w:szCs w:val="10"/>
                <w:color w:val="auto"/>
              </w:rPr>
            </w:pPr>
          </w:p>
        </w:tc>
        <w:tc>
          <w:tcPr>
            <w:tcW w:w="780" w:type="dxa"/>
            <w:vAlign w:val="bottom"/>
            <w:shd w:val="clear" w:color="auto" w:fill="F2F2F2"/>
          </w:tcPr>
          <w:p>
            <w:pPr>
              <w:spacing w:after="0"/>
              <w:rPr>
                <w:sz w:val="10"/>
                <w:szCs w:val="10"/>
                <w:color w:val="auto"/>
              </w:rPr>
            </w:pPr>
          </w:p>
        </w:tc>
        <w:tc>
          <w:tcPr>
            <w:tcW w:w="1680" w:type="dxa"/>
            <w:vAlign w:val="bottom"/>
            <w:shd w:val="clear" w:color="auto" w:fill="F2F2F2"/>
          </w:tcPr>
          <w:p>
            <w:pPr>
              <w:spacing w:after="0"/>
              <w:rPr>
                <w:sz w:val="10"/>
                <w:szCs w:val="10"/>
                <w:color w:val="auto"/>
              </w:rPr>
            </w:pPr>
          </w:p>
        </w:tc>
        <w:tc>
          <w:tcPr>
            <w:tcW w:w="1640" w:type="dxa"/>
            <w:vAlign w:val="bottom"/>
            <w:shd w:val="clear" w:color="auto" w:fill="F2F2F2"/>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2660" w:type="dxa"/>
            <w:vAlign w:val="bottom"/>
            <w:gridSpan w:val="2"/>
            <w:vMerge w:val="continue"/>
            <w:shd w:val="clear" w:color="auto" w:fill="F2F2F2"/>
          </w:tcPr>
          <w:p>
            <w:pPr>
              <w:spacing w:after="0"/>
              <w:rPr>
                <w:sz w:val="5"/>
                <w:szCs w:val="5"/>
                <w:color w:val="auto"/>
              </w:rPr>
            </w:pPr>
          </w:p>
        </w:tc>
        <w:tc>
          <w:tcPr>
            <w:tcW w:w="340" w:type="dxa"/>
            <w:vAlign w:val="bottom"/>
            <w:shd w:val="clear" w:color="auto" w:fill="F2F2F2"/>
          </w:tcPr>
          <w:p>
            <w:pPr>
              <w:spacing w:after="0"/>
              <w:rPr>
                <w:sz w:val="5"/>
                <w:szCs w:val="5"/>
                <w:color w:val="auto"/>
              </w:rPr>
            </w:pPr>
          </w:p>
        </w:tc>
        <w:tc>
          <w:tcPr>
            <w:tcW w:w="400" w:type="dxa"/>
            <w:vAlign w:val="bottom"/>
            <w:shd w:val="clear" w:color="auto" w:fill="F2F2F2"/>
          </w:tcPr>
          <w:p>
            <w:pPr>
              <w:spacing w:after="0"/>
              <w:rPr>
                <w:sz w:val="5"/>
                <w:szCs w:val="5"/>
                <w:color w:val="auto"/>
              </w:rPr>
            </w:pPr>
          </w:p>
        </w:tc>
        <w:tc>
          <w:tcPr>
            <w:tcW w:w="1100" w:type="dxa"/>
            <w:vAlign w:val="bottom"/>
            <w:shd w:val="clear" w:color="auto" w:fill="F2F2F2"/>
          </w:tcPr>
          <w:p>
            <w:pPr>
              <w:spacing w:after="0"/>
              <w:rPr>
                <w:sz w:val="5"/>
                <w:szCs w:val="5"/>
                <w:color w:val="auto"/>
              </w:rPr>
            </w:pPr>
          </w:p>
        </w:tc>
        <w:tc>
          <w:tcPr>
            <w:tcW w:w="1320" w:type="dxa"/>
            <w:vAlign w:val="bottom"/>
            <w:shd w:val="clear" w:color="auto" w:fill="F2F2F2"/>
          </w:tcPr>
          <w:p>
            <w:pPr>
              <w:spacing w:after="0"/>
              <w:rPr>
                <w:sz w:val="5"/>
                <w:szCs w:val="5"/>
                <w:color w:val="auto"/>
              </w:rPr>
            </w:pPr>
          </w:p>
        </w:tc>
        <w:tc>
          <w:tcPr>
            <w:tcW w:w="780" w:type="dxa"/>
            <w:vAlign w:val="bottom"/>
            <w:shd w:val="clear" w:color="auto" w:fill="F2F2F2"/>
          </w:tcPr>
          <w:p>
            <w:pPr>
              <w:spacing w:after="0"/>
              <w:rPr>
                <w:sz w:val="5"/>
                <w:szCs w:val="5"/>
                <w:color w:val="auto"/>
              </w:rPr>
            </w:pPr>
          </w:p>
        </w:tc>
        <w:tc>
          <w:tcPr>
            <w:tcW w:w="1680" w:type="dxa"/>
            <w:vAlign w:val="bottom"/>
            <w:shd w:val="clear" w:color="auto" w:fill="F2F2F2"/>
          </w:tcPr>
          <w:p>
            <w:pPr>
              <w:spacing w:after="0"/>
              <w:rPr>
                <w:sz w:val="5"/>
                <w:szCs w:val="5"/>
                <w:color w:val="auto"/>
              </w:rPr>
            </w:pPr>
          </w:p>
        </w:tc>
        <w:tc>
          <w:tcPr>
            <w:tcW w:w="1640" w:type="dxa"/>
            <w:vAlign w:val="bottom"/>
            <w:shd w:val="clear" w:color="auto" w:fill="F2F2F2"/>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700" w:type="dxa"/>
            <w:vAlign w:val="bottom"/>
            <w:tcBorders>
              <w:bottom w:val="single" w:sz="8" w:color="4A7EBB"/>
            </w:tcBorders>
            <w:shd w:val="clear" w:color="auto" w:fill="F2F2F2"/>
          </w:tcPr>
          <w:p>
            <w:pPr>
              <w:ind w:left="120"/>
              <w:spacing w:after="0"/>
              <w:rPr>
                <w:sz w:val="20"/>
                <w:szCs w:val="20"/>
                <w:color w:val="auto"/>
              </w:rPr>
            </w:pPr>
            <w:r>
              <w:rPr>
                <w:rFonts w:ascii="Arial" w:cs="Arial" w:eastAsia="Arial" w:hAnsi="Arial"/>
                <w:sz w:val="16"/>
                <w:szCs w:val="16"/>
                <w:color w:val="auto"/>
              </w:rPr>
              <w:t>Officer, PVH Corp.</w:t>
            </w:r>
          </w:p>
        </w:tc>
        <w:tc>
          <w:tcPr>
            <w:tcW w:w="960" w:type="dxa"/>
            <w:vAlign w:val="bottom"/>
            <w:tcBorders>
              <w:bottom w:val="single" w:sz="8" w:color="4A7EBB"/>
            </w:tcBorders>
            <w:shd w:val="clear" w:color="auto" w:fill="F2F2F2"/>
          </w:tcPr>
          <w:p>
            <w:pPr>
              <w:spacing w:after="0"/>
              <w:rPr>
                <w:sz w:val="17"/>
                <w:szCs w:val="17"/>
                <w:color w:val="auto"/>
              </w:rPr>
            </w:pPr>
          </w:p>
        </w:tc>
        <w:tc>
          <w:tcPr>
            <w:tcW w:w="340" w:type="dxa"/>
            <w:vAlign w:val="bottom"/>
            <w:tcBorders>
              <w:bottom w:val="single" w:sz="8" w:color="4A7EBB"/>
            </w:tcBorders>
            <w:shd w:val="clear" w:color="auto" w:fill="F2F2F2"/>
          </w:tcPr>
          <w:p>
            <w:pPr>
              <w:spacing w:after="0"/>
              <w:rPr>
                <w:sz w:val="17"/>
                <w:szCs w:val="17"/>
                <w:color w:val="auto"/>
              </w:rPr>
            </w:pPr>
          </w:p>
        </w:tc>
        <w:tc>
          <w:tcPr>
            <w:tcW w:w="400" w:type="dxa"/>
            <w:vAlign w:val="bottom"/>
            <w:tcBorders>
              <w:bottom w:val="single" w:sz="8" w:color="4A7EBB"/>
            </w:tcBorders>
            <w:shd w:val="clear" w:color="auto" w:fill="F2F2F2"/>
          </w:tcPr>
          <w:p>
            <w:pPr>
              <w:spacing w:after="0"/>
              <w:rPr>
                <w:sz w:val="17"/>
                <w:szCs w:val="17"/>
                <w:color w:val="auto"/>
              </w:rPr>
            </w:pPr>
          </w:p>
        </w:tc>
        <w:tc>
          <w:tcPr>
            <w:tcW w:w="1100" w:type="dxa"/>
            <w:vAlign w:val="bottom"/>
            <w:tcBorders>
              <w:bottom w:val="single" w:sz="8" w:color="4A7EBB"/>
            </w:tcBorders>
            <w:shd w:val="clear" w:color="auto" w:fill="F2F2F2"/>
          </w:tcPr>
          <w:p>
            <w:pPr>
              <w:spacing w:after="0"/>
              <w:rPr>
                <w:sz w:val="17"/>
                <w:szCs w:val="17"/>
                <w:color w:val="auto"/>
              </w:rPr>
            </w:pPr>
          </w:p>
        </w:tc>
        <w:tc>
          <w:tcPr>
            <w:tcW w:w="1320" w:type="dxa"/>
            <w:vAlign w:val="bottom"/>
            <w:tcBorders>
              <w:bottom w:val="single" w:sz="8" w:color="4A7EBB"/>
            </w:tcBorders>
            <w:shd w:val="clear" w:color="auto" w:fill="F2F2F2"/>
          </w:tcPr>
          <w:p>
            <w:pPr>
              <w:spacing w:after="0"/>
              <w:rPr>
                <w:sz w:val="17"/>
                <w:szCs w:val="17"/>
                <w:color w:val="auto"/>
              </w:rPr>
            </w:pPr>
          </w:p>
        </w:tc>
        <w:tc>
          <w:tcPr>
            <w:tcW w:w="780" w:type="dxa"/>
            <w:vAlign w:val="bottom"/>
            <w:tcBorders>
              <w:bottom w:val="single" w:sz="8" w:color="4A7EBB"/>
            </w:tcBorders>
            <w:shd w:val="clear" w:color="auto" w:fill="F2F2F2"/>
          </w:tcPr>
          <w:p>
            <w:pPr>
              <w:spacing w:after="0"/>
              <w:rPr>
                <w:sz w:val="17"/>
                <w:szCs w:val="17"/>
                <w:color w:val="auto"/>
              </w:rPr>
            </w:pPr>
          </w:p>
        </w:tc>
        <w:tc>
          <w:tcPr>
            <w:tcW w:w="1680" w:type="dxa"/>
            <w:vAlign w:val="bottom"/>
            <w:tcBorders>
              <w:bottom w:val="single" w:sz="8" w:color="4A7EBB"/>
            </w:tcBorders>
            <w:shd w:val="clear" w:color="auto" w:fill="F2F2F2"/>
          </w:tcPr>
          <w:p>
            <w:pPr>
              <w:spacing w:after="0"/>
              <w:rPr>
                <w:sz w:val="17"/>
                <w:szCs w:val="17"/>
                <w:color w:val="auto"/>
              </w:rPr>
            </w:pPr>
          </w:p>
        </w:tc>
        <w:tc>
          <w:tcPr>
            <w:tcW w:w="1640" w:type="dxa"/>
            <w:vAlign w:val="bottom"/>
            <w:tcBorders>
              <w:bottom w:val="single" w:sz="8" w:color="4A7EBB"/>
            </w:tcBorders>
            <w:shd w:val="clear" w:color="auto" w:fill="F2F2F2"/>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1700" w:type="dxa"/>
            <w:vAlign w:val="bottom"/>
          </w:tcPr>
          <w:p>
            <w:pPr>
              <w:ind w:left="120"/>
              <w:spacing w:after="0" w:line="168" w:lineRule="exact"/>
              <w:rPr>
                <w:sz w:val="20"/>
                <w:szCs w:val="20"/>
                <w:color w:val="auto"/>
              </w:rPr>
            </w:pPr>
            <w:r>
              <w:rPr>
                <w:rFonts w:ascii="Arial" w:cs="Arial" w:eastAsia="Arial" w:hAnsi="Arial"/>
                <w:sz w:val="16"/>
                <w:szCs w:val="16"/>
                <w:b w:val="1"/>
                <w:bCs w:val="1"/>
                <w:color w:val="auto"/>
              </w:rPr>
              <w:t>Cheryl Vitali</w:t>
            </w: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40" w:type="dxa"/>
            <w:vAlign w:val="bottom"/>
            <w:vMerge w:val="restart"/>
          </w:tcPr>
          <w:p>
            <w:pPr>
              <w:jc w:val="right"/>
              <w:ind w:right="33"/>
              <w:spacing w:after="0"/>
              <w:rPr>
                <w:sz w:val="20"/>
                <w:szCs w:val="20"/>
                <w:color w:val="auto"/>
              </w:rPr>
            </w:pPr>
            <w:r>
              <w:rPr>
                <w:rFonts w:ascii="Arial" w:cs="Arial" w:eastAsia="Arial" w:hAnsi="Arial"/>
                <w:sz w:val="32"/>
                <w:szCs w:val="32"/>
                <w:color w:val="4A7EBB"/>
              </w:rPr>
              <w:t>●</w:t>
            </w:r>
          </w:p>
        </w:tc>
        <w:tc>
          <w:tcPr>
            <w:tcW w:w="0" w:type="dxa"/>
            <w:vAlign w:val="bottom"/>
          </w:tcPr>
          <w:p>
            <w:pPr>
              <w:spacing w:after="0"/>
              <w:rPr>
                <w:sz w:val="1"/>
                <w:szCs w:val="1"/>
                <w:color w:val="auto"/>
              </w:rPr>
            </w:pPr>
          </w:p>
        </w:tc>
      </w:tr>
      <w:tr>
        <w:trPr>
          <w:trHeight w:val="189"/>
        </w:trPr>
        <w:tc>
          <w:tcPr>
            <w:tcW w:w="2660" w:type="dxa"/>
            <w:vAlign w:val="bottom"/>
            <w:gridSpan w:val="2"/>
          </w:tcPr>
          <w:p>
            <w:pPr>
              <w:ind w:left="120"/>
              <w:spacing w:after="0"/>
              <w:rPr>
                <w:sz w:val="20"/>
                <w:szCs w:val="20"/>
                <w:color w:val="auto"/>
              </w:rPr>
            </w:pPr>
            <w:r>
              <w:rPr>
                <w:rFonts w:ascii="Arial" w:cs="Arial" w:eastAsia="Arial" w:hAnsi="Arial"/>
                <w:sz w:val="16"/>
                <w:szCs w:val="16"/>
                <w:color w:val="auto"/>
              </w:rPr>
              <w:t>Retired Global President,</w:t>
            </w:r>
          </w:p>
        </w:tc>
        <w:tc>
          <w:tcPr>
            <w:tcW w:w="340" w:type="dxa"/>
            <w:vAlign w:val="bottom"/>
            <w:vMerge w:val="restart"/>
          </w:tcPr>
          <w:p>
            <w:pPr>
              <w:jc w:val="right"/>
              <w:spacing w:after="0"/>
              <w:rPr>
                <w:sz w:val="20"/>
                <w:szCs w:val="20"/>
                <w:color w:val="auto"/>
              </w:rPr>
            </w:pPr>
            <w:r>
              <w:rPr>
                <w:rFonts w:ascii="Arial" w:cs="Arial" w:eastAsia="Arial" w:hAnsi="Arial"/>
                <w:sz w:val="16"/>
                <w:szCs w:val="16"/>
                <w:color w:val="auto"/>
              </w:rPr>
              <w:t>65</w:t>
            </w:r>
          </w:p>
        </w:tc>
        <w:tc>
          <w:tcPr>
            <w:tcW w:w="400" w:type="dxa"/>
            <w:vAlign w:val="bottom"/>
          </w:tcPr>
          <w:p>
            <w:pPr>
              <w:spacing w:after="0"/>
              <w:rPr>
                <w:sz w:val="16"/>
                <w:szCs w:val="16"/>
                <w:color w:val="auto"/>
              </w:rPr>
            </w:pPr>
          </w:p>
        </w:tc>
        <w:tc>
          <w:tcPr>
            <w:tcW w:w="1100" w:type="dxa"/>
            <w:vAlign w:val="bottom"/>
            <w:vMerge w:val="restart"/>
          </w:tcPr>
          <w:p>
            <w:pPr>
              <w:jc w:val="right"/>
              <w:ind w:right="579"/>
              <w:spacing w:after="0"/>
              <w:rPr>
                <w:sz w:val="20"/>
                <w:szCs w:val="20"/>
                <w:color w:val="auto"/>
              </w:rPr>
            </w:pPr>
            <w:r>
              <w:rPr>
                <w:rFonts w:ascii="Arial" w:cs="Arial" w:eastAsia="Arial" w:hAnsi="Arial"/>
                <w:sz w:val="16"/>
                <w:szCs w:val="16"/>
                <w:color w:val="auto"/>
              </w:rPr>
              <w:t>2011</w:t>
            </w:r>
          </w:p>
        </w:tc>
        <w:tc>
          <w:tcPr>
            <w:tcW w:w="1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60" w:type="dxa"/>
            <w:vAlign w:val="bottom"/>
            <w:gridSpan w:val="2"/>
          </w:tcPr>
          <w:p>
            <w:pPr>
              <w:ind w:left="120"/>
              <w:spacing w:after="0"/>
              <w:rPr>
                <w:sz w:val="20"/>
                <w:szCs w:val="20"/>
                <w:color w:val="auto"/>
              </w:rPr>
            </w:pPr>
            <w:r>
              <w:rPr>
                <w:rFonts w:ascii="Arial" w:cs="Arial" w:eastAsia="Arial" w:hAnsi="Arial"/>
                <w:sz w:val="16"/>
                <w:szCs w:val="16"/>
                <w:color w:val="auto"/>
              </w:rPr>
              <w:t>L’Oreal’s American Luxury</w:t>
            </w:r>
          </w:p>
        </w:tc>
        <w:tc>
          <w:tcPr>
            <w:tcW w:w="34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00" w:type="dxa"/>
            <w:vAlign w:val="bottom"/>
            <w:tcBorders>
              <w:bottom w:val="single" w:sz="8" w:color="4A7EBB"/>
            </w:tcBorders>
          </w:tcPr>
          <w:p>
            <w:pPr>
              <w:ind w:left="120"/>
              <w:spacing w:after="0"/>
              <w:rPr>
                <w:sz w:val="20"/>
                <w:szCs w:val="20"/>
                <w:color w:val="auto"/>
              </w:rPr>
            </w:pPr>
            <w:r>
              <w:rPr>
                <w:rFonts w:ascii="Arial" w:cs="Arial" w:eastAsia="Arial" w:hAnsi="Arial"/>
                <w:sz w:val="16"/>
                <w:szCs w:val="16"/>
                <w:color w:val="auto"/>
              </w:rPr>
              <w:t>Brands</w:t>
            </w:r>
          </w:p>
        </w:tc>
        <w:tc>
          <w:tcPr>
            <w:tcW w:w="960" w:type="dxa"/>
            <w:vAlign w:val="bottom"/>
            <w:tcBorders>
              <w:bottom w:val="single" w:sz="8" w:color="4A7EBB"/>
            </w:tcBorders>
          </w:tcPr>
          <w:p>
            <w:pPr>
              <w:spacing w:after="0"/>
              <w:rPr>
                <w:sz w:val="17"/>
                <w:szCs w:val="17"/>
                <w:color w:val="auto"/>
              </w:rPr>
            </w:pPr>
          </w:p>
        </w:tc>
        <w:tc>
          <w:tcPr>
            <w:tcW w:w="340" w:type="dxa"/>
            <w:vAlign w:val="bottom"/>
            <w:tcBorders>
              <w:bottom w:val="single" w:sz="8" w:color="4A7EBB"/>
            </w:tcBorders>
          </w:tcPr>
          <w:p>
            <w:pPr>
              <w:spacing w:after="0"/>
              <w:rPr>
                <w:sz w:val="17"/>
                <w:szCs w:val="17"/>
                <w:color w:val="auto"/>
              </w:rPr>
            </w:pPr>
          </w:p>
        </w:tc>
        <w:tc>
          <w:tcPr>
            <w:tcW w:w="400" w:type="dxa"/>
            <w:vAlign w:val="bottom"/>
            <w:tcBorders>
              <w:bottom w:val="single" w:sz="8" w:color="4A7EBB"/>
            </w:tcBorders>
          </w:tcPr>
          <w:p>
            <w:pPr>
              <w:spacing w:after="0"/>
              <w:rPr>
                <w:sz w:val="17"/>
                <w:szCs w:val="17"/>
                <w:color w:val="auto"/>
              </w:rPr>
            </w:pPr>
          </w:p>
        </w:tc>
        <w:tc>
          <w:tcPr>
            <w:tcW w:w="1100" w:type="dxa"/>
            <w:vAlign w:val="bottom"/>
            <w:tcBorders>
              <w:bottom w:val="single" w:sz="8" w:color="4A7EBB"/>
            </w:tcBorders>
          </w:tcPr>
          <w:p>
            <w:pPr>
              <w:spacing w:after="0"/>
              <w:rPr>
                <w:sz w:val="17"/>
                <w:szCs w:val="17"/>
                <w:color w:val="auto"/>
              </w:rPr>
            </w:pPr>
          </w:p>
        </w:tc>
        <w:tc>
          <w:tcPr>
            <w:tcW w:w="1320" w:type="dxa"/>
            <w:vAlign w:val="bottom"/>
            <w:tcBorders>
              <w:bottom w:val="single" w:sz="8" w:color="4A7EBB"/>
            </w:tcBorders>
          </w:tcPr>
          <w:p>
            <w:pPr>
              <w:spacing w:after="0"/>
              <w:rPr>
                <w:sz w:val="17"/>
                <w:szCs w:val="17"/>
                <w:color w:val="auto"/>
              </w:rPr>
            </w:pPr>
          </w:p>
        </w:tc>
        <w:tc>
          <w:tcPr>
            <w:tcW w:w="780" w:type="dxa"/>
            <w:vAlign w:val="bottom"/>
            <w:tcBorders>
              <w:bottom w:val="single" w:sz="8" w:color="4A7EBB"/>
            </w:tcBorders>
          </w:tcPr>
          <w:p>
            <w:pPr>
              <w:spacing w:after="0"/>
              <w:rPr>
                <w:sz w:val="17"/>
                <w:szCs w:val="17"/>
                <w:color w:val="auto"/>
              </w:rPr>
            </w:pPr>
          </w:p>
        </w:tc>
        <w:tc>
          <w:tcPr>
            <w:tcW w:w="1680" w:type="dxa"/>
            <w:vAlign w:val="bottom"/>
            <w:tcBorders>
              <w:bottom w:val="single" w:sz="8" w:color="4A7EBB"/>
            </w:tcBorders>
          </w:tcPr>
          <w:p>
            <w:pPr>
              <w:spacing w:after="0"/>
              <w:rPr>
                <w:sz w:val="17"/>
                <w:szCs w:val="17"/>
                <w:color w:val="auto"/>
              </w:rPr>
            </w:pPr>
          </w:p>
        </w:tc>
        <w:tc>
          <w:tcPr>
            <w:tcW w:w="1640" w:type="dxa"/>
            <w:vAlign w:val="bottom"/>
            <w:tcBorders>
              <w:bottom w:val="single" w:sz="8" w:color="4A7EBB"/>
            </w:tcBorders>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1700" w:type="dxa"/>
            <w:vAlign w:val="bottom"/>
            <w:shd w:val="clear" w:color="auto" w:fill="F2F2F2"/>
          </w:tcPr>
          <w:p>
            <w:pPr>
              <w:ind w:left="120"/>
              <w:spacing w:after="0"/>
              <w:rPr>
                <w:sz w:val="20"/>
                <w:szCs w:val="20"/>
                <w:color w:val="auto"/>
              </w:rPr>
            </w:pPr>
            <w:r>
              <w:rPr>
                <w:rFonts w:ascii="Arial" w:cs="Arial" w:eastAsia="Arial" w:hAnsi="Arial"/>
                <w:sz w:val="16"/>
                <w:szCs w:val="16"/>
                <w:b w:val="1"/>
                <w:bCs w:val="1"/>
                <w:color w:val="auto"/>
              </w:rPr>
              <w:t>Richard White</w:t>
            </w:r>
          </w:p>
        </w:tc>
        <w:tc>
          <w:tcPr>
            <w:tcW w:w="960" w:type="dxa"/>
            <w:vAlign w:val="bottom"/>
            <w:shd w:val="clear" w:color="auto" w:fill="F2F2F2"/>
          </w:tcPr>
          <w:p>
            <w:pPr>
              <w:spacing w:after="0"/>
              <w:rPr>
                <w:sz w:val="21"/>
                <w:szCs w:val="21"/>
                <w:color w:val="auto"/>
              </w:rPr>
            </w:pPr>
          </w:p>
        </w:tc>
        <w:tc>
          <w:tcPr>
            <w:tcW w:w="340" w:type="dxa"/>
            <w:vAlign w:val="bottom"/>
            <w:vMerge w:val="restart"/>
            <w:shd w:val="clear" w:color="auto" w:fill="F2F2F2"/>
          </w:tcPr>
          <w:p>
            <w:pPr>
              <w:jc w:val="right"/>
              <w:spacing w:after="0"/>
              <w:rPr>
                <w:sz w:val="20"/>
                <w:szCs w:val="20"/>
                <w:color w:val="auto"/>
              </w:rPr>
            </w:pPr>
            <w:r>
              <w:rPr>
                <w:rFonts w:ascii="Arial" w:cs="Arial" w:eastAsia="Arial" w:hAnsi="Arial"/>
                <w:sz w:val="16"/>
                <w:szCs w:val="16"/>
                <w:color w:val="auto"/>
              </w:rPr>
              <w:t>72</w:t>
            </w:r>
          </w:p>
        </w:tc>
        <w:tc>
          <w:tcPr>
            <w:tcW w:w="400" w:type="dxa"/>
            <w:vAlign w:val="bottom"/>
            <w:shd w:val="clear" w:color="auto" w:fill="F2F2F2"/>
          </w:tcPr>
          <w:p>
            <w:pPr>
              <w:spacing w:after="0"/>
              <w:rPr>
                <w:sz w:val="21"/>
                <w:szCs w:val="21"/>
                <w:color w:val="auto"/>
              </w:rPr>
            </w:pPr>
          </w:p>
        </w:tc>
        <w:tc>
          <w:tcPr>
            <w:tcW w:w="1100" w:type="dxa"/>
            <w:vAlign w:val="bottom"/>
            <w:vMerge w:val="restart"/>
            <w:shd w:val="clear" w:color="auto" w:fill="F2F2F2"/>
          </w:tcPr>
          <w:p>
            <w:pPr>
              <w:jc w:val="right"/>
              <w:ind w:right="579"/>
              <w:spacing w:after="0"/>
              <w:rPr>
                <w:sz w:val="20"/>
                <w:szCs w:val="20"/>
                <w:color w:val="auto"/>
              </w:rPr>
            </w:pPr>
            <w:r>
              <w:rPr>
                <w:rFonts w:ascii="Arial" w:cs="Arial" w:eastAsia="Arial" w:hAnsi="Arial"/>
                <w:sz w:val="16"/>
                <w:szCs w:val="16"/>
                <w:color w:val="auto"/>
              </w:rPr>
              <w:t>2003</w:t>
            </w:r>
          </w:p>
        </w:tc>
        <w:tc>
          <w:tcPr>
            <w:tcW w:w="1320" w:type="dxa"/>
            <w:vAlign w:val="bottom"/>
            <w:shd w:val="clear" w:color="auto" w:fill="F2F2F2"/>
          </w:tcPr>
          <w:p>
            <w:pPr>
              <w:spacing w:after="0"/>
              <w:rPr>
                <w:sz w:val="21"/>
                <w:szCs w:val="21"/>
                <w:color w:val="auto"/>
              </w:rPr>
            </w:pPr>
          </w:p>
        </w:tc>
        <w:tc>
          <w:tcPr>
            <w:tcW w:w="780" w:type="dxa"/>
            <w:vAlign w:val="bottom"/>
            <w:shd w:val="clear" w:color="auto" w:fill="F2F2F2"/>
          </w:tcPr>
          <w:p>
            <w:pPr>
              <w:spacing w:after="0"/>
              <w:rPr>
                <w:sz w:val="21"/>
                <w:szCs w:val="21"/>
                <w:color w:val="auto"/>
              </w:rPr>
            </w:pPr>
          </w:p>
        </w:tc>
        <w:tc>
          <w:tcPr>
            <w:tcW w:w="1680" w:type="dxa"/>
            <w:vAlign w:val="bottom"/>
            <w:vMerge w:val="restart"/>
            <w:shd w:val="clear" w:color="auto" w:fill="F2F2F2"/>
          </w:tcPr>
          <w:p>
            <w:pPr>
              <w:ind w:left="20"/>
              <w:spacing w:after="0"/>
              <w:rPr>
                <w:sz w:val="20"/>
                <w:szCs w:val="20"/>
                <w:color w:val="auto"/>
              </w:rPr>
            </w:pPr>
            <w:r>
              <w:rPr>
                <w:rFonts w:ascii="Arial" w:cs="Arial" w:eastAsia="Arial" w:hAnsi="Arial"/>
                <w:sz w:val="32"/>
                <w:szCs w:val="32"/>
                <w:color w:val="4A7EBB"/>
              </w:rPr>
              <w:t>●</w:t>
            </w:r>
          </w:p>
        </w:tc>
        <w:tc>
          <w:tcPr>
            <w:tcW w:w="1640" w:type="dxa"/>
            <w:vAlign w:val="bottom"/>
            <w:vMerge w:val="restart"/>
            <w:shd w:val="clear" w:color="auto" w:fill="F2F2F2"/>
          </w:tcPr>
          <w:p>
            <w:pPr>
              <w:jc w:val="right"/>
              <w:ind w:right="33"/>
              <w:spacing w:after="0"/>
              <w:rPr>
                <w:sz w:val="20"/>
                <w:szCs w:val="20"/>
                <w:color w:val="auto"/>
              </w:rPr>
            </w:pPr>
            <w:r>
              <w:rPr>
                <w:rFonts w:ascii="Arial" w:cs="Arial" w:eastAsia="Arial" w:hAnsi="Arial"/>
                <w:sz w:val="32"/>
                <w:szCs w:val="32"/>
                <w:color w:val="4A7EBB"/>
              </w:rPr>
              <w:t>●</w:t>
            </w:r>
          </w:p>
        </w:tc>
        <w:tc>
          <w:tcPr>
            <w:tcW w:w="0" w:type="dxa"/>
            <w:vAlign w:val="bottom"/>
          </w:tcPr>
          <w:p>
            <w:pPr>
              <w:spacing w:after="0"/>
              <w:rPr>
                <w:sz w:val="1"/>
                <w:szCs w:val="1"/>
                <w:color w:val="auto"/>
              </w:rPr>
            </w:pPr>
          </w:p>
        </w:tc>
      </w:tr>
      <w:tr>
        <w:trPr>
          <w:trHeight w:val="107"/>
        </w:trPr>
        <w:tc>
          <w:tcPr>
            <w:tcW w:w="2660" w:type="dxa"/>
            <w:vAlign w:val="bottom"/>
            <w:gridSpan w:val="2"/>
            <w:vMerge w:val="restart"/>
            <w:shd w:val="clear" w:color="auto" w:fill="F2F2F2"/>
          </w:tcPr>
          <w:p>
            <w:pPr>
              <w:ind w:left="120"/>
              <w:spacing w:after="0"/>
              <w:rPr>
                <w:sz w:val="20"/>
                <w:szCs w:val="20"/>
                <w:color w:val="auto"/>
              </w:rPr>
            </w:pPr>
            <w:r>
              <w:rPr>
                <w:rFonts w:ascii="Arial" w:cs="Arial" w:eastAsia="Arial" w:hAnsi="Arial"/>
                <w:sz w:val="16"/>
                <w:szCs w:val="16"/>
                <w:color w:val="auto"/>
              </w:rPr>
              <w:t>CEO, Aeolus Capital Group LLC</w:t>
            </w:r>
          </w:p>
        </w:tc>
        <w:tc>
          <w:tcPr>
            <w:tcW w:w="340" w:type="dxa"/>
            <w:vAlign w:val="bottom"/>
            <w:vMerge w:val="continue"/>
            <w:shd w:val="clear" w:color="auto" w:fill="F2F2F2"/>
          </w:tcPr>
          <w:p>
            <w:pPr>
              <w:spacing w:after="0"/>
              <w:rPr>
                <w:sz w:val="9"/>
                <w:szCs w:val="9"/>
                <w:color w:val="auto"/>
              </w:rPr>
            </w:pPr>
          </w:p>
        </w:tc>
        <w:tc>
          <w:tcPr>
            <w:tcW w:w="400" w:type="dxa"/>
            <w:vAlign w:val="bottom"/>
            <w:shd w:val="clear" w:color="auto" w:fill="F2F2F2"/>
          </w:tcPr>
          <w:p>
            <w:pPr>
              <w:spacing w:after="0"/>
              <w:rPr>
                <w:sz w:val="9"/>
                <w:szCs w:val="9"/>
                <w:color w:val="auto"/>
              </w:rPr>
            </w:pPr>
          </w:p>
        </w:tc>
        <w:tc>
          <w:tcPr>
            <w:tcW w:w="1100" w:type="dxa"/>
            <w:vAlign w:val="bottom"/>
            <w:vMerge w:val="continue"/>
            <w:shd w:val="clear" w:color="auto" w:fill="F2F2F2"/>
          </w:tcPr>
          <w:p>
            <w:pPr>
              <w:spacing w:after="0"/>
              <w:rPr>
                <w:sz w:val="9"/>
                <w:szCs w:val="9"/>
                <w:color w:val="auto"/>
              </w:rPr>
            </w:pPr>
          </w:p>
        </w:tc>
        <w:tc>
          <w:tcPr>
            <w:tcW w:w="1320" w:type="dxa"/>
            <w:vAlign w:val="bottom"/>
            <w:shd w:val="clear" w:color="auto" w:fill="F2F2F2"/>
          </w:tcPr>
          <w:p>
            <w:pPr>
              <w:spacing w:after="0"/>
              <w:rPr>
                <w:sz w:val="9"/>
                <w:szCs w:val="9"/>
                <w:color w:val="auto"/>
              </w:rPr>
            </w:pPr>
          </w:p>
        </w:tc>
        <w:tc>
          <w:tcPr>
            <w:tcW w:w="780" w:type="dxa"/>
            <w:vAlign w:val="bottom"/>
            <w:shd w:val="clear" w:color="auto" w:fill="F2F2F2"/>
          </w:tcPr>
          <w:p>
            <w:pPr>
              <w:spacing w:after="0"/>
              <w:rPr>
                <w:sz w:val="9"/>
                <w:szCs w:val="9"/>
                <w:color w:val="auto"/>
              </w:rPr>
            </w:pPr>
          </w:p>
        </w:tc>
        <w:tc>
          <w:tcPr>
            <w:tcW w:w="1680" w:type="dxa"/>
            <w:vAlign w:val="bottom"/>
            <w:vMerge w:val="continue"/>
            <w:shd w:val="clear" w:color="auto" w:fill="F2F2F2"/>
          </w:tcPr>
          <w:p>
            <w:pPr>
              <w:spacing w:after="0"/>
              <w:rPr>
                <w:sz w:val="9"/>
                <w:szCs w:val="9"/>
                <w:color w:val="auto"/>
              </w:rPr>
            </w:pPr>
          </w:p>
        </w:tc>
        <w:tc>
          <w:tcPr>
            <w:tcW w:w="1640" w:type="dxa"/>
            <w:vAlign w:val="bottom"/>
            <w:vMerge w:val="continue"/>
            <w:shd w:val="clear" w:color="auto" w:fill="F2F2F2"/>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660" w:type="dxa"/>
            <w:vAlign w:val="bottom"/>
            <w:tcBorders>
              <w:bottom w:val="single" w:sz="8" w:color="F2F2F2"/>
            </w:tcBorders>
            <w:gridSpan w:val="2"/>
            <w:vMerge w:val="continue"/>
            <w:shd w:val="clear" w:color="auto" w:fill="F2F2F2"/>
          </w:tcPr>
          <w:p>
            <w:pPr>
              <w:spacing w:after="0"/>
              <w:rPr>
                <w:sz w:val="14"/>
                <w:szCs w:val="14"/>
                <w:color w:val="auto"/>
              </w:rPr>
            </w:pPr>
          </w:p>
        </w:tc>
        <w:tc>
          <w:tcPr>
            <w:tcW w:w="340" w:type="dxa"/>
            <w:vAlign w:val="bottom"/>
            <w:tcBorders>
              <w:bottom w:val="single" w:sz="8" w:color="F2F2F2"/>
            </w:tcBorders>
            <w:shd w:val="clear" w:color="auto" w:fill="F2F2F2"/>
          </w:tcPr>
          <w:p>
            <w:pPr>
              <w:spacing w:after="0"/>
              <w:rPr>
                <w:sz w:val="14"/>
                <w:szCs w:val="14"/>
                <w:color w:val="auto"/>
              </w:rPr>
            </w:pPr>
          </w:p>
        </w:tc>
        <w:tc>
          <w:tcPr>
            <w:tcW w:w="400" w:type="dxa"/>
            <w:vAlign w:val="bottom"/>
            <w:tcBorders>
              <w:bottom w:val="single" w:sz="8" w:color="F2F2F2"/>
            </w:tcBorders>
            <w:shd w:val="clear" w:color="auto" w:fill="F2F2F2"/>
          </w:tcPr>
          <w:p>
            <w:pPr>
              <w:spacing w:after="0"/>
              <w:rPr>
                <w:sz w:val="14"/>
                <w:szCs w:val="14"/>
                <w:color w:val="auto"/>
              </w:rPr>
            </w:pPr>
          </w:p>
        </w:tc>
        <w:tc>
          <w:tcPr>
            <w:tcW w:w="1100" w:type="dxa"/>
            <w:vAlign w:val="bottom"/>
            <w:tcBorders>
              <w:bottom w:val="single" w:sz="8" w:color="F2F2F2"/>
            </w:tcBorders>
            <w:shd w:val="clear" w:color="auto" w:fill="F2F2F2"/>
          </w:tcPr>
          <w:p>
            <w:pPr>
              <w:spacing w:after="0"/>
              <w:rPr>
                <w:sz w:val="14"/>
                <w:szCs w:val="14"/>
                <w:color w:val="auto"/>
              </w:rPr>
            </w:pPr>
          </w:p>
        </w:tc>
        <w:tc>
          <w:tcPr>
            <w:tcW w:w="1320" w:type="dxa"/>
            <w:vAlign w:val="bottom"/>
            <w:tcBorders>
              <w:bottom w:val="single" w:sz="8" w:color="F2F2F2"/>
            </w:tcBorders>
            <w:shd w:val="clear" w:color="auto" w:fill="F2F2F2"/>
          </w:tcPr>
          <w:p>
            <w:pPr>
              <w:spacing w:after="0"/>
              <w:rPr>
                <w:sz w:val="14"/>
                <w:szCs w:val="14"/>
                <w:color w:val="auto"/>
              </w:rPr>
            </w:pPr>
          </w:p>
        </w:tc>
        <w:tc>
          <w:tcPr>
            <w:tcW w:w="780" w:type="dxa"/>
            <w:vAlign w:val="bottom"/>
            <w:tcBorders>
              <w:bottom w:val="single" w:sz="8" w:color="F2F2F2"/>
            </w:tcBorders>
            <w:shd w:val="clear" w:color="auto" w:fill="F2F2F2"/>
          </w:tcPr>
          <w:p>
            <w:pPr>
              <w:spacing w:after="0"/>
              <w:rPr>
                <w:sz w:val="14"/>
                <w:szCs w:val="14"/>
                <w:color w:val="auto"/>
              </w:rPr>
            </w:pPr>
          </w:p>
        </w:tc>
        <w:tc>
          <w:tcPr>
            <w:tcW w:w="1680" w:type="dxa"/>
            <w:vAlign w:val="bottom"/>
            <w:tcBorders>
              <w:bottom w:val="single" w:sz="8" w:color="F2F2F2"/>
            </w:tcBorders>
            <w:vMerge w:val="continue"/>
            <w:shd w:val="clear" w:color="auto" w:fill="F2F2F2"/>
          </w:tcPr>
          <w:p>
            <w:pPr>
              <w:spacing w:after="0"/>
              <w:rPr>
                <w:sz w:val="14"/>
                <w:szCs w:val="14"/>
                <w:color w:val="auto"/>
              </w:rPr>
            </w:pPr>
          </w:p>
        </w:tc>
        <w:tc>
          <w:tcPr>
            <w:tcW w:w="1640" w:type="dxa"/>
            <w:vAlign w:val="bottom"/>
            <w:tcBorders>
              <w:bottom w:val="single" w:sz="8" w:color="F2F2F2"/>
            </w:tcBorders>
            <w:vMerge w:val="continue"/>
            <w:shd w:val="clear" w:color="auto" w:fill="F2F2F2"/>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700" w:type="dxa"/>
            <w:vAlign w:val="bottom"/>
            <w:tcBorders>
              <w:top w:val="single" w:sz="8" w:color="808080"/>
            </w:tcBorders>
          </w:tcPr>
          <w:p>
            <w:pPr>
              <w:ind w:left="120"/>
              <w:spacing w:after="0" w:line="168" w:lineRule="exact"/>
              <w:rPr>
                <w:sz w:val="20"/>
                <w:szCs w:val="20"/>
                <w:color w:val="auto"/>
              </w:rPr>
            </w:pPr>
            <w:r>
              <w:rPr>
                <w:rFonts w:ascii="Arial" w:cs="Arial" w:eastAsia="Arial" w:hAnsi="Arial"/>
                <w:sz w:val="16"/>
                <w:szCs w:val="16"/>
                <w:b w:val="1"/>
                <w:bCs w:val="1"/>
                <w:color w:val="auto"/>
              </w:rPr>
              <w:t>Andrew Yaeger</w:t>
            </w:r>
          </w:p>
        </w:tc>
        <w:tc>
          <w:tcPr>
            <w:tcW w:w="960" w:type="dxa"/>
            <w:vAlign w:val="bottom"/>
            <w:tcBorders>
              <w:top w:val="single" w:sz="8" w:color="808080"/>
            </w:tcBorders>
          </w:tcPr>
          <w:p>
            <w:pPr>
              <w:spacing w:after="0"/>
              <w:rPr>
                <w:sz w:val="14"/>
                <w:szCs w:val="14"/>
                <w:color w:val="auto"/>
              </w:rPr>
            </w:pPr>
          </w:p>
        </w:tc>
        <w:tc>
          <w:tcPr>
            <w:tcW w:w="340" w:type="dxa"/>
            <w:vAlign w:val="bottom"/>
            <w:tcBorders>
              <w:top w:val="single" w:sz="8" w:color="808080"/>
            </w:tcBorders>
          </w:tcPr>
          <w:p>
            <w:pPr>
              <w:spacing w:after="0"/>
              <w:rPr>
                <w:sz w:val="14"/>
                <w:szCs w:val="14"/>
                <w:color w:val="auto"/>
              </w:rPr>
            </w:pPr>
          </w:p>
        </w:tc>
        <w:tc>
          <w:tcPr>
            <w:tcW w:w="400" w:type="dxa"/>
            <w:vAlign w:val="bottom"/>
            <w:tcBorders>
              <w:top w:val="single" w:sz="8" w:color="808080"/>
            </w:tcBorders>
          </w:tcPr>
          <w:p>
            <w:pPr>
              <w:spacing w:after="0"/>
              <w:rPr>
                <w:sz w:val="14"/>
                <w:szCs w:val="14"/>
                <w:color w:val="auto"/>
              </w:rPr>
            </w:pPr>
          </w:p>
        </w:tc>
        <w:tc>
          <w:tcPr>
            <w:tcW w:w="1100" w:type="dxa"/>
            <w:vAlign w:val="bottom"/>
            <w:tcBorders>
              <w:top w:val="single" w:sz="8" w:color="808080"/>
            </w:tcBorders>
          </w:tcPr>
          <w:p>
            <w:pPr>
              <w:spacing w:after="0"/>
              <w:rPr>
                <w:sz w:val="14"/>
                <w:szCs w:val="14"/>
                <w:color w:val="auto"/>
              </w:rPr>
            </w:pPr>
          </w:p>
        </w:tc>
        <w:tc>
          <w:tcPr>
            <w:tcW w:w="1320" w:type="dxa"/>
            <w:vAlign w:val="bottom"/>
            <w:tcBorders>
              <w:top w:val="single" w:sz="8" w:color="808080"/>
            </w:tcBorders>
          </w:tcPr>
          <w:p>
            <w:pPr>
              <w:spacing w:after="0"/>
              <w:rPr>
                <w:sz w:val="14"/>
                <w:szCs w:val="14"/>
                <w:color w:val="auto"/>
              </w:rPr>
            </w:pPr>
          </w:p>
        </w:tc>
        <w:tc>
          <w:tcPr>
            <w:tcW w:w="780" w:type="dxa"/>
            <w:vAlign w:val="bottom"/>
            <w:tcBorders>
              <w:top w:val="single" w:sz="8" w:color="808080"/>
            </w:tcBorders>
          </w:tcPr>
          <w:p>
            <w:pPr>
              <w:spacing w:after="0"/>
              <w:rPr>
                <w:sz w:val="14"/>
                <w:szCs w:val="14"/>
                <w:color w:val="auto"/>
              </w:rPr>
            </w:pPr>
          </w:p>
        </w:tc>
        <w:tc>
          <w:tcPr>
            <w:tcW w:w="1680" w:type="dxa"/>
            <w:vAlign w:val="bottom"/>
            <w:tcBorders>
              <w:top w:val="single" w:sz="8" w:color="808080"/>
            </w:tcBorders>
            <w:vMerge w:val="restart"/>
          </w:tcPr>
          <w:p>
            <w:pPr>
              <w:ind w:left="20"/>
              <w:spacing w:after="0"/>
              <w:rPr>
                <w:sz w:val="20"/>
                <w:szCs w:val="20"/>
                <w:color w:val="auto"/>
              </w:rPr>
            </w:pPr>
            <w:r>
              <w:rPr>
                <w:rFonts w:ascii="Arial" w:cs="Arial" w:eastAsia="Arial" w:hAnsi="Arial"/>
                <w:sz w:val="32"/>
                <w:szCs w:val="32"/>
                <w:color w:val="4A7EBB"/>
              </w:rPr>
              <w:t>●</w:t>
            </w:r>
          </w:p>
        </w:tc>
        <w:tc>
          <w:tcPr>
            <w:tcW w:w="164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660" w:type="dxa"/>
            <w:vAlign w:val="bottom"/>
            <w:gridSpan w:val="2"/>
          </w:tcPr>
          <w:p>
            <w:pPr>
              <w:ind w:left="120"/>
              <w:spacing w:after="0"/>
              <w:rPr>
                <w:sz w:val="20"/>
                <w:szCs w:val="20"/>
                <w:color w:val="auto"/>
              </w:rPr>
            </w:pPr>
            <w:r>
              <w:rPr>
                <w:rFonts w:ascii="Arial" w:cs="Arial" w:eastAsia="Arial" w:hAnsi="Arial"/>
                <w:sz w:val="16"/>
                <w:szCs w:val="16"/>
                <w:color w:val="auto"/>
              </w:rPr>
              <w:t>Global Head of Strategic Equity</w:t>
            </w:r>
          </w:p>
        </w:tc>
        <w:tc>
          <w:tcPr>
            <w:tcW w:w="340" w:type="dxa"/>
            <w:vAlign w:val="bottom"/>
            <w:vMerge w:val="restart"/>
          </w:tcPr>
          <w:p>
            <w:pPr>
              <w:jc w:val="right"/>
              <w:spacing w:after="0"/>
              <w:rPr>
                <w:sz w:val="20"/>
                <w:szCs w:val="20"/>
                <w:color w:val="auto"/>
              </w:rPr>
            </w:pPr>
            <w:r>
              <w:rPr>
                <w:rFonts w:ascii="Arial" w:cs="Arial" w:eastAsia="Arial" w:hAnsi="Arial"/>
                <w:sz w:val="16"/>
                <w:szCs w:val="16"/>
                <w:color w:val="auto"/>
              </w:rPr>
              <w:t>48</w:t>
            </w:r>
          </w:p>
        </w:tc>
        <w:tc>
          <w:tcPr>
            <w:tcW w:w="400" w:type="dxa"/>
            <w:vAlign w:val="bottom"/>
          </w:tcPr>
          <w:p>
            <w:pPr>
              <w:spacing w:after="0"/>
              <w:rPr>
                <w:sz w:val="16"/>
                <w:szCs w:val="16"/>
                <w:color w:val="auto"/>
              </w:rPr>
            </w:pPr>
          </w:p>
        </w:tc>
        <w:tc>
          <w:tcPr>
            <w:tcW w:w="1100" w:type="dxa"/>
            <w:vAlign w:val="bottom"/>
            <w:vMerge w:val="restart"/>
          </w:tcPr>
          <w:p>
            <w:pPr>
              <w:jc w:val="right"/>
              <w:ind w:right="579"/>
              <w:spacing w:after="0"/>
              <w:rPr>
                <w:sz w:val="20"/>
                <w:szCs w:val="20"/>
                <w:color w:val="auto"/>
              </w:rPr>
            </w:pPr>
            <w:r>
              <w:rPr>
                <w:rFonts w:ascii="Arial" w:cs="Arial" w:eastAsia="Arial" w:hAnsi="Arial"/>
                <w:sz w:val="16"/>
                <w:szCs w:val="16"/>
                <w:color w:val="auto"/>
              </w:rPr>
              <w:t>2023</w:t>
            </w:r>
          </w:p>
        </w:tc>
        <w:tc>
          <w:tcPr>
            <w:tcW w:w="1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80" w:type="dxa"/>
            <w:vAlign w:val="bottom"/>
            <w:vMerge w:val="continue"/>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60" w:type="dxa"/>
            <w:vAlign w:val="bottom"/>
            <w:gridSpan w:val="2"/>
          </w:tcPr>
          <w:p>
            <w:pPr>
              <w:ind w:left="120"/>
              <w:spacing w:after="0"/>
              <w:rPr>
                <w:sz w:val="20"/>
                <w:szCs w:val="20"/>
                <w:color w:val="auto"/>
              </w:rPr>
            </w:pPr>
            <w:r>
              <w:rPr>
                <w:rFonts w:ascii="Arial" w:cs="Arial" w:eastAsia="Arial" w:hAnsi="Arial"/>
                <w:sz w:val="16"/>
                <w:szCs w:val="16"/>
                <w:color w:val="auto"/>
              </w:rPr>
              <w:t>Transactions Group, Jefferies</w:t>
            </w:r>
          </w:p>
        </w:tc>
        <w:tc>
          <w:tcPr>
            <w:tcW w:w="34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80" w:type="dxa"/>
            <w:vAlign w:val="bottom"/>
            <w:vMerge w:val="continue"/>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00" w:type="dxa"/>
            <w:vAlign w:val="bottom"/>
            <w:tcBorders>
              <w:bottom w:val="single" w:sz="8" w:color="808080"/>
            </w:tcBorders>
          </w:tcPr>
          <w:p>
            <w:pPr>
              <w:ind w:left="120"/>
              <w:spacing w:after="0"/>
              <w:rPr>
                <w:sz w:val="20"/>
                <w:szCs w:val="20"/>
                <w:color w:val="auto"/>
              </w:rPr>
            </w:pPr>
            <w:r>
              <w:rPr>
                <w:rFonts w:ascii="Arial" w:cs="Arial" w:eastAsia="Arial" w:hAnsi="Arial"/>
                <w:sz w:val="16"/>
                <w:szCs w:val="16"/>
                <w:color w:val="auto"/>
              </w:rPr>
              <w:t>Financial Group Inc.</w:t>
            </w:r>
          </w:p>
        </w:tc>
        <w:tc>
          <w:tcPr>
            <w:tcW w:w="960" w:type="dxa"/>
            <w:vAlign w:val="bottom"/>
            <w:tcBorders>
              <w:bottom w:val="single" w:sz="8" w:color="808080"/>
            </w:tcBorders>
          </w:tcPr>
          <w:p>
            <w:pPr>
              <w:spacing w:after="0"/>
              <w:rPr>
                <w:sz w:val="17"/>
                <w:szCs w:val="17"/>
                <w:color w:val="auto"/>
              </w:rPr>
            </w:pPr>
          </w:p>
        </w:tc>
        <w:tc>
          <w:tcPr>
            <w:tcW w:w="340" w:type="dxa"/>
            <w:vAlign w:val="bottom"/>
            <w:tcBorders>
              <w:bottom w:val="single" w:sz="8" w:color="808080"/>
            </w:tcBorders>
          </w:tcPr>
          <w:p>
            <w:pPr>
              <w:spacing w:after="0"/>
              <w:rPr>
                <w:sz w:val="17"/>
                <w:szCs w:val="17"/>
                <w:color w:val="auto"/>
              </w:rPr>
            </w:pPr>
          </w:p>
        </w:tc>
        <w:tc>
          <w:tcPr>
            <w:tcW w:w="400" w:type="dxa"/>
            <w:vAlign w:val="bottom"/>
            <w:tcBorders>
              <w:bottom w:val="single" w:sz="8" w:color="808080"/>
            </w:tcBorders>
          </w:tcPr>
          <w:p>
            <w:pPr>
              <w:spacing w:after="0"/>
              <w:rPr>
                <w:sz w:val="17"/>
                <w:szCs w:val="17"/>
                <w:color w:val="auto"/>
              </w:rPr>
            </w:pPr>
          </w:p>
        </w:tc>
        <w:tc>
          <w:tcPr>
            <w:tcW w:w="1100" w:type="dxa"/>
            <w:vAlign w:val="bottom"/>
            <w:tcBorders>
              <w:bottom w:val="single" w:sz="8" w:color="808080"/>
            </w:tcBorders>
          </w:tcPr>
          <w:p>
            <w:pPr>
              <w:spacing w:after="0"/>
              <w:rPr>
                <w:sz w:val="17"/>
                <w:szCs w:val="17"/>
                <w:color w:val="auto"/>
              </w:rPr>
            </w:pPr>
          </w:p>
        </w:tc>
        <w:tc>
          <w:tcPr>
            <w:tcW w:w="1320" w:type="dxa"/>
            <w:vAlign w:val="bottom"/>
            <w:tcBorders>
              <w:bottom w:val="single" w:sz="8" w:color="808080"/>
            </w:tcBorders>
          </w:tcPr>
          <w:p>
            <w:pPr>
              <w:spacing w:after="0"/>
              <w:rPr>
                <w:sz w:val="17"/>
                <w:szCs w:val="17"/>
                <w:color w:val="auto"/>
              </w:rPr>
            </w:pPr>
          </w:p>
        </w:tc>
        <w:tc>
          <w:tcPr>
            <w:tcW w:w="780" w:type="dxa"/>
            <w:vAlign w:val="bottom"/>
            <w:tcBorders>
              <w:bottom w:val="single" w:sz="8" w:color="808080"/>
            </w:tcBorders>
          </w:tcPr>
          <w:p>
            <w:pPr>
              <w:spacing w:after="0"/>
              <w:rPr>
                <w:sz w:val="17"/>
                <w:szCs w:val="17"/>
                <w:color w:val="auto"/>
              </w:rPr>
            </w:pPr>
          </w:p>
        </w:tc>
        <w:tc>
          <w:tcPr>
            <w:tcW w:w="1680" w:type="dxa"/>
            <w:vAlign w:val="bottom"/>
            <w:tcBorders>
              <w:bottom w:val="single" w:sz="8" w:color="808080"/>
            </w:tcBorders>
          </w:tcPr>
          <w:p>
            <w:pPr>
              <w:spacing w:after="0"/>
              <w:rPr>
                <w:sz w:val="17"/>
                <w:szCs w:val="17"/>
                <w:color w:val="auto"/>
              </w:rPr>
            </w:pPr>
          </w:p>
        </w:tc>
        <w:tc>
          <w:tcPr>
            <w:tcW w:w="16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60" w:type="dxa"/>
            <w:vAlign w:val="bottom"/>
            <w:tcBorders>
              <w:bottom w:val="single" w:sz="8" w:color="808080"/>
            </w:tcBorders>
            <w:gridSpan w:val="2"/>
          </w:tcPr>
          <w:p>
            <w:pPr>
              <w:ind w:left="120"/>
              <w:spacing w:after="0" w:line="196" w:lineRule="exact"/>
              <w:rPr>
                <w:sz w:val="20"/>
                <w:szCs w:val="20"/>
                <w:color w:val="auto"/>
              </w:rPr>
            </w:pPr>
            <w:r>
              <w:rPr>
                <w:rFonts w:ascii="Arial" w:cs="Arial" w:eastAsia="Arial" w:hAnsi="Arial"/>
                <w:sz w:val="18"/>
                <w:szCs w:val="18"/>
                <w:b w:val="1"/>
                <w:bCs w:val="1"/>
                <w:color w:val="auto"/>
              </w:rPr>
              <w:t>Meetings in Fiscal 2026</w:t>
            </w:r>
          </w:p>
        </w:tc>
        <w:tc>
          <w:tcPr>
            <w:tcW w:w="340" w:type="dxa"/>
            <w:vAlign w:val="bottom"/>
            <w:tcBorders>
              <w:bottom w:val="single" w:sz="8" w:color="808080"/>
            </w:tcBorders>
          </w:tcPr>
          <w:p>
            <w:pPr>
              <w:spacing w:after="0"/>
              <w:rPr>
                <w:sz w:val="17"/>
                <w:szCs w:val="17"/>
                <w:color w:val="auto"/>
              </w:rPr>
            </w:pPr>
          </w:p>
        </w:tc>
        <w:tc>
          <w:tcPr>
            <w:tcW w:w="400" w:type="dxa"/>
            <w:vAlign w:val="bottom"/>
            <w:tcBorders>
              <w:bottom w:val="single" w:sz="8" w:color="808080"/>
            </w:tcBorders>
          </w:tcPr>
          <w:p>
            <w:pPr>
              <w:spacing w:after="0"/>
              <w:rPr>
                <w:sz w:val="17"/>
                <w:szCs w:val="17"/>
                <w:color w:val="auto"/>
              </w:rPr>
            </w:pPr>
          </w:p>
        </w:tc>
        <w:tc>
          <w:tcPr>
            <w:tcW w:w="1100" w:type="dxa"/>
            <w:vAlign w:val="bottom"/>
            <w:tcBorders>
              <w:bottom w:val="single" w:sz="8" w:color="808080"/>
            </w:tcBorders>
          </w:tcPr>
          <w:p>
            <w:pPr>
              <w:spacing w:after="0"/>
              <w:rPr>
                <w:sz w:val="17"/>
                <w:szCs w:val="17"/>
                <w:color w:val="auto"/>
              </w:rPr>
            </w:pPr>
          </w:p>
        </w:tc>
        <w:tc>
          <w:tcPr>
            <w:tcW w:w="1320" w:type="dxa"/>
            <w:vAlign w:val="bottom"/>
            <w:tcBorders>
              <w:bottom w:val="single" w:sz="8" w:color="808080"/>
            </w:tcBorders>
          </w:tcPr>
          <w:p>
            <w:pPr>
              <w:spacing w:after="0"/>
              <w:rPr>
                <w:sz w:val="17"/>
                <w:szCs w:val="17"/>
                <w:color w:val="auto"/>
              </w:rPr>
            </w:pPr>
          </w:p>
        </w:tc>
        <w:tc>
          <w:tcPr>
            <w:tcW w:w="780" w:type="dxa"/>
            <w:vAlign w:val="bottom"/>
            <w:tcBorders>
              <w:bottom w:val="single" w:sz="8" w:color="808080"/>
            </w:tcBorders>
          </w:tcPr>
          <w:p>
            <w:pPr>
              <w:jc w:val="right"/>
              <w:ind w:right="415"/>
              <w:spacing w:after="0" w:line="196" w:lineRule="exact"/>
              <w:rPr>
                <w:sz w:val="20"/>
                <w:szCs w:val="20"/>
                <w:color w:val="auto"/>
              </w:rPr>
            </w:pPr>
            <w:r>
              <w:rPr>
                <w:rFonts w:ascii="Arial" w:cs="Arial" w:eastAsia="Arial" w:hAnsi="Arial"/>
                <w:sz w:val="18"/>
                <w:szCs w:val="18"/>
                <w:b w:val="1"/>
                <w:bCs w:val="1"/>
                <w:color w:val="auto"/>
              </w:rPr>
              <w:t>8</w:t>
            </w:r>
          </w:p>
        </w:tc>
        <w:tc>
          <w:tcPr>
            <w:tcW w:w="1680" w:type="dxa"/>
            <w:vAlign w:val="bottom"/>
            <w:tcBorders>
              <w:bottom w:val="single" w:sz="8" w:color="808080"/>
            </w:tcBorders>
          </w:tcPr>
          <w:p>
            <w:pPr>
              <w:jc w:val="right"/>
              <w:ind w:right="424"/>
              <w:spacing w:after="0" w:line="196" w:lineRule="exact"/>
              <w:rPr>
                <w:sz w:val="20"/>
                <w:szCs w:val="20"/>
                <w:color w:val="auto"/>
              </w:rPr>
            </w:pPr>
            <w:r>
              <w:rPr>
                <w:rFonts w:ascii="Arial" w:cs="Arial" w:eastAsia="Arial" w:hAnsi="Arial"/>
                <w:sz w:val="18"/>
                <w:szCs w:val="18"/>
                <w:b w:val="1"/>
                <w:bCs w:val="1"/>
                <w:color w:val="auto"/>
              </w:rPr>
              <w:t>3</w:t>
            </w:r>
          </w:p>
        </w:tc>
        <w:tc>
          <w:tcPr>
            <w:tcW w:w="1640" w:type="dxa"/>
            <w:vAlign w:val="bottom"/>
            <w:tcBorders>
              <w:bottom w:val="single" w:sz="8" w:color="808080"/>
            </w:tcBorders>
          </w:tcPr>
          <w:p>
            <w:pPr>
              <w:jc w:val="center"/>
              <w:ind w:left="253"/>
              <w:spacing w:after="0" w:line="196" w:lineRule="exact"/>
              <w:rPr>
                <w:sz w:val="20"/>
                <w:szCs w:val="20"/>
                <w:color w:val="auto"/>
              </w:rPr>
            </w:pPr>
            <w:r>
              <w:rPr>
                <w:rFonts w:ascii="Arial" w:cs="Arial" w:eastAsia="Arial" w:hAnsi="Arial"/>
                <w:sz w:val="18"/>
                <w:szCs w:val="18"/>
                <w:b w:val="1"/>
                <w:bCs w:val="1"/>
                <w:color w:val="auto"/>
                <w:w w:val="99"/>
              </w:rPr>
              <w:t>1</w:t>
            </w:r>
          </w:p>
        </w:tc>
        <w:tc>
          <w:tcPr>
            <w:tcW w:w="0" w:type="dxa"/>
            <w:vAlign w:val="bottom"/>
          </w:tcPr>
          <w:p>
            <w:pPr>
              <w:spacing w:after="0"/>
              <w:rPr>
                <w:sz w:val="1"/>
                <w:szCs w:val="1"/>
                <w:color w:val="auto"/>
              </w:rPr>
            </w:pPr>
          </w:p>
        </w:tc>
      </w:tr>
      <w:tr>
        <w:trPr>
          <w:trHeight w:val="389"/>
        </w:trPr>
        <w:tc>
          <w:tcPr>
            <w:tcW w:w="1700" w:type="dxa"/>
            <w:vAlign w:val="bottom"/>
            <w:vMerge w:val="restart"/>
          </w:tcPr>
          <w:p>
            <w:pPr>
              <w:ind w:left="320"/>
              <w:spacing w:after="0"/>
              <w:rPr>
                <w:sz w:val="20"/>
                <w:szCs w:val="20"/>
                <w:color w:val="auto"/>
              </w:rPr>
            </w:pPr>
            <w:r>
              <w:rPr>
                <w:rFonts w:ascii="Arial" w:cs="Arial" w:eastAsia="Arial" w:hAnsi="Arial"/>
                <w:sz w:val="14"/>
                <w:szCs w:val="14"/>
                <w:color w:val="auto"/>
              </w:rPr>
              <w:t>Committee Chair</w:t>
            </w:r>
          </w:p>
        </w:tc>
        <w:tc>
          <w:tcPr>
            <w:tcW w:w="960" w:type="dxa"/>
            <w:vAlign w:val="bottom"/>
            <w:vMerge w:val="restart"/>
          </w:tcPr>
          <w:p>
            <w:pPr>
              <w:ind w:left="40"/>
              <w:spacing w:after="0"/>
              <w:rPr>
                <w:sz w:val="20"/>
                <w:szCs w:val="20"/>
                <w:color w:val="auto"/>
              </w:rPr>
            </w:pPr>
            <w:r>
              <w:rPr>
                <w:rFonts w:ascii="Arial" w:cs="Arial" w:eastAsia="Arial" w:hAnsi="Arial"/>
                <w:sz w:val="32"/>
                <w:szCs w:val="32"/>
                <w:color w:val="4A7EBB"/>
              </w:rPr>
              <w:t xml:space="preserve">● </w:t>
            </w:r>
            <w:r>
              <w:rPr>
                <w:rFonts w:ascii="Arial" w:cs="Arial" w:eastAsia="Arial" w:hAnsi="Arial"/>
                <w:sz w:val="14"/>
                <w:szCs w:val="14"/>
                <w:color w:val="000000"/>
              </w:rPr>
              <w:t>Member</w:t>
            </w:r>
          </w:p>
        </w:tc>
        <w:tc>
          <w:tcPr>
            <w:tcW w:w="340" w:type="dxa"/>
            <w:vAlign w:val="bottom"/>
          </w:tcPr>
          <w:p>
            <w:pPr>
              <w:spacing w:after="0"/>
              <w:rPr>
                <w:sz w:val="24"/>
                <w:szCs w:val="24"/>
                <w:color w:val="auto"/>
              </w:rPr>
            </w:pPr>
          </w:p>
        </w:tc>
        <w:tc>
          <w:tcPr>
            <w:tcW w:w="1500" w:type="dxa"/>
            <w:vAlign w:val="bottom"/>
            <w:gridSpan w:val="2"/>
          </w:tcPr>
          <w:p>
            <w:pPr>
              <w:jc w:val="right"/>
              <w:ind w:right="59"/>
              <w:spacing w:after="0"/>
              <w:rPr>
                <w:sz w:val="20"/>
                <w:szCs w:val="20"/>
                <w:color w:val="auto"/>
              </w:rPr>
            </w:pPr>
            <w:r>
              <w:rPr>
                <w:rFonts w:ascii="Arial" w:cs="Arial" w:eastAsia="Arial" w:hAnsi="Arial"/>
                <w:sz w:val="14"/>
                <w:szCs w:val="14"/>
                <w:color w:val="auto"/>
              </w:rPr>
              <w:t>Audit Committee</w:t>
            </w:r>
          </w:p>
        </w:tc>
        <w:tc>
          <w:tcPr>
            <w:tcW w:w="1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70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500" w:type="dxa"/>
            <w:vAlign w:val="bottom"/>
            <w:gridSpan w:val="2"/>
          </w:tcPr>
          <w:p>
            <w:pPr>
              <w:jc w:val="right"/>
              <w:ind w:right="379"/>
              <w:spacing w:after="0"/>
              <w:rPr>
                <w:sz w:val="20"/>
                <w:szCs w:val="20"/>
                <w:color w:val="auto"/>
              </w:rPr>
            </w:pPr>
            <w:r>
              <w:rPr>
                <w:rFonts w:ascii="Arial" w:cs="Arial" w:eastAsia="Arial" w:hAnsi="Arial"/>
                <w:sz w:val="14"/>
                <w:szCs w:val="14"/>
                <w:color w:val="auto"/>
              </w:rPr>
              <w:t>Financial Expert</w:t>
            </w:r>
          </w:p>
        </w:tc>
        <w:tc>
          <w:tcPr>
            <w:tcW w:w="2100" w:type="dxa"/>
            <w:vAlign w:val="bottom"/>
            <w:gridSpan w:val="2"/>
          </w:tcPr>
          <w:p>
            <w:pPr>
              <w:jc w:val="right"/>
              <w:spacing w:after="0"/>
              <w:rPr>
                <w:sz w:val="20"/>
                <w:szCs w:val="20"/>
                <w:color w:val="auto"/>
              </w:rPr>
            </w:pPr>
            <w:r>
              <w:rPr>
                <w:rFonts w:ascii="Arial" w:cs="Arial" w:eastAsia="Arial" w:hAnsi="Arial"/>
                <w:sz w:val="14"/>
                <w:szCs w:val="14"/>
                <w:color w:val="auto"/>
              </w:rPr>
              <w:t>Chairman of the Board</w:t>
            </w:r>
          </w:p>
        </w:tc>
        <w:tc>
          <w:tcPr>
            <w:tcW w:w="3320" w:type="dxa"/>
            <w:vAlign w:val="bottom"/>
            <w:gridSpan w:val="2"/>
          </w:tcPr>
          <w:p>
            <w:pPr>
              <w:jc w:val="right"/>
              <w:ind w:right="773"/>
              <w:spacing w:after="0"/>
              <w:rPr>
                <w:sz w:val="20"/>
                <w:szCs w:val="20"/>
                <w:color w:val="auto"/>
              </w:rPr>
            </w:pPr>
            <w:r>
              <w:rPr>
                <w:rFonts w:ascii="Arial" w:cs="Arial" w:eastAsia="Arial" w:hAnsi="Arial"/>
                <w:sz w:val="14"/>
                <w:szCs w:val="14"/>
                <w:color w:val="auto"/>
              </w:rPr>
              <w:t>Lead Independent Director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-4854575</wp:posOffset>
            </wp:positionV>
            <wp:extent cx="6214745" cy="48260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14745" cy="4826000"/>
                    </a:xfrm>
                    <a:prstGeom prst="rect">
                      <a:avLst/>
                    </a:prstGeom>
                    <a:noFill/>
                  </pic:spPr>
                </pic:pic>
              </a:graphicData>
            </a:graphic>
          </wp:anchor>
        </w:drawing>
      </w:r>
    </w:p>
    <w:p>
      <w:pPr>
        <w:spacing w:after="0" w:line="116" w:lineRule="exact"/>
        <w:rPr>
          <w:sz w:val="20"/>
          <w:szCs w:val="20"/>
          <w:color w:val="auto"/>
        </w:rPr>
      </w:pPr>
    </w:p>
    <w:p>
      <w:pPr>
        <w:spacing w:after="0"/>
        <w:rPr>
          <w:sz w:val="20"/>
          <w:szCs w:val="20"/>
          <w:color w:val="auto"/>
        </w:rPr>
      </w:pPr>
      <w:r>
        <w:rPr>
          <w:rFonts w:ascii="Arial" w:cs="Arial" w:eastAsia="Arial" w:hAnsi="Arial"/>
          <w:sz w:val="29"/>
          <w:szCs w:val="29"/>
          <w:b w:val="1"/>
          <w:bCs w:val="1"/>
          <w:color w:val="4A7EBB"/>
        </w:rPr>
        <w:t>Board of Directors Nominees Snapshot</w:t>
      </w:r>
    </w:p>
    <w:p>
      <w:pPr>
        <w:spacing w:after="0" w:line="20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information in this section reflects the composition of the Board of Directors after the Annual Meeting. We have made substantial progress with respect to Board independence (from 67% to 73%), tenure (from 18 to 16.5 years). Of our independent directors, three are new members in the past three years and four are new members in the last four years. While the Company does not have a formal policy with respect to the tenure of Board members, it strives to achieve a mix of experienced and newer directors as evidenced by the election of four new independent directors over the past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278130</wp:posOffset>
            </wp:positionV>
            <wp:extent cx="629221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0"/>
          <w:szCs w:val="20"/>
          <w:b w:val="1"/>
          <w:bCs w:val="1"/>
          <w:color w:val="4A7EBB"/>
        </w:rPr>
        <w:t xml:space="preserve">8 </w:t>
      </w:r>
      <w:r>
        <w:rPr>
          <w:rFonts w:ascii="Arial" w:cs="Arial" w:eastAsia="Arial" w:hAnsi="Arial"/>
          <w:sz w:val="20"/>
          <w:szCs w:val="20"/>
          <w:color w:val="808080"/>
        </w:rPr>
        <w:t xml:space="preserve">\ </w:t>
      </w:r>
      <w:r>
        <w:rPr>
          <w:sz w:val="1"/>
          <w:szCs w:val="1"/>
          <w:color w:val="auto"/>
        </w:rPr>
        <w:drawing>
          <wp:inline distT="0" distB="0" distL="0" distR="0">
            <wp:extent cx="274320" cy="145415"/>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74320" cy="145415"/>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358775</wp:posOffset>
            </wp:positionV>
            <wp:extent cx="629221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17780</wp:posOffset>
            </wp:positionV>
            <wp:extent cx="62490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49035" cy="8255"/>
                    </a:xfrm>
                    <a:prstGeom prst="rect">
                      <a:avLst/>
                    </a:prstGeom>
                    <a:noFill/>
                  </pic:spPr>
                </pic:pic>
              </a:graphicData>
            </a:graphic>
          </wp:anchor>
        </w:drawing>
      </w:r>
    </w:p>
    <w:p>
      <w:pPr>
        <w:spacing w:after="0" w:line="219"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Our newer directors are mentored by our more experienced independent directors to foster the transfer of knowledge about us and the ability of our directors to work together in support of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109220</wp:posOffset>
            </wp:positionV>
            <wp:extent cx="6292215" cy="28892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92215" cy="2889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Skills and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3218180</wp:posOffset>
            </wp:positionV>
            <wp:extent cx="629221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29210</wp:posOffset>
            </wp:positionV>
            <wp:extent cx="6292215" cy="28886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92215" cy="2888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2026 PROXY STATEMENT </w:t>
      </w:r>
      <w:r>
        <w:rPr>
          <w:rFonts w:ascii="Arial" w:cs="Arial" w:eastAsia="Arial" w:hAnsi="Arial"/>
          <w:sz w:val="19"/>
          <w:szCs w:val="19"/>
          <w:color w:val="808080"/>
        </w:rPr>
        <w:t>/</w:t>
      </w:r>
      <w:r>
        <w:rPr>
          <w:rFonts w:ascii="Arial" w:cs="Arial" w:eastAsia="Arial" w:hAnsi="Arial"/>
          <w:sz w:val="16"/>
          <w:szCs w:val="16"/>
          <w:color w:val="auto"/>
        </w:rPr>
        <w:t xml:space="preserve"> </w:t>
      </w:r>
      <w:r>
        <w:rPr>
          <w:rFonts w:ascii="Arial" w:cs="Arial" w:eastAsia="Arial" w:hAnsi="Arial"/>
          <w:sz w:val="19"/>
          <w:szCs w:val="19"/>
          <w:b w:val="1"/>
          <w:bCs w:val="1"/>
          <w:color w:val="4A7EBB"/>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365125</wp:posOffset>
            </wp:positionV>
            <wp:extent cx="629221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17780</wp:posOffset>
            </wp:positionV>
            <wp:extent cx="62490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49035"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29"/>
          <w:szCs w:val="29"/>
          <w:b w:val="1"/>
          <w:bCs w:val="1"/>
          <w:color w:val="4A7EBB"/>
        </w:rPr>
        <w:t>Governance Highlights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G-III has established strong policies that follow best practices for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154940</wp:posOffset>
            </wp:positionV>
            <wp:extent cx="6292215" cy="21774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292215" cy="2177415"/>
                    </a:xfrm>
                    <a:prstGeom prst="rect">
                      <a:avLst/>
                    </a:prstGeom>
                    <a:noFill/>
                  </pic:spPr>
                </pic:pic>
              </a:graphicData>
            </a:graphic>
          </wp:anchor>
        </w:drawing>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980" w:type="dxa"/>
            <w:vAlign w:val="bottom"/>
            <w:gridSpan w:val="2"/>
          </w:tcPr>
          <w:p>
            <w:pPr>
              <w:ind w:left="660"/>
              <w:spacing w:after="0"/>
              <w:rPr>
                <w:sz w:val="20"/>
                <w:szCs w:val="20"/>
                <w:color w:val="auto"/>
              </w:rPr>
            </w:pPr>
            <w:r>
              <w:rPr>
                <w:rFonts w:ascii="Arial" w:cs="Arial" w:eastAsia="Arial" w:hAnsi="Arial"/>
                <w:sz w:val="16"/>
                <w:szCs w:val="16"/>
                <w:color w:val="auto"/>
              </w:rPr>
              <w:t>Annual election of directors</w:t>
            </w:r>
          </w:p>
        </w:tc>
        <w:tc>
          <w:tcPr>
            <w:tcW w:w="10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120" w:type="dxa"/>
            <w:vAlign w:val="bottom"/>
          </w:tcPr>
          <w:p>
            <w:pPr>
              <w:ind w:left="380"/>
              <w:spacing w:after="0"/>
              <w:rPr>
                <w:sz w:val="20"/>
                <w:szCs w:val="20"/>
                <w:color w:val="auto"/>
              </w:rPr>
            </w:pPr>
            <w:r>
              <w:rPr>
                <w:rFonts w:ascii="Arial" w:cs="Arial" w:eastAsia="Arial" w:hAnsi="Arial"/>
                <w:sz w:val="16"/>
                <w:szCs w:val="16"/>
                <w:color w:val="auto"/>
              </w:rPr>
              <w:t>Robust stock ownership guidelines for executive officers and</w:t>
            </w:r>
          </w:p>
        </w:tc>
      </w:tr>
      <w:tr>
        <w:trPr>
          <w:trHeight w:val="203"/>
        </w:trPr>
        <w:tc>
          <w:tcPr>
            <w:tcW w:w="1680" w:type="dxa"/>
            <w:vAlign w:val="bottom"/>
            <w:tcBorders>
              <w:bottom w:val="single" w:sz="8" w:color="4A7EBB"/>
            </w:tcBorders>
          </w:tcPr>
          <w:p>
            <w:pPr>
              <w:spacing w:after="0"/>
              <w:rPr>
                <w:sz w:val="17"/>
                <w:szCs w:val="17"/>
                <w:color w:val="auto"/>
              </w:rPr>
            </w:pPr>
          </w:p>
        </w:tc>
        <w:tc>
          <w:tcPr>
            <w:tcW w:w="1300" w:type="dxa"/>
            <w:vAlign w:val="bottom"/>
            <w:tcBorders>
              <w:bottom w:val="single" w:sz="8" w:color="4A7EBB"/>
            </w:tcBorders>
          </w:tcPr>
          <w:p>
            <w:pPr>
              <w:spacing w:after="0"/>
              <w:rPr>
                <w:sz w:val="17"/>
                <w:szCs w:val="17"/>
                <w:color w:val="auto"/>
              </w:rPr>
            </w:pPr>
          </w:p>
        </w:tc>
        <w:tc>
          <w:tcPr>
            <w:tcW w:w="1020" w:type="dxa"/>
            <w:vAlign w:val="bottom"/>
            <w:tcBorders>
              <w:bottom w:val="single" w:sz="8" w:color="4A7EBB"/>
            </w:tcBorders>
          </w:tcPr>
          <w:p>
            <w:pPr>
              <w:spacing w:after="0"/>
              <w:rPr>
                <w:sz w:val="17"/>
                <w:szCs w:val="17"/>
                <w:color w:val="auto"/>
              </w:rPr>
            </w:pPr>
          </w:p>
        </w:tc>
        <w:tc>
          <w:tcPr>
            <w:tcW w:w="800" w:type="dxa"/>
            <w:vAlign w:val="bottom"/>
            <w:tcBorders>
              <w:bottom w:val="single" w:sz="8" w:color="4A7EBB"/>
            </w:tcBorders>
          </w:tcPr>
          <w:p>
            <w:pPr>
              <w:spacing w:after="0"/>
              <w:rPr>
                <w:sz w:val="17"/>
                <w:szCs w:val="17"/>
                <w:color w:val="auto"/>
              </w:rPr>
            </w:pPr>
          </w:p>
        </w:tc>
        <w:tc>
          <w:tcPr>
            <w:tcW w:w="5120" w:type="dxa"/>
            <w:vAlign w:val="bottom"/>
            <w:tcBorders>
              <w:bottom w:val="single" w:sz="8" w:color="4A7EBB"/>
            </w:tcBorders>
          </w:tcPr>
          <w:p>
            <w:pPr>
              <w:ind w:left="380"/>
              <w:spacing w:after="0"/>
              <w:rPr>
                <w:sz w:val="20"/>
                <w:szCs w:val="20"/>
                <w:color w:val="auto"/>
              </w:rPr>
            </w:pPr>
            <w:r>
              <w:rPr>
                <w:rFonts w:ascii="Arial" w:cs="Arial" w:eastAsia="Arial" w:hAnsi="Arial"/>
                <w:sz w:val="16"/>
                <w:szCs w:val="16"/>
                <w:color w:val="auto"/>
              </w:rPr>
              <w:t>directors</w:t>
            </w:r>
          </w:p>
        </w:tc>
      </w:tr>
      <w:tr>
        <w:trPr>
          <w:trHeight w:val="248"/>
        </w:trPr>
        <w:tc>
          <w:tcPr>
            <w:tcW w:w="4000" w:type="dxa"/>
            <w:vAlign w:val="bottom"/>
            <w:gridSpan w:val="3"/>
            <w:shd w:val="clear" w:color="auto" w:fill="F2F2F2"/>
          </w:tcPr>
          <w:p>
            <w:pPr>
              <w:ind w:left="660"/>
              <w:spacing w:after="0"/>
              <w:rPr>
                <w:sz w:val="20"/>
                <w:szCs w:val="20"/>
                <w:color w:val="auto"/>
              </w:rPr>
            </w:pPr>
            <w:r>
              <w:rPr>
                <w:rFonts w:ascii="Arial" w:cs="Arial" w:eastAsia="Arial" w:hAnsi="Arial"/>
                <w:sz w:val="16"/>
                <w:szCs w:val="16"/>
                <w:color w:val="auto"/>
              </w:rPr>
              <w:t>Experienced Lead Independent Director</w:t>
            </w:r>
          </w:p>
        </w:tc>
        <w:tc>
          <w:tcPr>
            <w:tcW w:w="800" w:type="dxa"/>
            <w:vAlign w:val="bottom"/>
            <w:shd w:val="clear" w:color="auto" w:fill="F2F2F2"/>
          </w:tcPr>
          <w:p>
            <w:pPr>
              <w:spacing w:after="0"/>
              <w:rPr>
                <w:sz w:val="21"/>
                <w:szCs w:val="21"/>
                <w:color w:val="auto"/>
              </w:rPr>
            </w:pPr>
          </w:p>
        </w:tc>
        <w:tc>
          <w:tcPr>
            <w:tcW w:w="5120" w:type="dxa"/>
            <w:vAlign w:val="bottom"/>
            <w:shd w:val="clear" w:color="auto" w:fill="F2F2F2"/>
          </w:tcPr>
          <w:p>
            <w:pPr>
              <w:ind w:left="380"/>
              <w:spacing w:after="0"/>
              <w:rPr>
                <w:sz w:val="20"/>
                <w:szCs w:val="20"/>
                <w:color w:val="auto"/>
              </w:rPr>
            </w:pPr>
            <w:r>
              <w:rPr>
                <w:rFonts w:ascii="Arial" w:cs="Arial" w:eastAsia="Arial" w:hAnsi="Arial"/>
                <w:sz w:val="16"/>
                <w:szCs w:val="16"/>
                <w:color w:val="auto"/>
              </w:rPr>
              <w:t>Anti-pledging and anti-hedging policies</w:t>
            </w:r>
          </w:p>
        </w:tc>
      </w:tr>
      <w:tr>
        <w:trPr>
          <w:trHeight w:val="218"/>
        </w:trPr>
        <w:tc>
          <w:tcPr>
            <w:tcW w:w="4800" w:type="dxa"/>
            <w:vAlign w:val="bottom"/>
            <w:tcBorders>
              <w:bottom w:val="single" w:sz="8" w:color="4A7EBB"/>
            </w:tcBorders>
            <w:gridSpan w:val="4"/>
            <w:shd w:val="clear" w:color="auto" w:fill="F2F2F2"/>
          </w:tcPr>
          <w:p>
            <w:pPr>
              <w:spacing w:after="0"/>
              <w:rPr>
                <w:sz w:val="18"/>
                <w:szCs w:val="18"/>
                <w:color w:val="auto"/>
              </w:rPr>
            </w:pPr>
          </w:p>
        </w:tc>
        <w:tc>
          <w:tcPr>
            <w:tcW w:w="5120" w:type="dxa"/>
            <w:vAlign w:val="bottom"/>
            <w:tcBorders>
              <w:bottom w:val="single" w:sz="8" w:color="4A7EBB"/>
            </w:tcBorders>
            <w:shd w:val="clear" w:color="auto" w:fill="F2F2F2"/>
          </w:tcPr>
          <w:p>
            <w:pPr>
              <w:spacing w:after="0"/>
              <w:rPr>
                <w:sz w:val="18"/>
                <w:szCs w:val="18"/>
                <w:color w:val="auto"/>
              </w:rPr>
            </w:pPr>
          </w:p>
        </w:tc>
      </w:tr>
      <w:tr>
        <w:trPr>
          <w:trHeight w:val="222"/>
        </w:trPr>
        <w:tc>
          <w:tcPr>
            <w:tcW w:w="4800" w:type="dxa"/>
            <w:vAlign w:val="bottom"/>
            <w:gridSpan w:val="4"/>
          </w:tcPr>
          <w:p>
            <w:pPr>
              <w:ind w:left="660"/>
              <w:spacing w:after="0"/>
              <w:rPr>
                <w:sz w:val="20"/>
                <w:szCs w:val="20"/>
                <w:color w:val="auto"/>
              </w:rPr>
            </w:pPr>
            <w:r>
              <w:rPr>
                <w:rFonts w:ascii="Arial" w:cs="Arial" w:eastAsia="Arial" w:hAnsi="Arial"/>
                <w:sz w:val="16"/>
                <w:szCs w:val="16"/>
                <w:color w:val="auto"/>
              </w:rPr>
              <w:t>Regular executive sessions of independent directors</w:t>
            </w:r>
          </w:p>
        </w:tc>
        <w:tc>
          <w:tcPr>
            <w:tcW w:w="5120" w:type="dxa"/>
            <w:vAlign w:val="bottom"/>
          </w:tcPr>
          <w:p>
            <w:pPr>
              <w:ind w:left="380"/>
              <w:spacing w:after="0"/>
              <w:rPr>
                <w:sz w:val="20"/>
                <w:szCs w:val="20"/>
                <w:color w:val="auto"/>
              </w:rPr>
            </w:pPr>
            <w:r>
              <w:rPr>
                <w:rFonts w:ascii="Arial" w:cs="Arial" w:eastAsia="Arial" w:hAnsi="Arial"/>
                <w:sz w:val="16"/>
                <w:szCs w:val="16"/>
                <w:color w:val="auto"/>
              </w:rPr>
              <w:t>Clawback policy for executive compensation in the event of</w:t>
            </w:r>
          </w:p>
        </w:tc>
      </w:tr>
      <w:tr>
        <w:trPr>
          <w:trHeight w:val="215"/>
        </w:trPr>
        <w:tc>
          <w:tcPr>
            <w:tcW w:w="16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120" w:type="dxa"/>
            <w:vAlign w:val="bottom"/>
          </w:tcPr>
          <w:p>
            <w:pPr>
              <w:ind w:left="380"/>
              <w:spacing w:after="0"/>
              <w:rPr>
                <w:sz w:val="20"/>
                <w:szCs w:val="20"/>
                <w:color w:val="auto"/>
              </w:rPr>
            </w:pPr>
            <w:r>
              <w:rPr>
                <w:rFonts w:ascii="Arial" w:cs="Arial" w:eastAsia="Arial" w:hAnsi="Arial"/>
                <w:sz w:val="16"/>
                <w:szCs w:val="16"/>
                <w:color w:val="auto"/>
              </w:rPr>
              <w:t>financial restatements</w:t>
            </w:r>
          </w:p>
        </w:tc>
      </w:tr>
      <w:tr>
        <w:trPr>
          <w:trHeight w:val="29"/>
        </w:trPr>
        <w:tc>
          <w:tcPr>
            <w:tcW w:w="4800" w:type="dxa"/>
            <w:vAlign w:val="bottom"/>
            <w:tcBorders>
              <w:bottom w:val="single" w:sz="8" w:color="4A7EBB"/>
            </w:tcBorders>
            <w:gridSpan w:val="4"/>
          </w:tcPr>
          <w:p>
            <w:pPr>
              <w:spacing w:after="0"/>
              <w:rPr>
                <w:sz w:val="2"/>
                <w:szCs w:val="2"/>
                <w:color w:val="auto"/>
              </w:rPr>
            </w:pPr>
          </w:p>
        </w:tc>
        <w:tc>
          <w:tcPr>
            <w:tcW w:w="5120" w:type="dxa"/>
            <w:vAlign w:val="bottom"/>
            <w:tcBorders>
              <w:bottom w:val="single" w:sz="8" w:color="4A7EBB"/>
            </w:tcBorders>
          </w:tcPr>
          <w:p>
            <w:pPr>
              <w:spacing w:after="0"/>
              <w:rPr>
                <w:sz w:val="2"/>
                <w:szCs w:val="2"/>
                <w:color w:val="auto"/>
              </w:rPr>
            </w:pPr>
          </w:p>
        </w:tc>
      </w:tr>
      <w:tr>
        <w:trPr>
          <w:trHeight w:val="222"/>
        </w:trPr>
        <w:tc>
          <w:tcPr>
            <w:tcW w:w="4800" w:type="dxa"/>
            <w:vAlign w:val="bottom"/>
            <w:gridSpan w:val="4"/>
            <w:shd w:val="clear" w:color="auto" w:fill="F2F2F2"/>
          </w:tcPr>
          <w:p>
            <w:pPr>
              <w:ind w:left="660"/>
              <w:spacing w:after="0"/>
              <w:rPr>
                <w:sz w:val="20"/>
                <w:szCs w:val="20"/>
                <w:color w:val="auto"/>
              </w:rPr>
            </w:pPr>
            <w:r>
              <w:rPr>
                <w:rFonts w:ascii="Arial" w:cs="Arial" w:eastAsia="Arial" w:hAnsi="Arial"/>
                <w:sz w:val="16"/>
                <w:szCs w:val="16"/>
                <w:color w:val="auto"/>
              </w:rPr>
              <w:t>Board committees composed entirely of independent</w:t>
            </w:r>
          </w:p>
        </w:tc>
        <w:tc>
          <w:tcPr>
            <w:tcW w:w="5120" w:type="dxa"/>
            <w:vAlign w:val="bottom"/>
            <w:shd w:val="clear" w:color="auto" w:fill="F2F2F2"/>
          </w:tcPr>
          <w:p>
            <w:pPr>
              <w:ind w:left="380"/>
              <w:spacing w:after="0"/>
              <w:rPr>
                <w:sz w:val="20"/>
                <w:szCs w:val="20"/>
                <w:color w:val="auto"/>
              </w:rPr>
            </w:pPr>
            <w:r>
              <w:rPr>
                <w:rFonts w:ascii="Arial" w:cs="Arial" w:eastAsia="Arial" w:hAnsi="Arial"/>
                <w:sz w:val="16"/>
                <w:szCs w:val="16"/>
                <w:color w:val="auto"/>
              </w:rPr>
              <w:t>Established standards for director selection, independence and</w:t>
            </w:r>
          </w:p>
        </w:tc>
      </w:tr>
      <w:tr>
        <w:trPr>
          <w:trHeight w:val="249"/>
        </w:trPr>
        <w:tc>
          <w:tcPr>
            <w:tcW w:w="1680" w:type="dxa"/>
            <w:vAlign w:val="bottom"/>
            <w:tcBorders>
              <w:bottom w:val="single" w:sz="8" w:color="F2F2F2"/>
            </w:tcBorders>
            <w:shd w:val="clear" w:color="auto" w:fill="F2F2F2"/>
          </w:tcPr>
          <w:p>
            <w:pPr>
              <w:ind w:left="660"/>
              <w:spacing w:after="0"/>
              <w:rPr>
                <w:sz w:val="20"/>
                <w:szCs w:val="20"/>
                <w:color w:val="auto"/>
              </w:rPr>
            </w:pPr>
            <w:r>
              <w:rPr>
                <w:rFonts w:ascii="Arial" w:cs="Arial" w:eastAsia="Arial" w:hAnsi="Arial"/>
                <w:sz w:val="16"/>
                <w:szCs w:val="16"/>
                <w:color w:val="auto"/>
              </w:rPr>
              <w:t>directors</w:t>
            </w:r>
          </w:p>
        </w:tc>
        <w:tc>
          <w:tcPr>
            <w:tcW w:w="1300" w:type="dxa"/>
            <w:vAlign w:val="bottom"/>
            <w:tcBorders>
              <w:bottom w:val="single" w:sz="8" w:color="F2F2F2"/>
            </w:tcBorders>
            <w:shd w:val="clear" w:color="auto" w:fill="F2F2F2"/>
          </w:tcPr>
          <w:p>
            <w:pPr>
              <w:spacing w:after="0"/>
              <w:rPr>
                <w:sz w:val="21"/>
                <w:szCs w:val="21"/>
                <w:color w:val="auto"/>
              </w:rPr>
            </w:pPr>
          </w:p>
        </w:tc>
        <w:tc>
          <w:tcPr>
            <w:tcW w:w="1020" w:type="dxa"/>
            <w:vAlign w:val="bottom"/>
            <w:tcBorders>
              <w:bottom w:val="single" w:sz="8" w:color="F2F2F2"/>
            </w:tcBorders>
            <w:shd w:val="clear" w:color="auto" w:fill="F2F2F2"/>
          </w:tcPr>
          <w:p>
            <w:pPr>
              <w:spacing w:after="0"/>
              <w:rPr>
                <w:sz w:val="21"/>
                <w:szCs w:val="21"/>
                <w:color w:val="auto"/>
              </w:rPr>
            </w:pPr>
          </w:p>
        </w:tc>
        <w:tc>
          <w:tcPr>
            <w:tcW w:w="800" w:type="dxa"/>
            <w:vAlign w:val="bottom"/>
            <w:tcBorders>
              <w:bottom w:val="single" w:sz="8" w:color="F2F2F2"/>
            </w:tcBorders>
            <w:shd w:val="clear" w:color="auto" w:fill="F2F2F2"/>
          </w:tcPr>
          <w:p>
            <w:pPr>
              <w:spacing w:after="0"/>
              <w:rPr>
                <w:sz w:val="21"/>
                <w:szCs w:val="21"/>
                <w:color w:val="auto"/>
              </w:rPr>
            </w:pPr>
          </w:p>
        </w:tc>
        <w:tc>
          <w:tcPr>
            <w:tcW w:w="5120" w:type="dxa"/>
            <w:vAlign w:val="bottom"/>
            <w:tcBorders>
              <w:bottom w:val="single" w:sz="8" w:color="F2F2F2"/>
            </w:tcBorders>
            <w:shd w:val="clear" w:color="auto" w:fill="F2F2F2"/>
          </w:tcPr>
          <w:p>
            <w:pPr>
              <w:ind w:left="380"/>
              <w:spacing w:after="0"/>
              <w:rPr>
                <w:sz w:val="20"/>
                <w:szCs w:val="20"/>
                <w:color w:val="auto"/>
              </w:rPr>
            </w:pPr>
            <w:r>
              <w:rPr>
                <w:rFonts w:ascii="Arial" w:cs="Arial" w:eastAsia="Arial" w:hAnsi="Arial"/>
                <w:sz w:val="16"/>
                <w:szCs w:val="16"/>
                <w:color w:val="auto"/>
              </w:rPr>
              <w:t>qualifications</w:t>
            </w:r>
          </w:p>
        </w:tc>
      </w:tr>
      <w:tr>
        <w:trPr>
          <w:trHeight w:val="222"/>
        </w:trPr>
        <w:tc>
          <w:tcPr>
            <w:tcW w:w="4800" w:type="dxa"/>
            <w:vAlign w:val="bottom"/>
            <w:tcBorders>
              <w:top w:val="single" w:sz="8" w:color="4A7EBB"/>
            </w:tcBorders>
            <w:gridSpan w:val="4"/>
          </w:tcPr>
          <w:p>
            <w:pPr>
              <w:ind w:left="660"/>
              <w:spacing w:after="0"/>
              <w:rPr>
                <w:sz w:val="20"/>
                <w:szCs w:val="20"/>
                <w:color w:val="auto"/>
              </w:rPr>
            </w:pPr>
            <w:r>
              <w:rPr>
                <w:rFonts w:ascii="Arial" w:cs="Arial" w:eastAsia="Arial" w:hAnsi="Arial"/>
                <w:sz w:val="16"/>
                <w:szCs w:val="16"/>
                <w:color w:val="auto"/>
              </w:rPr>
              <w:t>Extensive stockholder outreach led by our Lead</w:t>
            </w:r>
          </w:p>
        </w:tc>
        <w:tc>
          <w:tcPr>
            <w:tcW w:w="5120" w:type="dxa"/>
            <w:vAlign w:val="bottom"/>
            <w:tcBorders>
              <w:top w:val="single" w:sz="8" w:color="4A7EBB"/>
            </w:tcBorders>
          </w:tcPr>
          <w:p>
            <w:pPr>
              <w:ind w:left="380"/>
              <w:spacing w:after="0"/>
              <w:rPr>
                <w:sz w:val="20"/>
                <w:szCs w:val="20"/>
                <w:color w:val="auto"/>
              </w:rPr>
            </w:pPr>
            <w:r>
              <w:rPr>
                <w:rFonts w:ascii="Arial" w:cs="Arial" w:eastAsia="Arial" w:hAnsi="Arial"/>
                <w:sz w:val="16"/>
                <w:szCs w:val="16"/>
                <w:color w:val="auto"/>
              </w:rPr>
              <w:t>Director resignation policy if a nominee to the Board of Directors</w:t>
            </w:r>
          </w:p>
        </w:tc>
      </w:tr>
      <w:tr>
        <w:trPr>
          <w:trHeight w:val="189"/>
        </w:trPr>
        <w:tc>
          <w:tcPr>
            <w:tcW w:w="4800" w:type="dxa"/>
            <w:vAlign w:val="bottom"/>
            <w:gridSpan w:val="4"/>
          </w:tcPr>
          <w:p>
            <w:pPr>
              <w:ind w:left="660"/>
              <w:spacing w:after="0"/>
              <w:rPr>
                <w:sz w:val="20"/>
                <w:szCs w:val="20"/>
                <w:color w:val="auto"/>
              </w:rPr>
            </w:pPr>
            <w:r>
              <w:rPr>
                <w:rFonts w:ascii="Arial" w:cs="Arial" w:eastAsia="Arial" w:hAnsi="Arial"/>
                <w:sz w:val="16"/>
                <w:szCs w:val="16"/>
                <w:color w:val="auto"/>
              </w:rPr>
              <w:t>Independent Director, with our CFO, Senior Vice</w:t>
            </w:r>
          </w:p>
        </w:tc>
        <w:tc>
          <w:tcPr>
            <w:tcW w:w="5120" w:type="dxa"/>
            <w:vAlign w:val="bottom"/>
          </w:tcPr>
          <w:p>
            <w:pPr>
              <w:ind w:left="380"/>
              <w:spacing w:after="0"/>
              <w:rPr>
                <w:sz w:val="20"/>
                <w:szCs w:val="20"/>
                <w:color w:val="auto"/>
              </w:rPr>
            </w:pPr>
            <w:r>
              <w:rPr>
                <w:rFonts w:ascii="Arial" w:cs="Arial" w:eastAsia="Arial" w:hAnsi="Arial"/>
                <w:sz w:val="16"/>
                <w:szCs w:val="16"/>
                <w:color w:val="auto"/>
              </w:rPr>
              <w:t>fails to receive majority support</w:t>
            </w:r>
          </w:p>
        </w:tc>
      </w:tr>
      <w:tr>
        <w:trPr>
          <w:trHeight w:val="189"/>
        </w:trPr>
        <w:tc>
          <w:tcPr>
            <w:tcW w:w="4800" w:type="dxa"/>
            <w:vAlign w:val="bottom"/>
            <w:gridSpan w:val="4"/>
          </w:tcPr>
          <w:p>
            <w:pPr>
              <w:ind w:left="660"/>
              <w:spacing w:after="0"/>
              <w:rPr>
                <w:sz w:val="20"/>
                <w:szCs w:val="20"/>
                <w:color w:val="auto"/>
              </w:rPr>
            </w:pPr>
            <w:r>
              <w:rPr>
                <w:rFonts w:ascii="Arial" w:cs="Arial" w:eastAsia="Arial" w:hAnsi="Arial"/>
                <w:sz w:val="16"/>
                <w:szCs w:val="16"/>
                <w:color w:val="auto"/>
              </w:rPr>
              <w:t>President, Investor Relations and the Compensation</w:t>
            </w:r>
          </w:p>
        </w:tc>
        <w:tc>
          <w:tcPr>
            <w:tcW w:w="5120" w:type="dxa"/>
            <w:vAlign w:val="bottom"/>
          </w:tcPr>
          <w:p>
            <w:pPr>
              <w:spacing w:after="0"/>
              <w:rPr>
                <w:sz w:val="16"/>
                <w:szCs w:val="16"/>
                <w:color w:val="auto"/>
              </w:rPr>
            </w:pPr>
          </w:p>
        </w:tc>
      </w:tr>
      <w:tr>
        <w:trPr>
          <w:trHeight w:val="189"/>
        </w:trPr>
        <w:tc>
          <w:tcPr>
            <w:tcW w:w="1680" w:type="dxa"/>
            <w:vAlign w:val="bottom"/>
          </w:tcPr>
          <w:p>
            <w:pPr>
              <w:ind w:left="660"/>
              <w:spacing w:after="0"/>
              <w:rPr>
                <w:sz w:val="20"/>
                <w:szCs w:val="20"/>
                <w:color w:val="auto"/>
              </w:rPr>
            </w:pPr>
            <w:r>
              <w:rPr>
                <w:rFonts w:ascii="Arial" w:cs="Arial" w:eastAsia="Arial" w:hAnsi="Arial"/>
                <w:sz w:val="16"/>
                <w:szCs w:val="16"/>
                <w:color w:val="auto"/>
              </w:rPr>
              <w:t>Committee’s</w:t>
            </w:r>
          </w:p>
        </w:tc>
        <w:tc>
          <w:tcPr>
            <w:tcW w:w="1300" w:type="dxa"/>
            <w:vAlign w:val="bottom"/>
          </w:tcPr>
          <w:p>
            <w:pPr>
              <w:ind w:left="140"/>
              <w:spacing w:after="0"/>
              <w:rPr>
                <w:sz w:val="20"/>
                <w:szCs w:val="20"/>
                <w:color w:val="auto"/>
              </w:rPr>
            </w:pPr>
            <w:r>
              <w:rPr>
                <w:rFonts w:ascii="Arial" w:cs="Arial" w:eastAsia="Arial" w:hAnsi="Arial"/>
                <w:sz w:val="16"/>
                <w:szCs w:val="16"/>
                <w:color w:val="auto"/>
              </w:rPr>
              <w:t>compensation</w:t>
            </w:r>
          </w:p>
        </w:tc>
        <w:tc>
          <w:tcPr>
            <w:tcW w:w="1020" w:type="dxa"/>
            <w:vAlign w:val="bottom"/>
          </w:tcPr>
          <w:p>
            <w:pPr>
              <w:ind w:left="140"/>
              <w:spacing w:after="0"/>
              <w:rPr>
                <w:sz w:val="20"/>
                <w:szCs w:val="20"/>
                <w:color w:val="auto"/>
              </w:rPr>
            </w:pPr>
            <w:r>
              <w:rPr>
                <w:rFonts w:ascii="Arial" w:cs="Arial" w:eastAsia="Arial" w:hAnsi="Arial"/>
                <w:sz w:val="16"/>
                <w:szCs w:val="16"/>
                <w:color w:val="auto"/>
              </w:rPr>
              <w:t>consultant</w:t>
            </w:r>
          </w:p>
        </w:tc>
        <w:tc>
          <w:tcPr>
            <w:tcW w:w="800" w:type="dxa"/>
            <w:vAlign w:val="bottom"/>
          </w:tcPr>
          <w:p>
            <w:pPr>
              <w:ind w:left="140"/>
              <w:spacing w:after="0"/>
              <w:rPr>
                <w:sz w:val="20"/>
                <w:szCs w:val="20"/>
                <w:color w:val="auto"/>
              </w:rPr>
            </w:pPr>
            <w:r>
              <w:rPr>
                <w:rFonts w:ascii="Arial" w:cs="Arial" w:eastAsia="Arial" w:hAnsi="Arial"/>
                <w:sz w:val="16"/>
                <w:szCs w:val="16"/>
                <w:color w:val="auto"/>
              </w:rPr>
              <w:t>also</w:t>
            </w:r>
          </w:p>
        </w:tc>
        <w:tc>
          <w:tcPr>
            <w:tcW w:w="5120" w:type="dxa"/>
            <w:vAlign w:val="bottom"/>
          </w:tcPr>
          <w:p>
            <w:pPr>
              <w:spacing w:after="0"/>
              <w:rPr>
                <w:sz w:val="16"/>
                <w:szCs w:val="16"/>
                <w:color w:val="auto"/>
              </w:rPr>
            </w:pPr>
          </w:p>
        </w:tc>
      </w:tr>
      <w:tr>
        <w:trPr>
          <w:trHeight w:val="203"/>
        </w:trPr>
        <w:tc>
          <w:tcPr>
            <w:tcW w:w="4800" w:type="dxa"/>
            <w:vAlign w:val="bottom"/>
            <w:tcBorders>
              <w:bottom w:val="single" w:sz="8" w:color="4A7EBB"/>
            </w:tcBorders>
            <w:gridSpan w:val="4"/>
          </w:tcPr>
          <w:p>
            <w:pPr>
              <w:ind w:left="660"/>
              <w:spacing w:after="0"/>
              <w:rPr>
                <w:sz w:val="20"/>
                <w:szCs w:val="20"/>
                <w:color w:val="auto"/>
              </w:rPr>
            </w:pPr>
            <w:r>
              <w:rPr>
                <w:rFonts w:ascii="Arial" w:cs="Arial" w:eastAsia="Arial" w:hAnsi="Arial"/>
                <w:sz w:val="16"/>
                <w:szCs w:val="16"/>
                <w:color w:val="auto"/>
              </w:rPr>
              <w:t>participating, to obtain direct stockholder feedback</w:t>
            </w:r>
          </w:p>
        </w:tc>
        <w:tc>
          <w:tcPr>
            <w:tcW w:w="5120" w:type="dxa"/>
            <w:vAlign w:val="bottom"/>
            <w:tcBorders>
              <w:bottom w:val="single" w:sz="8" w:color="4A7EBB"/>
            </w:tcBorders>
          </w:tcPr>
          <w:p>
            <w:pPr>
              <w:spacing w:after="0"/>
              <w:rPr>
                <w:sz w:val="17"/>
                <w:szCs w:val="17"/>
                <w:color w:val="auto"/>
              </w:rPr>
            </w:pPr>
          </w:p>
        </w:tc>
      </w:tr>
      <w:tr>
        <w:trPr>
          <w:trHeight w:val="222"/>
        </w:trPr>
        <w:tc>
          <w:tcPr>
            <w:tcW w:w="4800" w:type="dxa"/>
            <w:vAlign w:val="bottom"/>
            <w:gridSpan w:val="4"/>
            <w:shd w:val="clear" w:color="auto" w:fill="F2F2F2"/>
          </w:tcPr>
          <w:p>
            <w:pPr>
              <w:ind w:left="660"/>
              <w:spacing w:after="0"/>
              <w:rPr>
                <w:sz w:val="20"/>
                <w:szCs w:val="20"/>
                <w:color w:val="auto"/>
              </w:rPr>
            </w:pPr>
            <w:r>
              <w:rPr>
                <w:rFonts w:ascii="Arial" w:cs="Arial" w:eastAsia="Arial" w:hAnsi="Arial"/>
                <w:sz w:val="16"/>
                <w:szCs w:val="16"/>
                <w:color w:val="auto"/>
              </w:rPr>
              <w:t>Enhanced disclosure of environmental, social and</w:t>
            </w:r>
          </w:p>
        </w:tc>
        <w:tc>
          <w:tcPr>
            <w:tcW w:w="5120" w:type="dxa"/>
            <w:vAlign w:val="bottom"/>
            <w:shd w:val="clear" w:color="auto" w:fill="F2F2F2"/>
          </w:tcPr>
          <w:p>
            <w:pPr>
              <w:ind w:left="380"/>
              <w:spacing w:after="0"/>
              <w:rPr>
                <w:sz w:val="20"/>
                <w:szCs w:val="20"/>
                <w:color w:val="auto"/>
              </w:rPr>
            </w:pPr>
            <w:r>
              <w:rPr>
                <w:rFonts w:ascii="Arial" w:cs="Arial" w:eastAsia="Arial" w:hAnsi="Arial"/>
                <w:sz w:val="16"/>
                <w:szCs w:val="16"/>
                <w:color w:val="auto"/>
              </w:rPr>
              <w:t>Annual Say on Pay vote</w:t>
            </w:r>
          </w:p>
        </w:tc>
      </w:tr>
      <w:tr>
        <w:trPr>
          <w:trHeight w:val="237"/>
        </w:trPr>
        <w:tc>
          <w:tcPr>
            <w:tcW w:w="2980" w:type="dxa"/>
            <w:vAlign w:val="bottom"/>
            <w:tcBorders>
              <w:bottom w:val="single" w:sz="8" w:color="F2F2F2"/>
            </w:tcBorders>
            <w:gridSpan w:val="2"/>
            <w:shd w:val="clear" w:color="auto" w:fill="F2F2F2"/>
          </w:tcPr>
          <w:p>
            <w:pPr>
              <w:ind w:left="660"/>
              <w:spacing w:after="0"/>
              <w:rPr>
                <w:sz w:val="20"/>
                <w:szCs w:val="20"/>
                <w:color w:val="auto"/>
              </w:rPr>
            </w:pPr>
            <w:r>
              <w:rPr>
                <w:rFonts w:ascii="Arial" w:cs="Arial" w:eastAsia="Arial" w:hAnsi="Arial"/>
                <w:sz w:val="16"/>
                <w:szCs w:val="16"/>
                <w:color w:val="auto"/>
              </w:rPr>
              <w:t>governance initiatives</w:t>
            </w:r>
          </w:p>
        </w:tc>
        <w:tc>
          <w:tcPr>
            <w:tcW w:w="1020" w:type="dxa"/>
            <w:vAlign w:val="bottom"/>
            <w:tcBorders>
              <w:bottom w:val="single" w:sz="8" w:color="F2F2F2"/>
            </w:tcBorders>
            <w:shd w:val="clear" w:color="auto" w:fill="F2F2F2"/>
          </w:tcPr>
          <w:p>
            <w:pPr>
              <w:spacing w:after="0"/>
              <w:rPr>
                <w:sz w:val="20"/>
                <w:szCs w:val="20"/>
                <w:color w:val="auto"/>
              </w:rPr>
            </w:pPr>
          </w:p>
        </w:tc>
        <w:tc>
          <w:tcPr>
            <w:tcW w:w="800" w:type="dxa"/>
            <w:vAlign w:val="bottom"/>
            <w:tcBorders>
              <w:bottom w:val="single" w:sz="8" w:color="F2F2F2"/>
            </w:tcBorders>
            <w:shd w:val="clear" w:color="auto" w:fill="F2F2F2"/>
          </w:tcPr>
          <w:p>
            <w:pPr>
              <w:spacing w:after="0"/>
              <w:rPr>
                <w:sz w:val="20"/>
                <w:szCs w:val="20"/>
                <w:color w:val="auto"/>
              </w:rPr>
            </w:pPr>
          </w:p>
        </w:tc>
        <w:tc>
          <w:tcPr>
            <w:tcW w:w="5120" w:type="dxa"/>
            <w:vAlign w:val="bottom"/>
            <w:tcBorders>
              <w:bottom w:val="single" w:sz="8" w:color="F2F2F2"/>
            </w:tcBorders>
            <w:shd w:val="clear" w:color="auto" w:fill="F2F2F2"/>
          </w:tcPr>
          <w:p>
            <w:pPr>
              <w:spacing w:after="0"/>
              <w:rPr>
                <w:sz w:val="20"/>
                <w:szCs w:val="20"/>
                <w:color w:val="auto"/>
              </w:rPr>
            </w:pPr>
          </w:p>
        </w:tc>
      </w:tr>
      <w:tr>
        <w:trPr>
          <w:trHeight w:val="20"/>
        </w:trPr>
        <w:tc>
          <w:tcPr>
            <w:tcW w:w="1680" w:type="dxa"/>
            <w:vAlign w:val="bottom"/>
            <w:shd w:val="clear" w:color="auto" w:fill="808080"/>
          </w:tcPr>
          <w:p>
            <w:pPr>
              <w:spacing w:after="0" w:line="20" w:lineRule="exact"/>
              <w:rPr>
                <w:sz w:val="1"/>
                <w:szCs w:val="1"/>
                <w:color w:val="auto"/>
              </w:rPr>
            </w:pPr>
          </w:p>
        </w:tc>
        <w:tc>
          <w:tcPr>
            <w:tcW w:w="1300" w:type="dxa"/>
            <w:vAlign w:val="bottom"/>
            <w:shd w:val="clear" w:color="auto" w:fill="808080"/>
          </w:tcPr>
          <w:p>
            <w:pPr>
              <w:spacing w:after="0" w:line="20" w:lineRule="exact"/>
              <w:rPr>
                <w:sz w:val="1"/>
                <w:szCs w:val="1"/>
                <w:color w:val="auto"/>
              </w:rPr>
            </w:pPr>
          </w:p>
        </w:tc>
        <w:tc>
          <w:tcPr>
            <w:tcW w:w="1020" w:type="dxa"/>
            <w:vAlign w:val="bottom"/>
            <w:shd w:val="clear" w:color="auto" w:fill="808080"/>
          </w:tcPr>
          <w:p>
            <w:pPr>
              <w:spacing w:after="0" w:line="20" w:lineRule="exact"/>
              <w:rPr>
                <w:sz w:val="1"/>
                <w:szCs w:val="1"/>
                <w:color w:val="auto"/>
              </w:rPr>
            </w:pPr>
          </w:p>
        </w:tc>
        <w:tc>
          <w:tcPr>
            <w:tcW w:w="800" w:type="dxa"/>
            <w:vAlign w:val="bottom"/>
            <w:shd w:val="clear" w:color="auto" w:fill="808080"/>
          </w:tcPr>
          <w:p>
            <w:pPr>
              <w:spacing w:after="0" w:line="20" w:lineRule="exact"/>
              <w:rPr>
                <w:sz w:val="1"/>
                <w:szCs w:val="1"/>
                <w:color w:val="auto"/>
              </w:rPr>
            </w:pPr>
          </w:p>
        </w:tc>
        <w:tc>
          <w:tcPr>
            <w:tcW w:w="5120" w:type="dxa"/>
            <w:vAlign w:val="bottom"/>
            <w:shd w:val="clear" w:color="auto" w:fill="808080"/>
          </w:tcPr>
          <w:p>
            <w:pPr>
              <w:spacing w:after="0" w:line="20" w:lineRule="exact"/>
              <w:rPr>
                <w:sz w:val="1"/>
                <w:szCs w:val="1"/>
                <w:color w:val="auto"/>
              </w:rPr>
            </w:pPr>
          </w:p>
        </w:tc>
      </w:tr>
    </w:tbl>
    <w:p>
      <w:pPr>
        <w:spacing w:after="0" w:line="168" w:lineRule="exact"/>
        <w:rPr>
          <w:sz w:val="20"/>
          <w:szCs w:val="20"/>
          <w:color w:val="auto"/>
        </w:rPr>
      </w:pPr>
    </w:p>
    <w:p>
      <w:pPr>
        <w:spacing w:after="0"/>
        <w:rPr>
          <w:sz w:val="20"/>
          <w:szCs w:val="20"/>
          <w:color w:val="auto"/>
        </w:rPr>
      </w:pPr>
      <w:r>
        <w:rPr>
          <w:rFonts w:ascii="Arial" w:cs="Arial" w:eastAsia="Arial" w:hAnsi="Arial"/>
          <w:sz w:val="29"/>
          <w:szCs w:val="29"/>
          <w:b w:val="1"/>
          <w:bCs w:val="1"/>
          <w:color w:val="4A7EBB"/>
        </w:rPr>
        <w:t>Stockholder Outreach</w:t>
      </w:r>
    </w:p>
    <w:p>
      <w:pPr>
        <w:spacing w:after="0" w:line="20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G-III and its Board of Directors greatly value the opinions of our stockholders and have spent considerable time soliciting their views on a variety of topics. During prior years we have invited stockholders owning approximately 90% our Common Stock to engage. Stockholders owning approximately 60% to 70% of our Common Stock have chosen to participate in engagement. For calendar year 2026, the holders of approximately 90% of our Common Stock were invited to engage with us and stockholders owning approximately 60% of our Common Stock participated in discussions with us.</w:t>
      </w:r>
    </w:p>
    <w:p>
      <w:pPr>
        <w:spacing w:after="0" w:line="163"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Our stockholder outreach has been led by our Lead Independent Director, who is also Chairman of our Compensation Committee. A second independent Director, our Chief Financial Officer, our Senior Vice President, Investor Relations and the Compensation Committee’s independent compensation consultant also participated in meetings with investors in 2026. During these meetings, we discussed (i) our executive compensation program, (ii) retention grants made during fiscal 2026 to select senior executives identified as the next generation of senior leaders, (iii) our CSR efforts over the past year and (iv) Board refreshment.</w:t>
      </w:r>
    </w:p>
    <w:p>
      <w:pPr>
        <w:spacing w:after="0" w:line="90" w:lineRule="exact"/>
        <w:rPr>
          <w:sz w:val="20"/>
          <w:szCs w:val="20"/>
          <w:color w:val="auto"/>
        </w:rPr>
      </w:pPr>
    </w:p>
    <w:p>
      <w:pPr>
        <w:jc w:val="both"/>
        <w:ind w:firstLine="1"/>
        <w:spacing w:after="0" w:line="264" w:lineRule="auto"/>
        <w:rPr>
          <w:sz w:val="20"/>
          <w:szCs w:val="20"/>
          <w:color w:val="auto"/>
        </w:rPr>
      </w:pPr>
      <w:r>
        <w:rPr>
          <w:sz w:val="1"/>
          <w:szCs w:val="1"/>
          <w:color w:val="auto"/>
        </w:rPr>
        <w:drawing>
          <wp:inline distT="0" distB="0" distL="0" distR="0">
            <wp:extent cx="205740" cy="205740"/>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05740" cy="205740"/>
                    </a:xfrm>
                    <a:prstGeom prst="rect">
                      <a:avLst/>
                    </a:prstGeom>
                    <a:noFill/>
                    <a:ln>
                      <a:noFill/>
                    </a:ln>
                  </pic:spPr>
                </pic:pic>
              </a:graphicData>
            </a:graphic>
          </wp:inline>
        </w:drawing>
      </w:r>
      <w:r>
        <w:rPr>
          <w:rFonts w:ascii="Arial" w:cs="Arial" w:eastAsia="Arial" w:hAnsi="Arial"/>
          <w:sz w:val="18"/>
          <w:szCs w:val="18"/>
          <w:color w:val="auto"/>
        </w:rPr>
        <w:t xml:space="preserve"> More information on our stockholder outreach and our "say on pay” results last year and our response is provided beginning on page 29.</w:t>
      </w:r>
    </w:p>
    <w:p>
      <w:pPr>
        <w:spacing w:after="0" w:line="138" w:lineRule="exact"/>
        <w:rPr>
          <w:sz w:val="20"/>
          <w:szCs w:val="20"/>
          <w:color w:val="auto"/>
        </w:rPr>
      </w:pPr>
    </w:p>
    <w:p>
      <w:pPr>
        <w:spacing w:after="0"/>
        <w:rPr>
          <w:sz w:val="20"/>
          <w:szCs w:val="20"/>
          <w:color w:val="auto"/>
        </w:rPr>
      </w:pPr>
      <w:r>
        <w:rPr>
          <w:rFonts w:ascii="Arial" w:cs="Arial" w:eastAsia="Arial" w:hAnsi="Arial"/>
          <w:sz w:val="29"/>
          <w:szCs w:val="29"/>
          <w:b w:val="1"/>
          <w:bCs w:val="1"/>
          <w:color w:val="4A7EBB"/>
        </w:rPr>
        <w:t>Corporate Social Responsibility</w:t>
      </w:r>
    </w:p>
    <w:p>
      <w:pPr>
        <w:spacing w:after="0" w:line="19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Board of Directors has responsibility for our CSR efforts. We invested significant time and resources furthering our key initiatives, developing programs and expanding our Corporate Social Responsibility (“CSR”) agenda. We have made important progress to reinforce our social and environmental standards as we continue to refine our oversight of our supply chain.</w:t>
      </w:r>
    </w:p>
    <w:p>
      <w:pPr>
        <w:spacing w:after="0" w:line="174" w:lineRule="exact"/>
        <w:rPr>
          <w:sz w:val="20"/>
          <w:szCs w:val="20"/>
          <w:color w:val="auto"/>
        </w:rPr>
      </w:pPr>
    </w:p>
    <w:p>
      <w:pPr>
        <w:jc w:val="both"/>
        <w:ind w:left="680" w:hanging="321"/>
        <w:spacing w:after="0" w:line="243" w:lineRule="auto"/>
        <w:tabs>
          <w:tab w:leader="none" w:pos="680" w:val="left"/>
        </w:tabs>
        <w:numPr>
          <w:ilvl w:val="0"/>
          <w:numId w:val="39"/>
        </w:numPr>
        <w:rPr>
          <w:rFonts w:ascii="Times New Roman" w:cs="Times New Roman" w:eastAsia="Times New Roman" w:hAnsi="Times New Roman"/>
          <w:sz w:val="18"/>
          <w:szCs w:val="18"/>
          <w:color w:val="4A7EBB"/>
        </w:rPr>
      </w:pPr>
      <w:r>
        <w:rPr>
          <w:rFonts w:ascii="Arial" w:cs="Arial" w:eastAsia="Arial" w:hAnsi="Arial"/>
          <w:sz w:val="18"/>
          <w:szCs w:val="18"/>
          <w:i w:val="1"/>
          <w:iCs w:val="1"/>
          <w:color w:val="auto"/>
        </w:rPr>
        <w:t xml:space="preserve">Engage Our People </w:t>
      </w:r>
      <w:r>
        <w:rPr>
          <w:rFonts w:ascii="Arial" w:cs="Arial" w:eastAsia="Arial" w:hAnsi="Arial"/>
          <w:sz w:val="18"/>
          <w:szCs w:val="18"/>
          <w:color w:val="auto"/>
        </w:rPr>
        <w:t>– Our associates drive our growth and success, and as we focus on our long-term growth</w:t>
      </w:r>
      <w:r>
        <w:rPr>
          <w:rFonts w:ascii="Arial" w:cs="Arial" w:eastAsia="Arial" w:hAnsi="Arial"/>
          <w:sz w:val="18"/>
          <w:szCs w:val="18"/>
          <w:i w:val="1"/>
          <w:iCs w:val="1"/>
          <w:color w:val="auto"/>
        </w:rPr>
        <w:t xml:space="preserve"> </w:t>
      </w:r>
      <w:r>
        <w:rPr>
          <w:rFonts w:ascii="Arial" w:cs="Arial" w:eastAsia="Arial" w:hAnsi="Arial"/>
          <w:sz w:val="18"/>
          <w:szCs w:val="18"/>
          <w:color w:val="auto"/>
        </w:rPr>
        <w:t>plans, we continue our commitment to foster a strong culture for our people. We implemented associate engagement initiatives supporting our brands and culture and offered training and development opportunities in areas important to our associates, including Lunch and Learns with our leadership teams. We continued our investments in technology, including new Human Resources systems, to further evolve our ways of working.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280670</wp:posOffset>
            </wp:positionV>
            <wp:extent cx="629221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288925</wp:posOffset>
            </wp:positionH>
            <wp:positionV relativeFrom="paragraph">
              <wp:posOffset>332105</wp:posOffset>
            </wp:positionV>
            <wp:extent cx="265430" cy="1543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65430" cy="15430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0"/>
          <w:szCs w:val="20"/>
          <w:b w:val="1"/>
          <w:bCs w:val="1"/>
          <w:color w:val="4A7EBB"/>
        </w:rPr>
        <w:t xml:space="preserve">10 </w:t>
      </w:r>
      <w:r>
        <w:rPr>
          <w:rFonts w:ascii="Arial" w:cs="Arial" w:eastAsia="Arial" w:hAnsi="Arial"/>
          <w:sz w:val="20"/>
          <w:szCs w:val="20"/>
          <w:color w:val="80808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17780</wp:posOffset>
            </wp:positionV>
            <wp:extent cx="62490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249035" cy="8255"/>
                    </a:xfrm>
                    <a:prstGeom prst="rect">
                      <a:avLst/>
                    </a:prstGeom>
                    <a:noFill/>
                  </pic:spPr>
                </pic:pic>
              </a:graphicData>
            </a:graphic>
          </wp:anchor>
        </w:drawing>
      </w:r>
    </w:p>
    <w:p>
      <w:pPr>
        <w:spacing w:after="0" w:line="219" w:lineRule="exact"/>
        <w:rPr>
          <w:sz w:val="20"/>
          <w:szCs w:val="20"/>
          <w:color w:val="auto"/>
        </w:rPr>
      </w:pPr>
    </w:p>
    <w:p>
      <w:pPr>
        <w:jc w:val="both"/>
        <w:ind w:left="660"/>
        <w:spacing w:after="0" w:line="242" w:lineRule="auto"/>
        <w:rPr>
          <w:sz w:val="20"/>
          <w:szCs w:val="20"/>
          <w:color w:val="auto"/>
        </w:rPr>
      </w:pPr>
      <w:r>
        <w:rPr>
          <w:rFonts w:ascii="Arial" w:cs="Arial" w:eastAsia="Arial" w:hAnsi="Arial"/>
          <w:sz w:val="18"/>
          <w:szCs w:val="18"/>
          <w:color w:val="auto"/>
        </w:rPr>
        <w:t>We are committed to ensuring the workers in our supply chain are treated fairly and our vendors abide by our Vendor Code of Conduct. We work closely with suppliers to develop and implement strategies that align with our social and environmental standards. We have also enhanced the effectiveness of our supplier audits through our continued participation in the Social &amp; Labor Convergence Program, allowing us to reduce the number of audits for suppliers, lessening redundancies in shared audits, and better assist factories to focus on addressing their most pressing issues.</w:t>
      </w:r>
    </w:p>
    <w:p>
      <w:pPr>
        <w:spacing w:after="0" w:line="179" w:lineRule="exact"/>
        <w:rPr>
          <w:sz w:val="20"/>
          <w:szCs w:val="20"/>
          <w:color w:val="auto"/>
        </w:rPr>
      </w:pPr>
    </w:p>
    <w:p>
      <w:pPr>
        <w:jc w:val="both"/>
        <w:ind w:left="660"/>
        <w:spacing w:after="0" w:line="241" w:lineRule="auto"/>
        <w:rPr>
          <w:sz w:val="20"/>
          <w:szCs w:val="20"/>
          <w:color w:val="auto"/>
        </w:rPr>
      </w:pPr>
      <w:r>
        <w:rPr>
          <w:rFonts w:ascii="Arial" w:cs="Arial" w:eastAsia="Arial" w:hAnsi="Arial"/>
          <w:sz w:val="17"/>
          <w:szCs w:val="17"/>
          <w:color w:val="auto"/>
        </w:rPr>
        <w:t>Ending forced labor continues to be a priority in our industry, and we work closely with our supply chain partners to mitigate the risk of forced labor being used to make our products or raw materials utilized in our products. We continue to advance our internal cotton traceability program by conducting our annual Cotton Compliance Monitoring training sessions to educate our staff and factories about our requirements and procedures for ensuring the ethical sourcing of cotton. We are enhancing our program by working on ways to couple these traceability lessons with other materials in our products. We continue to explore ways other SaaS technologies might mitigate risks. We also continue to leverage the testing capabilities of ORITAIN</w:t>
      </w:r>
      <w:r>
        <w:rPr>
          <w:rFonts w:ascii="Arial" w:cs="Arial" w:eastAsia="Arial" w:hAnsi="Arial"/>
          <w:sz w:val="25"/>
          <w:szCs w:val="25"/>
          <w:color w:val="auto"/>
          <w:vertAlign w:val="superscript"/>
        </w:rPr>
        <w:t>TM</w:t>
      </w:r>
      <w:r>
        <w:rPr>
          <w:rFonts w:ascii="Arial" w:cs="Arial" w:eastAsia="Arial" w:hAnsi="Arial"/>
          <w:sz w:val="17"/>
          <w:szCs w:val="17"/>
          <w:color w:val="auto"/>
        </w:rPr>
        <w:t xml:space="preserve"> to trace materials back to their fiber origins to mitigate the risk that forced labor is used in our supply chain. We routinely engage with counsel and industry organizations to ensure our practices and procedures align with the continually developing regulatory landscape.</w:t>
      </w:r>
    </w:p>
    <w:p>
      <w:pPr>
        <w:spacing w:after="0" w:line="180" w:lineRule="exact"/>
        <w:rPr>
          <w:sz w:val="20"/>
          <w:szCs w:val="20"/>
          <w:color w:val="auto"/>
        </w:rPr>
      </w:pPr>
    </w:p>
    <w:p>
      <w:pPr>
        <w:jc w:val="both"/>
        <w:ind w:left="680" w:right="20" w:hanging="321"/>
        <w:spacing w:after="0" w:line="246" w:lineRule="auto"/>
        <w:tabs>
          <w:tab w:leader="none" w:pos="680" w:val="left"/>
        </w:tabs>
        <w:numPr>
          <w:ilvl w:val="0"/>
          <w:numId w:val="40"/>
        </w:numPr>
        <w:rPr>
          <w:rFonts w:ascii="Times New Roman" w:cs="Times New Roman" w:eastAsia="Times New Roman" w:hAnsi="Times New Roman"/>
          <w:sz w:val="18"/>
          <w:szCs w:val="18"/>
          <w:color w:val="4A7EBB"/>
        </w:rPr>
      </w:pPr>
      <w:r>
        <w:rPr>
          <w:rFonts w:ascii="Arial" w:cs="Arial" w:eastAsia="Arial" w:hAnsi="Arial"/>
          <w:sz w:val="18"/>
          <w:szCs w:val="18"/>
          <w:i w:val="1"/>
          <w:iCs w:val="1"/>
          <w:color w:val="auto"/>
        </w:rPr>
        <w:t xml:space="preserve">Protect Our Environment </w:t>
      </w:r>
      <w:r>
        <w:rPr>
          <w:rFonts w:ascii="Arial" w:cs="Arial" w:eastAsia="Arial" w:hAnsi="Arial"/>
          <w:sz w:val="18"/>
          <w:szCs w:val="18"/>
          <w:color w:val="auto"/>
        </w:rPr>
        <w:t>– We continue to assess and implement the changes we can make to mitigate the</w:t>
      </w:r>
      <w:r>
        <w:rPr>
          <w:rFonts w:ascii="Arial" w:cs="Arial" w:eastAsia="Arial" w:hAnsi="Arial"/>
          <w:sz w:val="18"/>
          <w:szCs w:val="18"/>
          <w:i w:val="1"/>
          <w:iCs w:val="1"/>
          <w:color w:val="auto"/>
        </w:rPr>
        <w:t xml:space="preserve"> </w:t>
      </w:r>
      <w:r>
        <w:rPr>
          <w:rFonts w:ascii="Arial" w:cs="Arial" w:eastAsia="Arial" w:hAnsi="Arial"/>
          <w:sz w:val="18"/>
          <w:szCs w:val="18"/>
          <w:color w:val="auto"/>
        </w:rPr>
        <w:t>environmental impact of our own operations and that of our entire supply chain. We do this by prioritizing partnerships with vendors and factories that share this commitment and work together to ensure they are well-positioned to meet both our own requirements and a continuously evolving regulatory landscape.</w:t>
      </w:r>
    </w:p>
    <w:p>
      <w:pPr>
        <w:spacing w:after="0" w:line="177" w:lineRule="exact"/>
        <w:rPr>
          <w:sz w:val="20"/>
          <w:szCs w:val="20"/>
          <w:color w:val="auto"/>
        </w:rPr>
      </w:pPr>
    </w:p>
    <w:p>
      <w:pPr>
        <w:jc w:val="both"/>
        <w:ind w:left="660"/>
        <w:spacing w:after="0" w:line="247" w:lineRule="auto"/>
        <w:rPr>
          <w:sz w:val="20"/>
          <w:szCs w:val="20"/>
          <w:color w:val="auto"/>
        </w:rPr>
      </w:pPr>
      <w:r>
        <w:rPr>
          <w:rFonts w:ascii="Arial" w:cs="Arial" w:eastAsia="Arial" w:hAnsi="Arial"/>
          <w:sz w:val="18"/>
          <w:szCs w:val="18"/>
          <w:color w:val="auto"/>
        </w:rPr>
        <w:t>As a member of groups such as Cascale (formerly the Sustainable Apparel Coalition), we continue to collaborate with others in the industry to strengthen our social and environmental programs and improve vendor performance. We completed our Scope 1, 2 &amp; 3 greenhouse gas emissions (“GHGe”) footprint with the goal of establishing targets and remediation for reducing our impact in the future.</w:t>
      </w:r>
    </w:p>
    <w:p>
      <w:pPr>
        <w:spacing w:after="0" w:line="174" w:lineRule="exact"/>
        <w:rPr>
          <w:sz w:val="20"/>
          <w:szCs w:val="20"/>
          <w:color w:val="auto"/>
        </w:rPr>
      </w:pPr>
    </w:p>
    <w:p>
      <w:pPr>
        <w:jc w:val="both"/>
        <w:ind w:left="660"/>
        <w:spacing w:after="0"/>
        <w:rPr>
          <w:sz w:val="20"/>
          <w:szCs w:val="20"/>
          <w:color w:val="auto"/>
        </w:rPr>
      </w:pPr>
      <w:r>
        <w:rPr>
          <w:rFonts w:ascii="Arial" w:cs="Arial" w:eastAsia="Arial" w:hAnsi="Arial"/>
          <w:sz w:val="18"/>
          <w:szCs w:val="18"/>
          <w:color w:val="auto"/>
        </w:rPr>
        <w:t>We are making progress on our goal to transition our synthetic materials to 100% recycled sources by 2030 and are working to establish a baseline for additional sustainability targets. We are also working to increase the use of recycled, organic, and natural fibers, and successfully introduced recycled synthetic fibers certified by the Global Recycled Standard or the Recycled Claim Standard into a growing number of our products. Notably, in 2025, Vilebrequin, our premier European swimwear brand, manufactured over 85% of its products from preferred materials which consistently deliver reduced impacts and increased environmental benefits. To support our circularity efforts, both Karl Lagerfeld and Vilebrequin offer repair services to extend garment life, and across our portfolio, we work with our partners to seek alternative solutions for unsold products.</w:t>
      </w:r>
    </w:p>
    <w:p>
      <w:pPr>
        <w:spacing w:after="0" w:line="180" w:lineRule="exact"/>
        <w:rPr>
          <w:sz w:val="20"/>
          <w:szCs w:val="20"/>
          <w:color w:val="auto"/>
        </w:rPr>
      </w:pPr>
    </w:p>
    <w:p>
      <w:pPr>
        <w:jc w:val="both"/>
        <w:ind w:left="680" w:hanging="321"/>
        <w:spacing w:after="0" w:line="246" w:lineRule="auto"/>
        <w:tabs>
          <w:tab w:leader="none" w:pos="680" w:val="left"/>
        </w:tabs>
        <w:numPr>
          <w:ilvl w:val="0"/>
          <w:numId w:val="41"/>
        </w:numPr>
        <w:rPr>
          <w:rFonts w:ascii="Times New Roman" w:cs="Times New Roman" w:eastAsia="Times New Roman" w:hAnsi="Times New Roman"/>
          <w:sz w:val="18"/>
          <w:szCs w:val="18"/>
          <w:color w:val="4A7EBB"/>
        </w:rPr>
      </w:pPr>
      <w:r>
        <w:rPr>
          <w:rFonts w:ascii="Arial" w:cs="Arial" w:eastAsia="Arial" w:hAnsi="Arial"/>
          <w:sz w:val="18"/>
          <w:szCs w:val="18"/>
          <w:i w:val="1"/>
          <w:iCs w:val="1"/>
          <w:color w:val="auto"/>
        </w:rPr>
        <w:t xml:space="preserve">Invest in Our Community </w:t>
      </w:r>
      <w:r>
        <w:rPr>
          <w:rFonts w:ascii="Arial" w:cs="Arial" w:eastAsia="Arial" w:hAnsi="Arial"/>
          <w:sz w:val="18"/>
          <w:szCs w:val="18"/>
          <w:color w:val="auto"/>
        </w:rPr>
        <w:t>– Our longstanding commitment to philanthropy and supporting the communities where we</w:t>
      </w:r>
      <w:r>
        <w:rPr>
          <w:rFonts w:ascii="Arial" w:cs="Arial" w:eastAsia="Arial" w:hAnsi="Arial"/>
          <w:sz w:val="18"/>
          <w:szCs w:val="18"/>
          <w:i w:val="1"/>
          <w:iCs w:val="1"/>
          <w:color w:val="auto"/>
        </w:rPr>
        <w:t xml:space="preserve"> </w:t>
      </w:r>
      <w:r>
        <w:rPr>
          <w:rFonts w:ascii="Arial" w:cs="Arial" w:eastAsia="Arial" w:hAnsi="Arial"/>
          <w:sz w:val="18"/>
          <w:szCs w:val="18"/>
          <w:color w:val="auto"/>
        </w:rPr>
        <w:t>work and live is embedded in who we are. We are focused on maximizing our global impact through partnerships with key organizations across several pillars, including education, children and families, diversity and combatting homelessness.</w:t>
      </w:r>
    </w:p>
    <w:p>
      <w:pPr>
        <w:spacing w:after="0" w:line="177" w:lineRule="exact"/>
        <w:rPr>
          <w:sz w:val="20"/>
          <w:szCs w:val="20"/>
          <w:color w:val="auto"/>
        </w:rPr>
      </w:pPr>
    </w:p>
    <w:p>
      <w:pPr>
        <w:jc w:val="both"/>
        <w:ind w:left="660"/>
        <w:spacing w:after="0" w:line="247" w:lineRule="auto"/>
        <w:rPr>
          <w:sz w:val="20"/>
          <w:szCs w:val="20"/>
          <w:color w:val="auto"/>
        </w:rPr>
      </w:pPr>
      <w:r>
        <w:rPr>
          <w:rFonts w:ascii="Arial" w:cs="Arial" w:eastAsia="Arial" w:hAnsi="Arial"/>
          <w:sz w:val="18"/>
          <w:szCs w:val="18"/>
          <w:color w:val="auto"/>
        </w:rPr>
        <w:t>Beyond our corporate contributions, our associate philanthropic council collaborates with our brands and businesses to develop and execute charitable initiatives that provide volunteer opportunities for our associates. Our G-III Gives platform streamlines charitable giving and volunteer opportunities for our associates, and the Matching Gift program continues to expand our impact by supporting the causes most meaningful to our people.</w:t>
      </w:r>
    </w:p>
    <w:p>
      <w:pPr>
        <w:spacing w:after="0" w:line="17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We have a solid foundation in place, which we continue to build upon as we build our new Corporate Sustainability Strategy centered around our core CSR principles: Engage Our People, Protect Our Environment and Invest in Our Community.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529590</wp:posOffset>
            </wp:positionV>
            <wp:extent cx="629221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7580"/>
        <w:spacing w:after="0"/>
        <w:rPr>
          <w:sz w:val="20"/>
          <w:szCs w:val="20"/>
          <w:color w:val="auto"/>
        </w:rPr>
      </w:pPr>
      <w:r>
        <w:rPr>
          <w:rFonts w:ascii="Arial" w:cs="Arial" w:eastAsia="Arial" w:hAnsi="Arial"/>
          <w:sz w:val="16"/>
          <w:szCs w:val="16"/>
          <w:color w:val="auto"/>
        </w:rPr>
        <w:t xml:space="preserve">2026 PROXY STATEMENT </w:t>
      </w:r>
      <w:r>
        <w:rPr>
          <w:rFonts w:ascii="Arial" w:cs="Arial" w:eastAsia="Arial" w:hAnsi="Arial"/>
          <w:sz w:val="19"/>
          <w:szCs w:val="19"/>
          <w:color w:val="808080"/>
        </w:rPr>
        <w:t>/</w:t>
      </w:r>
      <w:r>
        <w:rPr>
          <w:rFonts w:ascii="Arial" w:cs="Arial" w:eastAsia="Arial" w:hAnsi="Arial"/>
          <w:sz w:val="16"/>
          <w:szCs w:val="16"/>
          <w:color w:val="auto"/>
        </w:rPr>
        <w:t xml:space="preserve"> </w:t>
      </w:r>
      <w:r>
        <w:rPr>
          <w:rFonts w:ascii="Arial" w:cs="Arial" w:eastAsia="Arial" w:hAnsi="Arial"/>
          <w:sz w:val="19"/>
          <w:szCs w:val="19"/>
          <w:b w:val="1"/>
          <w:bCs w:val="1"/>
          <w:color w:val="4A7EBB"/>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365125</wp:posOffset>
            </wp:positionV>
            <wp:extent cx="629221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17780</wp:posOffset>
            </wp:positionV>
            <wp:extent cx="62490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49035"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29"/>
          <w:szCs w:val="29"/>
          <w:b w:val="1"/>
          <w:bCs w:val="1"/>
          <w:color w:val="4A7EBB"/>
        </w:rPr>
        <w:t>Executive Compensation Highlights</w:t>
      </w:r>
    </w:p>
    <w:p>
      <w:pPr>
        <w:spacing w:after="0" w:line="195"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In fiscal 2026, approximately 89% of the compensation of our Chairman and CEO and our Vice Chairman and President and 79% of the average compensation of our other NEOs consisted of at-risk annual and long-term incentive compensation.</w:t>
      </w:r>
    </w:p>
    <w:p>
      <w:pPr>
        <w:spacing w:after="0" w:line="99" w:lineRule="exact"/>
        <w:rPr>
          <w:sz w:val="20"/>
          <w:szCs w:val="20"/>
          <w:color w:val="auto"/>
        </w:rPr>
      </w:pPr>
    </w:p>
    <w:tbl>
      <w:tblPr>
        <w:tblLayout w:type="fixed"/>
        <w:tblInd w:w="400" w:type="dxa"/>
        <w:tblCellMar>
          <w:top w:w="0" w:type="dxa"/>
          <w:left w:w="0" w:type="dxa"/>
          <w:bottom w:w="0" w:type="dxa"/>
          <w:right w:w="0" w:type="dxa"/>
        </w:tblCellMar>
      </w:tblPr>
      <w:tr>
        <w:trPr>
          <w:trHeight w:val="207"/>
        </w:trPr>
        <w:tc>
          <w:tcPr>
            <w:tcW w:w="4780" w:type="dxa"/>
            <w:vAlign w:val="bottom"/>
          </w:tcPr>
          <w:p>
            <w:pPr>
              <w:jc w:val="center"/>
              <w:ind w:right="1010"/>
              <w:spacing w:after="0"/>
              <w:rPr>
                <w:sz w:val="20"/>
                <w:szCs w:val="20"/>
                <w:color w:val="auto"/>
              </w:rPr>
            </w:pPr>
            <w:r>
              <w:rPr>
                <w:rFonts w:ascii="Arial" w:cs="Arial" w:eastAsia="Arial" w:hAnsi="Arial"/>
                <w:sz w:val="18"/>
                <w:szCs w:val="18"/>
                <w:b w:val="1"/>
                <w:bCs w:val="1"/>
                <w:color w:val="4A7EBB"/>
                <w:w w:val="99"/>
              </w:rPr>
              <w:t>Chairman and CEO and Vice Chairman and</w:t>
            </w:r>
          </w:p>
        </w:tc>
        <w:tc>
          <w:tcPr>
            <w:tcW w:w="3780" w:type="dxa"/>
            <w:vAlign w:val="bottom"/>
            <w:vMerge w:val="restart"/>
          </w:tcPr>
          <w:p>
            <w:pPr>
              <w:ind w:left="1120"/>
              <w:spacing w:after="0"/>
              <w:rPr>
                <w:sz w:val="20"/>
                <w:szCs w:val="20"/>
                <w:color w:val="auto"/>
              </w:rPr>
            </w:pPr>
            <w:r>
              <w:rPr>
                <w:rFonts w:ascii="Arial" w:cs="Arial" w:eastAsia="Arial" w:hAnsi="Arial"/>
                <w:sz w:val="18"/>
                <w:szCs w:val="18"/>
                <w:b w:val="1"/>
                <w:bCs w:val="1"/>
                <w:color w:val="4A7EBB"/>
                <w:w w:val="98"/>
              </w:rPr>
              <w:t>Other NEOs Compensation Mix</w:t>
            </w:r>
          </w:p>
        </w:tc>
        <w:tc>
          <w:tcPr>
            <w:tcW w:w="0" w:type="dxa"/>
            <w:vAlign w:val="bottom"/>
          </w:tcPr>
          <w:p>
            <w:pPr>
              <w:spacing w:after="0"/>
              <w:rPr>
                <w:sz w:val="1"/>
                <w:szCs w:val="1"/>
                <w:color w:val="auto"/>
              </w:rPr>
            </w:pPr>
          </w:p>
        </w:tc>
      </w:tr>
      <w:tr>
        <w:trPr>
          <w:trHeight w:val="148"/>
        </w:trPr>
        <w:tc>
          <w:tcPr>
            <w:tcW w:w="4780" w:type="dxa"/>
            <w:vAlign w:val="bottom"/>
            <w:vMerge w:val="restart"/>
          </w:tcPr>
          <w:p>
            <w:pPr>
              <w:jc w:val="center"/>
              <w:ind w:right="1010"/>
              <w:spacing w:after="0"/>
              <w:rPr>
                <w:sz w:val="20"/>
                <w:szCs w:val="20"/>
                <w:color w:val="auto"/>
              </w:rPr>
            </w:pPr>
            <w:r>
              <w:rPr>
                <w:rFonts w:ascii="Arial" w:cs="Arial" w:eastAsia="Arial" w:hAnsi="Arial"/>
                <w:sz w:val="18"/>
                <w:szCs w:val="18"/>
                <w:b w:val="1"/>
                <w:bCs w:val="1"/>
                <w:color w:val="4A7EBB"/>
                <w:w w:val="98"/>
              </w:rPr>
              <w:t xml:space="preserve">President Compensation Mix </w:t>
            </w:r>
            <w:r>
              <w:rPr>
                <w:rFonts w:ascii="Arial" w:cs="Arial" w:eastAsia="Arial" w:hAnsi="Arial"/>
                <w:sz w:val="26"/>
                <w:szCs w:val="26"/>
                <w:b w:val="1"/>
                <w:bCs w:val="1"/>
                <w:color w:val="4A7EBB"/>
                <w:w w:val="98"/>
                <w:vertAlign w:val="superscript"/>
              </w:rPr>
              <w:t>(1)</w:t>
            </w:r>
          </w:p>
        </w:tc>
        <w:tc>
          <w:tcPr>
            <w:tcW w:w="3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1"/>
        </w:trPr>
        <w:tc>
          <w:tcPr>
            <w:tcW w:w="4780" w:type="dxa"/>
            <w:vAlign w:val="bottom"/>
            <w:vMerge w:val="continue"/>
          </w:tcPr>
          <w:p>
            <w:pPr>
              <w:spacing w:after="0"/>
              <w:rPr>
                <w:sz w:val="19"/>
                <w:szCs w:val="19"/>
                <w:color w:val="auto"/>
              </w:rPr>
            </w:pPr>
          </w:p>
        </w:tc>
        <w:tc>
          <w:tcPr>
            <w:tcW w:w="37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wp:posOffset>
            </wp:positionH>
            <wp:positionV relativeFrom="paragraph">
              <wp:posOffset>40640</wp:posOffset>
            </wp:positionV>
            <wp:extent cx="5983605" cy="38658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983605" cy="3865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left="1620" w:right="1160"/>
        <w:spacing w:after="0" w:line="246" w:lineRule="auto"/>
        <w:rPr>
          <w:sz w:val="20"/>
          <w:szCs w:val="20"/>
          <w:color w:val="auto"/>
        </w:rPr>
      </w:pPr>
      <w:r>
        <w:rPr>
          <w:rFonts w:ascii="Arial" w:cs="Arial" w:eastAsia="Arial" w:hAnsi="Arial"/>
          <w:sz w:val="18"/>
          <w:szCs w:val="18"/>
          <w:b w:val="1"/>
          <w:bCs w:val="1"/>
          <w:color w:val="auto"/>
        </w:rPr>
        <w:t xml:space="preserve">Based on the information in this “Proxy Summary,” as well as the more detailed information contained in the “Compensation Discussion and Analysis,” our Board and our Compensation Committee recommend that our stockholders should vote </w:t>
      </w:r>
      <w:r>
        <w:rPr>
          <w:rFonts w:ascii="Arial" w:cs="Arial" w:eastAsia="Arial" w:hAnsi="Arial"/>
          <w:sz w:val="18"/>
          <w:szCs w:val="18"/>
          <w:b w:val="1"/>
          <w:bCs w:val="1"/>
          <w:color w:val="4A7EBB"/>
        </w:rPr>
        <w:t xml:space="preserve">FOR </w:t>
      </w:r>
      <w:r>
        <w:rPr>
          <w:rFonts w:ascii="Arial" w:cs="Arial" w:eastAsia="Arial" w:hAnsi="Arial"/>
          <w:sz w:val="18"/>
          <w:szCs w:val="18"/>
          <w:b w:val="1"/>
          <w:bCs w:val="1"/>
          <w:color w:val="000000"/>
        </w:rPr>
        <w:t>Proposal No. 2—Advisory Vote on Compensation of our Named Executive</w:t>
      </w:r>
      <w:r>
        <w:rPr>
          <w:rFonts w:ascii="Arial" w:cs="Arial" w:eastAsia="Arial" w:hAnsi="Arial"/>
          <w:sz w:val="18"/>
          <w:szCs w:val="18"/>
          <w:b w:val="1"/>
          <w:bCs w:val="1"/>
          <w:color w:val="4A7EBB"/>
        </w:rPr>
        <w:t xml:space="preserve"> </w:t>
      </w:r>
      <w:r>
        <w:rPr>
          <w:rFonts w:ascii="Arial" w:cs="Arial" w:eastAsia="Arial" w:hAnsi="Arial"/>
          <w:sz w:val="18"/>
          <w:szCs w:val="18"/>
          <w:b w:val="1"/>
          <w:bCs w:val="1"/>
          <w:color w:val="000000"/>
        </w:rPr>
        <w:t>Officers, commonly known as the “Say on Pay” proposal.</w:t>
      </w:r>
    </w:p>
    <w:p>
      <w:pPr>
        <w:spacing w:after="0" w:line="295" w:lineRule="exact"/>
        <w:rPr>
          <w:sz w:val="20"/>
          <w:szCs w:val="20"/>
          <w:color w:val="auto"/>
        </w:rPr>
      </w:pPr>
    </w:p>
    <w:p>
      <w:pPr>
        <w:ind w:firstLine="1"/>
        <w:spacing w:after="0" w:line="264" w:lineRule="auto"/>
        <w:rPr>
          <w:sz w:val="20"/>
          <w:szCs w:val="20"/>
          <w:color w:val="auto"/>
        </w:rPr>
      </w:pPr>
      <w:r>
        <w:rPr>
          <w:sz w:val="1"/>
          <w:szCs w:val="1"/>
          <w:color w:val="auto"/>
        </w:rPr>
        <w:drawing>
          <wp:inline distT="0" distB="0" distL="0" distR="0">
            <wp:extent cx="205740" cy="205740"/>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05740" cy="205740"/>
                    </a:xfrm>
                    <a:prstGeom prst="rect">
                      <a:avLst/>
                    </a:prstGeom>
                    <a:noFill/>
                    <a:ln>
                      <a:noFill/>
                    </a:ln>
                  </pic:spPr>
                </pic:pic>
              </a:graphicData>
            </a:graphic>
          </wp:inline>
        </w:drawing>
      </w:r>
      <w:r>
        <w:rPr>
          <w:rFonts w:ascii="Arial" w:cs="Arial" w:eastAsia="Arial" w:hAnsi="Arial"/>
          <w:sz w:val="18"/>
          <w:szCs w:val="18"/>
          <w:color w:val="auto"/>
        </w:rPr>
        <w:t xml:space="preserve"> More information is provided in the “Compensation Discussion and Analysis” beginning on page 25 and the “Executive Compensation Tables” beginning on page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529590</wp:posOffset>
            </wp:positionV>
            <wp:extent cx="629221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288925</wp:posOffset>
            </wp:positionH>
            <wp:positionV relativeFrom="paragraph">
              <wp:posOffset>589280</wp:posOffset>
            </wp:positionV>
            <wp:extent cx="265430" cy="146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6543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20"/>
          <w:szCs w:val="20"/>
          <w:b w:val="1"/>
          <w:bCs w:val="1"/>
          <w:color w:val="4A7EBB"/>
        </w:rPr>
        <w:t xml:space="preserve">12 </w:t>
      </w:r>
      <w:r>
        <w:rPr>
          <w:rFonts w:ascii="Arial" w:cs="Arial" w:eastAsia="Arial" w:hAnsi="Arial"/>
          <w:sz w:val="20"/>
          <w:szCs w:val="20"/>
          <w:color w:val="80808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17780</wp:posOffset>
            </wp:positionV>
            <wp:extent cx="62490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249035"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29"/>
          <w:szCs w:val="29"/>
          <w:b w:val="1"/>
          <w:bCs w:val="1"/>
          <w:color w:val="4A7EBB"/>
        </w:rPr>
        <w:t>Approval of Our Amended 2023 Long-Term Incentive Plan</w:t>
      </w:r>
    </w:p>
    <w:p>
      <w:pPr>
        <w:spacing w:after="0" w:line="195"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are proposing to amend our 2023 Long-Term Incentive Plan to increase the number of shares of Common Stock that may be issued under the 2023 Plan by 2,500,000 shares. We are seeking authorization for additional shares in order to be able to continue to attract, incentivize and retain executives, other key employees and directors by granting PSUs or other equity awards. In fiscal 2026, we made targeted retention grants to Jeffrey Goldfarb, our Executive Vice President, and Dana Perlman, our Chief Growth and Operations Officer, as well as to other senior executives in connection with succession planning. Additionally, in fiscal 2024, Morris Goldfarb, our Chairman and CEO, was granted a one-time performance-based equity retention award in connection with the renegotiation of his employment contract. As a result, in fiscal 2026 and fiscal 2024, we utilized more shares than anticipated under the 2023 Plan.</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of the record date of April 16, 2026, we will have 599,477 shares available for grant under the 2023 Plan. During fiscal 2024 through fiscal 2026, G-III repurchased 5,966,676 shares of Common Stock.</w:t>
      </w:r>
    </w:p>
    <w:p>
      <w:pPr>
        <w:spacing w:after="0" w:line="15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also believe it is important to have sufficient shares in order for us to be able to grant stock awards in lieu of annual cash incentives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109220</wp:posOffset>
            </wp:positionV>
            <wp:extent cx="5031740" cy="6686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031740" cy="668655"/>
                    </a:xfrm>
                    <a:prstGeom prst="rect">
                      <a:avLst/>
                    </a:prstGeom>
                    <a:noFill/>
                  </pic:spPr>
                </pic:pic>
              </a:graphicData>
            </a:graphic>
          </wp:anchor>
        </w:drawing>
      </w:r>
    </w:p>
    <w:p>
      <w:pPr>
        <w:spacing w:after="0" w:line="350" w:lineRule="exact"/>
        <w:rPr>
          <w:sz w:val="20"/>
          <w:szCs w:val="20"/>
          <w:color w:val="auto"/>
        </w:rPr>
      </w:pPr>
    </w:p>
    <w:p>
      <w:pPr>
        <w:jc w:val="both"/>
        <w:ind w:left="1620" w:right="1160"/>
        <w:spacing w:after="0" w:line="257" w:lineRule="auto"/>
        <w:rPr>
          <w:sz w:val="20"/>
          <w:szCs w:val="20"/>
          <w:color w:val="auto"/>
        </w:rPr>
      </w:pPr>
      <w:r>
        <w:rPr>
          <w:rFonts w:ascii="Arial" w:cs="Arial" w:eastAsia="Arial" w:hAnsi="Arial"/>
          <w:sz w:val="18"/>
          <w:szCs w:val="18"/>
          <w:b w:val="1"/>
          <w:bCs w:val="1"/>
          <w:color w:val="auto"/>
        </w:rPr>
        <w:t xml:space="preserve">Our Board and our Compensation Committee strongly believe that our stockholders should vote </w:t>
      </w:r>
      <w:r>
        <w:rPr>
          <w:rFonts w:ascii="Arial" w:cs="Arial" w:eastAsia="Arial" w:hAnsi="Arial"/>
          <w:sz w:val="18"/>
          <w:szCs w:val="18"/>
          <w:b w:val="1"/>
          <w:bCs w:val="1"/>
          <w:color w:val="4A7EBB"/>
        </w:rPr>
        <w:t>FOR</w:t>
      </w:r>
      <w:r>
        <w:rPr>
          <w:rFonts w:ascii="Arial" w:cs="Arial" w:eastAsia="Arial" w:hAnsi="Arial"/>
          <w:sz w:val="18"/>
          <w:szCs w:val="18"/>
          <w:b w:val="1"/>
          <w:bCs w:val="1"/>
          <w:color w:val="auto"/>
        </w:rPr>
        <w:t xml:space="preserve"> Proposal No. 3—Approval of our Amended 2023 Long-Term Incentive Plan.</w:t>
      </w:r>
    </w:p>
    <w:p>
      <w:pPr>
        <w:spacing w:after="0" w:line="191" w:lineRule="exact"/>
        <w:rPr>
          <w:sz w:val="20"/>
          <w:szCs w:val="20"/>
          <w:color w:val="auto"/>
        </w:rPr>
      </w:pPr>
    </w:p>
    <w:p>
      <w:pPr>
        <w:spacing w:after="0"/>
        <w:rPr>
          <w:sz w:val="20"/>
          <w:szCs w:val="20"/>
          <w:color w:val="auto"/>
        </w:rPr>
      </w:pPr>
      <w:r>
        <w:rPr>
          <w:sz w:val="1"/>
          <w:szCs w:val="1"/>
          <w:color w:val="auto"/>
        </w:rPr>
        <w:drawing>
          <wp:inline distT="0" distB="0" distL="0" distR="0">
            <wp:extent cx="205740" cy="205740"/>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05740" cy="205740"/>
                    </a:xfrm>
                    <a:prstGeom prst="rect">
                      <a:avLst/>
                    </a:prstGeom>
                    <a:noFill/>
                    <a:ln>
                      <a:noFill/>
                    </a:ln>
                  </pic:spPr>
                </pic:pic>
              </a:graphicData>
            </a:graphic>
          </wp:inline>
        </w:drawing>
      </w:r>
      <w:r>
        <w:rPr>
          <w:rFonts w:ascii="Arial" w:cs="Arial" w:eastAsia="Arial" w:hAnsi="Arial"/>
          <w:sz w:val="17"/>
          <w:szCs w:val="17"/>
          <w:color w:val="auto"/>
        </w:rPr>
        <w:t xml:space="preserve"> More information with respect to this proposed amendment to the 2023 Plan, see Proposal No. 3 beginning on page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825500</wp:posOffset>
            </wp:positionV>
            <wp:extent cx="629221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7560"/>
        <w:spacing w:after="0"/>
        <w:rPr>
          <w:sz w:val="20"/>
          <w:szCs w:val="20"/>
          <w:color w:val="auto"/>
        </w:rPr>
      </w:pPr>
      <w:r>
        <w:rPr>
          <w:rFonts w:ascii="Arial" w:cs="Arial" w:eastAsia="Arial" w:hAnsi="Arial"/>
          <w:sz w:val="16"/>
          <w:szCs w:val="16"/>
          <w:color w:val="auto"/>
        </w:rPr>
        <w:t xml:space="preserve">2026 PROXY STATEMENT </w:t>
      </w:r>
      <w:r>
        <w:rPr>
          <w:rFonts w:ascii="Arial" w:cs="Arial" w:eastAsia="Arial" w:hAnsi="Arial"/>
          <w:sz w:val="19"/>
          <w:szCs w:val="19"/>
          <w:color w:val="808080"/>
        </w:rPr>
        <w:t>/</w:t>
      </w:r>
      <w:r>
        <w:rPr>
          <w:rFonts w:ascii="Arial" w:cs="Arial" w:eastAsia="Arial" w:hAnsi="Arial"/>
          <w:sz w:val="16"/>
          <w:szCs w:val="16"/>
          <w:color w:val="auto"/>
        </w:rPr>
        <w:t xml:space="preserve"> </w:t>
      </w:r>
      <w:r>
        <w:rPr>
          <w:rFonts w:ascii="Arial" w:cs="Arial" w:eastAsia="Arial" w:hAnsi="Arial"/>
          <w:sz w:val="19"/>
          <w:szCs w:val="19"/>
          <w:b w:val="1"/>
          <w:bCs w:val="1"/>
          <w:color w:val="4A7EBB"/>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356235</wp:posOffset>
            </wp:positionV>
            <wp:extent cx="629221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3" w:lineRule="exact"/>
        <w:rPr>
          <w:sz w:val="20"/>
          <w:szCs w:val="20"/>
          <w:color w:val="auto"/>
        </w:rPr>
      </w:pPr>
    </w:p>
    <w:p>
      <w:pPr>
        <w:ind w:right="1520"/>
        <w:spacing w:after="0" w:line="288" w:lineRule="auto"/>
        <w:rPr>
          <w:sz w:val="20"/>
          <w:szCs w:val="20"/>
          <w:color w:val="auto"/>
        </w:rPr>
      </w:pPr>
      <w:r>
        <w:rPr>
          <w:rFonts w:ascii="Arial" w:cs="Arial" w:eastAsia="Arial" w:hAnsi="Arial"/>
          <w:sz w:val="29"/>
          <w:szCs w:val="29"/>
          <w:b w:val="1"/>
          <w:bCs w:val="1"/>
          <w:color w:val="auto"/>
        </w:rPr>
        <w:t>BENEFICIAL OWNERSHIP OF COMMON STOCK BY CERTAIN STOCKHOLDERS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-57150</wp:posOffset>
            </wp:positionV>
            <wp:extent cx="629221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1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following table sets forth information as of April 16, 2026 (except as otherwise noted in the footnotes) regarding the beneficial ownership of our Common Stock of: (i) each director; (ii) each person known by us to own beneficially more than five percent of our outstanding Common Stock; (iii) each executive officer named in the Fiscal 2026 Summary Compensation Table; and (iv) all directors and executive officers as a group. Robert L. Johnson and Laura Pomerantz, both current directors of the Company, have decided not to stand for reelection at the Annual Meeting. Except as otherwise specified, the named beneficial owner has the sole voting and investment power over the shares listed. The percentage of ownership is based on 42,189,287 shares of Common Stock outstanding (excluding treasury shares) as of April 16, 2026 (except as otherwise noted in the footnotes). Unless otherwise indicated in the table below, each beneficial owner has an address in care of our principal executive offices at 512 Seventh Avenue, New York, New York 10018.</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60" w:type="dxa"/>
            <w:vAlign w:val="bottom"/>
            <w:tcBorders>
              <w:top w:val="single" w:sz="8" w:color="4A7EBB"/>
            </w:tcBorders>
            <w:shd w:val="clear" w:color="auto" w:fill="DBE5F1"/>
          </w:tcPr>
          <w:p>
            <w:pPr>
              <w:spacing w:after="0"/>
              <w:rPr>
                <w:sz w:val="17"/>
                <w:szCs w:val="17"/>
                <w:color w:val="auto"/>
              </w:rPr>
            </w:pPr>
          </w:p>
        </w:tc>
        <w:tc>
          <w:tcPr>
            <w:tcW w:w="2060" w:type="dxa"/>
            <w:vAlign w:val="bottom"/>
            <w:tcBorders>
              <w:top w:val="single" w:sz="8" w:color="4A7EBB"/>
            </w:tcBorders>
            <w:shd w:val="clear" w:color="auto" w:fill="DBE5F1"/>
          </w:tcPr>
          <w:p>
            <w:pPr>
              <w:jc w:val="right"/>
              <w:spacing w:after="0"/>
              <w:rPr>
                <w:sz w:val="20"/>
                <w:szCs w:val="20"/>
                <w:color w:val="auto"/>
              </w:rPr>
            </w:pPr>
            <w:r>
              <w:rPr>
                <w:rFonts w:ascii="Arial" w:cs="Arial" w:eastAsia="Arial" w:hAnsi="Arial"/>
                <w:sz w:val="16"/>
                <w:szCs w:val="16"/>
                <w:b w:val="1"/>
                <w:bCs w:val="1"/>
                <w:color w:val="auto"/>
              </w:rPr>
              <w:t>​​​ Amount and Nature of</w:t>
            </w:r>
          </w:p>
        </w:tc>
        <w:tc>
          <w:tcPr>
            <w:tcW w:w="1400" w:type="dxa"/>
            <w:vAlign w:val="bottom"/>
            <w:tcBorders>
              <w:top w:val="single" w:sz="8" w:color="4A7EBB"/>
            </w:tcBorders>
            <w:gridSpan w:val="2"/>
            <w:shd w:val="clear" w:color="auto" w:fill="DBE5F1"/>
          </w:tcPr>
          <w:p>
            <w:pPr>
              <w:jc w:val="right"/>
              <w:ind w:right="1079"/>
              <w:spacing w:after="0"/>
              <w:rPr>
                <w:sz w:val="20"/>
                <w:szCs w:val="20"/>
                <w:color w:val="auto"/>
              </w:rPr>
            </w:pPr>
            <w:r>
              <w:rPr>
                <w:rFonts w:ascii="Arial" w:cs="Arial" w:eastAsia="Arial" w:hAnsi="Arial"/>
                <w:sz w:val="16"/>
                <w:szCs w:val="16"/>
                <w:b w:val="1"/>
                <w:bCs w:val="1"/>
                <w:color w:val="auto"/>
              </w:rPr>
              <w:t>​​​</w:t>
            </w:r>
          </w:p>
        </w:tc>
      </w:tr>
      <w:tr>
        <w:trPr>
          <w:trHeight w:val="189"/>
        </w:trPr>
        <w:tc>
          <w:tcPr>
            <w:tcW w:w="6460" w:type="dxa"/>
            <w:vAlign w:val="bottom"/>
            <w:shd w:val="clear" w:color="auto" w:fill="DBE5F1"/>
          </w:tcPr>
          <w:p>
            <w:pPr>
              <w:spacing w:after="0"/>
              <w:rPr>
                <w:sz w:val="16"/>
                <w:szCs w:val="16"/>
                <w:color w:val="auto"/>
              </w:rPr>
            </w:pPr>
          </w:p>
        </w:tc>
        <w:tc>
          <w:tcPr>
            <w:tcW w:w="2060" w:type="dxa"/>
            <w:vAlign w:val="bottom"/>
            <w:shd w:val="clear" w:color="auto" w:fill="DBE5F1"/>
          </w:tcPr>
          <w:p>
            <w:pPr>
              <w:jc w:val="right"/>
              <w:spacing w:after="0"/>
              <w:rPr>
                <w:sz w:val="20"/>
                <w:szCs w:val="20"/>
                <w:color w:val="auto"/>
              </w:rPr>
            </w:pPr>
            <w:r>
              <w:rPr>
                <w:rFonts w:ascii="Arial" w:cs="Arial" w:eastAsia="Arial" w:hAnsi="Arial"/>
                <w:sz w:val="16"/>
                <w:szCs w:val="16"/>
                <w:b w:val="1"/>
                <w:bCs w:val="1"/>
                <w:color w:val="auto"/>
              </w:rPr>
              <w:t>Beneficial Ownership of</w:t>
            </w:r>
          </w:p>
        </w:tc>
        <w:tc>
          <w:tcPr>
            <w:tcW w:w="200" w:type="dxa"/>
            <w:vAlign w:val="bottom"/>
            <w:shd w:val="clear" w:color="auto" w:fill="DBE5F1"/>
          </w:tcPr>
          <w:p>
            <w:pPr>
              <w:spacing w:after="0"/>
              <w:rPr>
                <w:sz w:val="16"/>
                <w:szCs w:val="16"/>
                <w:color w:val="auto"/>
              </w:rPr>
            </w:pPr>
          </w:p>
        </w:tc>
        <w:tc>
          <w:tcPr>
            <w:tcW w:w="1200" w:type="dxa"/>
            <w:vAlign w:val="bottom"/>
            <w:shd w:val="clear" w:color="auto" w:fill="DBE5F1"/>
          </w:tcPr>
          <w:p>
            <w:pPr>
              <w:jc w:val="right"/>
              <w:spacing w:after="0"/>
              <w:rPr>
                <w:sz w:val="20"/>
                <w:szCs w:val="20"/>
                <w:color w:val="auto"/>
              </w:rPr>
            </w:pPr>
            <w:r>
              <w:rPr>
                <w:rFonts w:ascii="Arial" w:cs="Arial" w:eastAsia="Arial" w:hAnsi="Arial"/>
                <w:sz w:val="16"/>
                <w:szCs w:val="16"/>
                <w:b w:val="1"/>
                <w:bCs w:val="1"/>
                <w:color w:val="auto"/>
              </w:rPr>
              <w:t>Percentage of</w:t>
            </w:r>
          </w:p>
        </w:tc>
      </w:tr>
      <w:tr>
        <w:trPr>
          <w:trHeight w:val="189"/>
        </w:trPr>
        <w:tc>
          <w:tcPr>
            <w:tcW w:w="6460" w:type="dxa"/>
            <w:vAlign w:val="bottom"/>
            <w:tcBorders>
              <w:bottom w:val="single" w:sz="8" w:color="4A7EBB"/>
            </w:tcBorders>
            <w:shd w:val="clear" w:color="auto" w:fill="DBE5F1"/>
          </w:tcPr>
          <w:p>
            <w:pPr>
              <w:spacing w:after="0"/>
              <w:rPr>
                <w:sz w:val="20"/>
                <w:szCs w:val="20"/>
                <w:color w:val="auto"/>
              </w:rPr>
            </w:pPr>
            <w:r>
              <w:rPr>
                <w:rFonts w:ascii="Arial" w:cs="Arial" w:eastAsia="Arial" w:hAnsi="Arial"/>
                <w:sz w:val="16"/>
                <w:szCs w:val="16"/>
                <w:b w:val="1"/>
                <w:bCs w:val="1"/>
                <w:color w:val="auto"/>
              </w:rPr>
              <w:t>Name and Address of Beneficial Owner</w:t>
            </w:r>
          </w:p>
        </w:tc>
        <w:tc>
          <w:tcPr>
            <w:tcW w:w="2060" w:type="dxa"/>
            <w:vAlign w:val="bottom"/>
            <w:tcBorders>
              <w:bottom w:val="single" w:sz="8" w:color="4A7EBB"/>
            </w:tcBorders>
            <w:shd w:val="clear" w:color="auto" w:fill="DBE5F1"/>
          </w:tcPr>
          <w:p>
            <w:pPr>
              <w:jc w:val="right"/>
              <w:ind w:right="259"/>
              <w:spacing w:after="0"/>
              <w:rPr>
                <w:sz w:val="20"/>
                <w:szCs w:val="20"/>
                <w:color w:val="auto"/>
              </w:rPr>
            </w:pPr>
            <w:r>
              <w:rPr>
                <w:rFonts w:ascii="Arial" w:cs="Arial" w:eastAsia="Arial" w:hAnsi="Arial"/>
                <w:sz w:val="16"/>
                <w:szCs w:val="16"/>
                <w:b w:val="1"/>
                <w:bCs w:val="1"/>
                <w:color w:val="auto"/>
              </w:rPr>
              <w:t>Common Stock</w:t>
            </w:r>
          </w:p>
        </w:tc>
        <w:tc>
          <w:tcPr>
            <w:tcW w:w="200" w:type="dxa"/>
            <w:vAlign w:val="bottom"/>
            <w:tcBorders>
              <w:bottom w:val="single" w:sz="8" w:color="4A7EBB"/>
            </w:tcBorders>
            <w:shd w:val="clear" w:color="auto" w:fill="DBE5F1"/>
          </w:tcPr>
          <w:p>
            <w:pPr>
              <w:spacing w:after="0"/>
              <w:rPr>
                <w:sz w:val="16"/>
                <w:szCs w:val="16"/>
                <w:color w:val="auto"/>
              </w:rPr>
            </w:pPr>
          </w:p>
        </w:tc>
        <w:tc>
          <w:tcPr>
            <w:tcW w:w="1200" w:type="dxa"/>
            <w:vAlign w:val="bottom"/>
            <w:tcBorders>
              <w:bottom w:val="single" w:sz="8" w:color="4A7EBB"/>
            </w:tcBorders>
            <w:shd w:val="clear" w:color="auto" w:fill="DBE5F1"/>
          </w:tcPr>
          <w:p>
            <w:pPr>
              <w:jc w:val="right"/>
              <w:spacing w:after="0"/>
              <w:rPr>
                <w:sz w:val="20"/>
                <w:szCs w:val="20"/>
                <w:color w:val="auto"/>
              </w:rPr>
            </w:pPr>
            <w:r>
              <w:rPr>
                <w:rFonts w:ascii="Arial" w:cs="Arial" w:eastAsia="Arial" w:hAnsi="Arial"/>
                <w:sz w:val="16"/>
                <w:szCs w:val="16"/>
                <w:b w:val="1"/>
                <w:bCs w:val="1"/>
                <w:color w:val="auto"/>
              </w:rPr>
              <w:t>Common Stock</w:t>
            </w:r>
          </w:p>
        </w:tc>
      </w:tr>
      <w:tr>
        <w:trPr>
          <w:trHeight w:val="183"/>
        </w:trPr>
        <w:tc>
          <w:tcPr>
            <w:tcW w:w="6460" w:type="dxa"/>
            <w:vAlign w:val="bottom"/>
            <w:tcBorders>
              <w:bottom w:val="single" w:sz="8" w:color="4A7EBB"/>
            </w:tcBorders>
          </w:tcPr>
          <w:p>
            <w:pPr>
              <w:spacing w:after="0" w:line="183" w:lineRule="exact"/>
              <w:rPr>
                <w:sz w:val="20"/>
                <w:szCs w:val="20"/>
                <w:color w:val="auto"/>
              </w:rPr>
            </w:pPr>
            <w:r>
              <w:rPr>
                <w:rFonts w:ascii="Arial" w:cs="Arial" w:eastAsia="Arial" w:hAnsi="Arial"/>
                <w:sz w:val="16"/>
                <w:szCs w:val="16"/>
                <w:b w:val="1"/>
                <w:bCs w:val="1"/>
                <w:color w:val="auto"/>
              </w:rPr>
              <w:t>Named Executive Officers and Directors</w:t>
            </w:r>
          </w:p>
        </w:tc>
        <w:tc>
          <w:tcPr>
            <w:tcW w:w="2060" w:type="dxa"/>
            <w:vAlign w:val="bottom"/>
            <w:tcBorders>
              <w:bottom w:val="single" w:sz="8" w:color="4A7EBB"/>
            </w:tcBorders>
          </w:tcPr>
          <w:p>
            <w:pPr>
              <w:spacing w:after="0"/>
              <w:rPr>
                <w:sz w:val="15"/>
                <w:szCs w:val="15"/>
                <w:color w:val="auto"/>
              </w:rPr>
            </w:pPr>
          </w:p>
        </w:tc>
        <w:tc>
          <w:tcPr>
            <w:tcW w:w="200" w:type="dxa"/>
            <w:vAlign w:val="bottom"/>
            <w:tcBorders>
              <w:bottom w:val="single" w:sz="8" w:color="4A7EBB"/>
            </w:tcBorders>
          </w:tcPr>
          <w:p>
            <w:pPr>
              <w:spacing w:after="0"/>
              <w:rPr>
                <w:sz w:val="15"/>
                <w:szCs w:val="15"/>
                <w:color w:val="auto"/>
              </w:rPr>
            </w:pPr>
          </w:p>
        </w:tc>
        <w:tc>
          <w:tcPr>
            <w:tcW w:w="1200" w:type="dxa"/>
            <w:vAlign w:val="bottom"/>
            <w:tcBorders>
              <w:bottom w:val="single" w:sz="8" w:color="4A7EBB"/>
            </w:tcBorders>
          </w:tcPr>
          <w:p>
            <w:pPr>
              <w:spacing w:after="0"/>
              <w:rPr>
                <w:sz w:val="15"/>
                <w:szCs w:val="15"/>
                <w:color w:val="auto"/>
              </w:rPr>
            </w:pPr>
          </w:p>
        </w:tc>
      </w:tr>
      <w:tr>
        <w:trPr>
          <w:trHeight w:val="183"/>
        </w:trPr>
        <w:tc>
          <w:tcPr>
            <w:tcW w:w="6460" w:type="dxa"/>
            <w:vAlign w:val="bottom"/>
            <w:tcBorders>
              <w:bottom w:val="single" w:sz="8" w:color="4A7EBB"/>
            </w:tcBorders>
            <w:shd w:val="clear" w:color="auto" w:fill="F2F2F2"/>
          </w:tcPr>
          <w:p>
            <w:pPr>
              <w:ind w:left="120"/>
              <w:spacing w:after="0" w:line="183" w:lineRule="exact"/>
              <w:rPr>
                <w:sz w:val="20"/>
                <w:szCs w:val="20"/>
                <w:color w:val="auto"/>
              </w:rPr>
            </w:pPr>
            <w:r>
              <w:rPr>
                <w:rFonts w:ascii="Arial" w:cs="Arial" w:eastAsia="Arial" w:hAnsi="Arial"/>
                <w:sz w:val="16"/>
                <w:szCs w:val="16"/>
                <w:color w:val="auto"/>
              </w:rPr>
              <w:t>Morris Goldfarb</w:t>
            </w:r>
          </w:p>
        </w:tc>
        <w:tc>
          <w:tcPr>
            <w:tcW w:w="2060" w:type="dxa"/>
            <w:vAlign w:val="bottom"/>
            <w:tcBorders>
              <w:bottom w:val="single" w:sz="8" w:color="4A7EBB"/>
            </w:tcBorders>
            <w:shd w:val="clear" w:color="auto" w:fill="F2F2F2"/>
          </w:tcPr>
          <w:p>
            <w:pPr>
              <w:jc w:val="right"/>
              <w:spacing w:after="0" w:line="183" w:lineRule="exact"/>
              <w:rPr>
                <w:sz w:val="20"/>
                <w:szCs w:val="20"/>
                <w:color w:val="auto"/>
              </w:rPr>
            </w:pPr>
            <w:r>
              <w:rPr>
                <w:rFonts w:ascii="Arial" w:cs="Arial" w:eastAsia="Arial" w:hAnsi="Arial"/>
                <w:sz w:val="16"/>
                <w:szCs w:val="16"/>
                <w:color w:val="auto"/>
              </w:rPr>
              <w:t>4,786,041</w:t>
            </w:r>
          </w:p>
        </w:tc>
        <w:tc>
          <w:tcPr>
            <w:tcW w:w="200" w:type="dxa"/>
            <w:vAlign w:val="bottom"/>
            <w:tcBorders>
              <w:bottom w:val="single" w:sz="8" w:color="4A7EBB"/>
            </w:tcBorders>
            <w:shd w:val="clear" w:color="auto" w:fill="F2F2F2"/>
          </w:tcPr>
          <w:p>
            <w:pPr>
              <w:spacing w:after="0"/>
              <w:rPr>
                <w:sz w:val="20"/>
                <w:szCs w:val="20"/>
                <w:color w:val="auto"/>
              </w:rPr>
            </w:pPr>
            <w:r>
              <w:rPr>
                <w:rFonts w:ascii="Arial" w:cs="Arial" w:eastAsia="Arial" w:hAnsi="Arial"/>
                <w:sz w:val="10"/>
                <w:szCs w:val="10"/>
                <w:color w:val="auto"/>
              </w:rPr>
              <w:t>(1)</w:t>
            </w:r>
          </w:p>
        </w:tc>
        <w:tc>
          <w:tcPr>
            <w:tcW w:w="1200" w:type="dxa"/>
            <w:vAlign w:val="bottom"/>
            <w:tcBorders>
              <w:bottom w:val="single" w:sz="8" w:color="4A7EBB"/>
            </w:tcBorders>
            <w:shd w:val="clear" w:color="auto" w:fill="F2F2F2"/>
          </w:tcPr>
          <w:p>
            <w:pPr>
              <w:jc w:val="right"/>
              <w:spacing w:after="0" w:line="183" w:lineRule="exact"/>
              <w:rPr>
                <w:sz w:val="20"/>
                <w:szCs w:val="20"/>
                <w:color w:val="auto"/>
              </w:rPr>
            </w:pPr>
            <w:r>
              <w:rPr>
                <w:rFonts w:ascii="Arial" w:cs="Arial" w:eastAsia="Arial" w:hAnsi="Arial"/>
                <w:sz w:val="16"/>
                <w:szCs w:val="16"/>
                <w:color w:val="auto"/>
              </w:rPr>
              <w:t>11%</w:t>
            </w:r>
          </w:p>
        </w:tc>
      </w:tr>
      <w:tr>
        <w:trPr>
          <w:trHeight w:val="183"/>
        </w:trPr>
        <w:tc>
          <w:tcPr>
            <w:tcW w:w="6460" w:type="dxa"/>
            <w:vAlign w:val="bottom"/>
            <w:tcBorders>
              <w:bottom w:val="single" w:sz="8" w:color="4A7EBB"/>
            </w:tcBorders>
          </w:tcPr>
          <w:p>
            <w:pPr>
              <w:ind w:left="120"/>
              <w:spacing w:after="0" w:line="183" w:lineRule="exact"/>
              <w:rPr>
                <w:sz w:val="20"/>
                <w:szCs w:val="20"/>
                <w:color w:val="auto"/>
              </w:rPr>
            </w:pPr>
            <w:r>
              <w:rPr>
                <w:rFonts w:ascii="Arial" w:cs="Arial" w:eastAsia="Arial" w:hAnsi="Arial"/>
                <w:sz w:val="16"/>
                <w:szCs w:val="16"/>
                <w:color w:val="auto"/>
              </w:rPr>
              <w:t>Sammy Aaron</w:t>
            </w:r>
          </w:p>
        </w:tc>
        <w:tc>
          <w:tcPr>
            <w:tcW w:w="2060" w:type="dxa"/>
            <w:vAlign w:val="bottom"/>
            <w:tcBorders>
              <w:bottom w:val="single" w:sz="8" w:color="4A7EBB"/>
            </w:tcBorders>
          </w:tcPr>
          <w:p>
            <w:pPr>
              <w:jc w:val="right"/>
              <w:spacing w:after="0" w:line="183" w:lineRule="exact"/>
              <w:rPr>
                <w:sz w:val="20"/>
                <w:szCs w:val="20"/>
                <w:color w:val="auto"/>
              </w:rPr>
            </w:pPr>
            <w:r>
              <w:rPr>
                <w:rFonts w:ascii="Arial" w:cs="Arial" w:eastAsia="Arial" w:hAnsi="Arial"/>
                <w:sz w:val="16"/>
                <w:szCs w:val="16"/>
                <w:color w:val="auto"/>
              </w:rPr>
              <w:t>267,945</w:t>
            </w:r>
          </w:p>
        </w:tc>
        <w:tc>
          <w:tcPr>
            <w:tcW w:w="200" w:type="dxa"/>
            <w:vAlign w:val="bottom"/>
            <w:tcBorders>
              <w:bottom w:val="single" w:sz="8" w:color="4A7EBB"/>
            </w:tcBorders>
          </w:tcPr>
          <w:p>
            <w:pPr>
              <w:spacing w:after="0"/>
              <w:rPr>
                <w:sz w:val="20"/>
                <w:szCs w:val="20"/>
                <w:color w:val="auto"/>
              </w:rPr>
            </w:pPr>
            <w:r>
              <w:rPr>
                <w:rFonts w:ascii="Arial" w:cs="Arial" w:eastAsia="Arial" w:hAnsi="Arial"/>
                <w:sz w:val="10"/>
                <w:szCs w:val="10"/>
                <w:color w:val="auto"/>
              </w:rPr>
              <w:t>(2)</w:t>
            </w:r>
          </w:p>
        </w:tc>
        <w:tc>
          <w:tcPr>
            <w:tcW w:w="1200" w:type="dxa"/>
            <w:vAlign w:val="bottom"/>
            <w:tcBorders>
              <w:bottom w:val="single" w:sz="8" w:color="4A7EBB"/>
            </w:tcBorders>
          </w:tcPr>
          <w:p>
            <w:pPr>
              <w:jc w:val="right"/>
              <w:spacing w:after="0" w:line="183" w:lineRule="exact"/>
              <w:rPr>
                <w:sz w:val="20"/>
                <w:szCs w:val="20"/>
                <w:color w:val="auto"/>
              </w:rPr>
            </w:pPr>
            <w:r>
              <w:rPr>
                <w:rFonts w:ascii="Arial" w:cs="Arial" w:eastAsia="Arial" w:hAnsi="Arial"/>
                <w:sz w:val="16"/>
                <w:szCs w:val="16"/>
                <w:color w:val="auto"/>
              </w:rPr>
              <w:t>*</w:t>
            </w:r>
          </w:p>
        </w:tc>
      </w:tr>
      <w:tr>
        <w:trPr>
          <w:trHeight w:val="183"/>
        </w:trPr>
        <w:tc>
          <w:tcPr>
            <w:tcW w:w="6460" w:type="dxa"/>
            <w:vAlign w:val="bottom"/>
            <w:tcBorders>
              <w:bottom w:val="single" w:sz="8" w:color="4A7EBB"/>
            </w:tcBorders>
            <w:shd w:val="clear" w:color="auto" w:fill="F2F2F2"/>
          </w:tcPr>
          <w:p>
            <w:pPr>
              <w:ind w:left="120"/>
              <w:spacing w:after="0" w:line="183" w:lineRule="exact"/>
              <w:rPr>
                <w:sz w:val="20"/>
                <w:szCs w:val="20"/>
                <w:color w:val="auto"/>
              </w:rPr>
            </w:pPr>
            <w:r>
              <w:rPr>
                <w:rFonts w:ascii="Arial" w:cs="Arial" w:eastAsia="Arial" w:hAnsi="Arial"/>
                <w:sz w:val="16"/>
                <w:szCs w:val="16"/>
                <w:color w:val="auto"/>
              </w:rPr>
              <w:t>Thomas J. Brosig</w:t>
            </w:r>
          </w:p>
        </w:tc>
        <w:tc>
          <w:tcPr>
            <w:tcW w:w="2060" w:type="dxa"/>
            <w:vAlign w:val="bottom"/>
            <w:tcBorders>
              <w:bottom w:val="single" w:sz="8" w:color="4A7EBB"/>
            </w:tcBorders>
            <w:shd w:val="clear" w:color="auto" w:fill="F2F2F2"/>
          </w:tcPr>
          <w:p>
            <w:pPr>
              <w:jc w:val="right"/>
              <w:spacing w:after="0" w:line="183" w:lineRule="exact"/>
              <w:rPr>
                <w:sz w:val="20"/>
                <w:szCs w:val="20"/>
                <w:color w:val="auto"/>
              </w:rPr>
            </w:pPr>
            <w:r>
              <w:rPr>
                <w:rFonts w:ascii="Arial" w:cs="Arial" w:eastAsia="Arial" w:hAnsi="Arial"/>
                <w:sz w:val="16"/>
                <w:szCs w:val="16"/>
                <w:color w:val="auto"/>
              </w:rPr>
              <w:t>57,932</w:t>
            </w:r>
          </w:p>
        </w:tc>
        <w:tc>
          <w:tcPr>
            <w:tcW w:w="200" w:type="dxa"/>
            <w:vAlign w:val="bottom"/>
            <w:tcBorders>
              <w:bottom w:val="single" w:sz="8" w:color="4A7EBB"/>
            </w:tcBorders>
            <w:shd w:val="clear" w:color="auto" w:fill="F2F2F2"/>
          </w:tcPr>
          <w:p>
            <w:pPr>
              <w:spacing w:after="0"/>
              <w:rPr>
                <w:sz w:val="20"/>
                <w:szCs w:val="20"/>
                <w:color w:val="auto"/>
              </w:rPr>
            </w:pPr>
            <w:r>
              <w:rPr>
                <w:rFonts w:ascii="Arial" w:cs="Arial" w:eastAsia="Arial" w:hAnsi="Arial"/>
                <w:sz w:val="10"/>
                <w:szCs w:val="10"/>
                <w:color w:val="auto"/>
              </w:rPr>
              <w:t>(3)</w:t>
            </w:r>
          </w:p>
        </w:tc>
        <w:tc>
          <w:tcPr>
            <w:tcW w:w="1200" w:type="dxa"/>
            <w:vAlign w:val="bottom"/>
            <w:tcBorders>
              <w:bottom w:val="single" w:sz="8" w:color="4A7EBB"/>
            </w:tcBorders>
            <w:shd w:val="clear" w:color="auto" w:fill="F2F2F2"/>
          </w:tcPr>
          <w:p>
            <w:pPr>
              <w:jc w:val="right"/>
              <w:spacing w:after="0" w:line="183" w:lineRule="exact"/>
              <w:rPr>
                <w:sz w:val="20"/>
                <w:szCs w:val="20"/>
                <w:color w:val="auto"/>
              </w:rPr>
            </w:pPr>
            <w:r>
              <w:rPr>
                <w:rFonts w:ascii="Arial" w:cs="Arial" w:eastAsia="Arial" w:hAnsi="Arial"/>
                <w:sz w:val="16"/>
                <w:szCs w:val="16"/>
                <w:color w:val="auto"/>
              </w:rPr>
              <w:t>*</w:t>
            </w:r>
          </w:p>
        </w:tc>
      </w:tr>
      <w:tr>
        <w:trPr>
          <w:trHeight w:val="183"/>
        </w:trPr>
        <w:tc>
          <w:tcPr>
            <w:tcW w:w="6460" w:type="dxa"/>
            <w:vAlign w:val="bottom"/>
            <w:tcBorders>
              <w:bottom w:val="single" w:sz="8" w:color="4A7EBB"/>
            </w:tcBorders>
          </w:tcPr>
          <w:p>
            <w:pPr>
              <w:ind w:left="120"/>
              <w:spacing w:after="0" w:line="183" w:lineRule="exact"/>
              <w:rPr>
                <w:sz w:val="20"/>
                <w:szCs w:val="20"/>
                <w:color w:val="auto"/>
              </w:rPr>
            </w:pPr>
            <w:r>
              <w:rPr>
                <w:rFonts w:ascii="Arial" w:cs="Arial" w:eastAsia="Arial" w:hAnsi="Arial"/>
                <w:sz w:val="16"/>
                <w:szCs w:val="16"/>
                <w:color w:val="auto"/>
              </w:rPr>
              <w:t>Dr. Joyce F. Brown</w:t>
            </w:r>
          </w:p>
        </w:tc>
        <w:tc>
          <w:tcPr>
            <w:tcW w:w="2060" w:type="dxa"/>
            <w:vAlign w:val="bottom"/>
            <w:tcBorders>
              <w:bottom w:val="single" w:sz="8" w:color="4A7EBB"/>
            </w:tcBorders>
          </w:tcPr>
          <w:p>
            <w:pPr>
              <w:jc w:val="right"/>
              <w:spacing w:after="0" w:line="183" w:lineRule="exact"/>
              <w:rPr>
                <w:sz w:val="20"/>
                <w:szCs w:val="20"/>
                <w:color w:val="auto"/>
              </w:rPr>
            </w:pPr>
            <w:r>
              <w:rPr>
                <w:rFonts w:ascii="Arial" w:cs="Arial" w:eastAsia="Arial" w:hAnsi="Arial"/>
                <w:sz w:val="16"/>
                <w:szCs w:val="16"/>
                <w:color w:val="auto"/>
              </w:rPr>
              <w:t>17,261</w:t>
            </w:r>
          </w:p>
        </w:tc>
        <w:tc>
          <w:tcPr>
            <w:tcW w:w="200" w:type="dxa"/>
            <w:vAlign w:val="bottom"/>
            <w:tcBorders>
              <w:bottom w:val="single" w:sz="8" w:color="4A7EBB"/>
            </w:tcBorders>
          </w:tcPr>
          <w:p>
            <w:pPr>
              <w:spacing w:after="0"/>
              <w:rPr>
                <w:sz w:val="20"/>
                <w:szCs w:val="20"/>
                <w:color w:val="auto"/>
              </w:rPr>
            </w:pPr>
            <w:r>
              <w:rPr>
                <w:rFonts w:ascii="Arial" w:cs="Arial" w:eastAsia="Arial" w:hAnsi="Arial"/>
                <w:sz w:val="10"/>
                <w:szCs w:val="10"/>
                <w:color w:val="auto"/>
              </w:rPr>
              <w:t>(4)</w:t>
            </w:r>
          </w:p>
        </w:tc>
        <w:tc>
          <w:tcPr>
            <w:tcW w:w="1200" w:type="dxa"/>
            <w:vAlign w:val="bottom"/>
            <w:tcBorders>
              <w:bottom w:val="single" w:sz="8" w:color="4A7EBB"/>
            </w:tcBorders>
          </w:tcPr>
          <w:p>
            <w:pPr>
              <w:jc w:val="right"/>
              <w:spacing w:after="0" w:line="183" w:lineRule="exact"/>
              <w:rPr>
                <w:sz w:val="20"/>
                <w:szCs w:val="20"/>
                <w:color w:val="auto"/>
              </w:rPr>
            </w:pPr>
            <w:r>
              <w:rPr>
                <w:rFonts w:ascii="Arial" w:cs="Arial" w:eastAsia="Arial" w:hAnsi="Arial"/>
                <w:sz w:val="16"/>
                <w:szCs w:val="16"/>
                <w:color w:val="auto"/>
              </w:rPr>
              <w:t>*</w:t>
            </w:r>
          </w:p>
        </w:tc>
      </w:tr>
      <w:tr>
        <w:trPr>
          <w:trHeight w:val="183"/>
        </w:trPr>
        <w:tc>
          <w:tcPr>
            <w:tcW w:w="6460" w:type="dxa"/>
            <w:vAlign w:val="bottom"/>
            <w:tcBorders>
              <w:bottom w:val="single" w:sz="8" w:color="4A7EBB"/>
            </w:tcBorders>
            <w:shd w:val="clear" w:color="auto" w:fill="F2F2F2"/>
          </w:tcPr>
          <w:p>
            <w:pPr>
              <w:ind w:left="120"/>
              <w:spacing w:after="0" w:line="183" w:lineRule="exact"/>
              <w:rPr>
                <w:sz w:val="20"/>
                <w:szCs w:val="20"/>
                <w:color w:val="auto"/>
              </w:rPr>
            </w:pPr>
            <w:r>
              <w:rPr>
                <w:rFonts w:ascii="Arial" w:cs="Arial" w:eastAsia="Arial" w:hAnsi="Arial"/>
                <w:sz w:val="16"/>
                <w:szCs w:val="16"/>
                <w:color w:val="auto"/>
              </w:rPr>
              <w:t>Jeffrey Goldfarb</w:t>
            </w:r>
          </w:p>
        </w:tc>
        <w:tc>
          <w:tcPr>
            <w:tcW w:w="2060" w:type="dxa"/>
            <w:vAlign w:val="bottom"/>
            <w:tcBorders>
              <w:bottom w:val="single" w:sz="8" w:color="4A7EBB"/>
            </w:tcBorders>
            <w:shd w:val="clear" w:color="auto" w:fill="F2F2F2"/>
          </w:tcPr>
          <w:p>
            <w:pPr>
              <w:jc w:val="right"/>
              <w:spacing w:after="0" w:line="183" w:lineRule="exact"/>
              <w:rPr>
                <w:sz w:val="20"/>
                <w:szCs w:val="20"/>
                <w:color w:val="auto"/>
              </w:rPr>
            </w:pPr>
            <w:r>
              <w:rPr>
                <w:rFonts w:ascii="Arial" w:cs="Arial" w:eastAsia="Arial" w:hAnsi="Arial"/>
                <w:sz w:val="16"/>
                <w:szCs w:val="16"/>
                <w:color w:val="auto"/>
              </w:rPr>
              <w:t>638,607</w:t>
            </w:r>
          </w:p>
        </w:tc>
        <w:tc>
          <w:tcPr>
            <w:tcW w:w="200" w:type="dxa"/>
            <w:vAlign w:val="bottom"/>
            <w:tcBorders>
              <w:bottom w:val="single" w:sz="8" w:color="4A7EBB"/>
            </w:tcBorders>
            <w:shd w:val="clear" w:color="auto" w:fill="F2F2F2"/>
          </w:tcPr>
          <w:p>
            <w:pPr>
              <w:spacing w:after="0"/>
              <w:rPr>
                <w:sz w:val="20"/>
                <w:szCs w:val="20"/>
                <w:color w:val="auto"/>
              </w:rPr>
            </w:pPr>
            <w:r>
              <w:rPr>
                <w:rFonts w:ascii="Arial" w:cs="Arial" w:eastAsia="Arial" w:hAnsi="Arial"/>
                <w:sz w:val="10"/>
                <w:szCs w:val="10"/>
                <w:color w:val="auto"/>
              </w:rPr>
              <w:t>(5)</w:t>
            </w:r>
          </w:p>
        </w:tc>
        <w:tc>
          <w:tcPr>
            <w:tcW w:w="1200" w:type="dxa"/>
            <w:vAlign w:val="bottom"/>
            <w:tcBorders>
              <w:bottom w:val="single" w:sz="8" w:color="4A7EBB"/>
            </w:tcBorders>
            <w:shd w:val="clear" w:color="auto" w:fill="F2F2F2"/>
          </w:tcPr>
          <w:p>
            <w:pPr>
              <w:jc w:val="right"/>
              <w:spacing w:after="0" w:line="183" w:lineRule="exact"/>
              <w:rPr>
                <w:sz w:val="20"/>
                <w:szCs w:val="20"/>
                <w:color w:val="auto"/>
              </w:rPr>
            </w:pPr>
            <w:r>
              <w:rPr>
                <w:rFonts w:ascii="Arial" w:cs="Arial" w:eastAsia="Arial" w:hAnsi="Arial"/>
                <w:sz w:val="16"/>
                <w:szCs w:val="16"/>
                <w:color w:val="auto"/>
              </w:rPr>
              <w:t>2%</w:t>
            </w:r>
          </w:p>
        </w:tc>
      </w:tr>
      <w:tr>
        <w:trPr>
          <w:trHeight w:val="183"/>
        </w:trPr>
        <w:tc>
          <w:tcPr>
            <w:tcW w:w="6460" w:type="dxa"/>
            <w:vAlign w:val="bottom"/>
            <w:tcBorders>
              <w:bottom w:val="single" w:sz="8" w:color="4A7EBB"/>
            </w:tcBorders>
          </w:tcPr>
          <w:p>
            <w:pPr>
              <w:ind w:left="120"/>
              <w:spacing w:after="0" w:line="183" w:lineRule="exact"/>
              <w:rPr>
                <w:sz w:val="20"/>
                <w:szCs w:val="20"/>
                <w:color w:val="auto"/>
              </w:rPr>
            </w:pPr>
            <w:r>
              <w:rPr>
                <w:rFonts w:ascii="Arial" w:cs="Arial" w:eastAsia="Arial" w:hAnsi="Arial"/>
                <w:sz w:val="16"/>
                <w:szCs w:val="16"/>
                <w:color w:val="auto"/>
              </w:rPr>
              <w:t>Victor Herrero</w:t>
            </w:r>
          </w:p>
        </w:tc>
        <w:tc>
          <w:tcPr>
            <w:tcW w:w="2060" w:type="dxa"/>
            <w:vAlign w:val="bottom"/>
            <w:tcBorders>
              <w:bottom w:val="single" w:sz="8" w:color="4A7EBB"/>
            </w:tcBorders>
          </w:tcPr>
          <w:p>
            <w:pPr>
              <w:jc w:val="right"/>
              <w:spacing w:after="0" w:line="183" w:lineRule="exact"/>
              <w:rPr>
                <w:sz w:val="20"/>
                <w:szCs w:val="20"/>
                <w:color w:val="auto"/>
              </w:rPr>
            </w:pPr>
            <w:r>
              <w:rPr>
                <w:rFonts w:ascii="Arial" w:cs="Arial" w:eastAsia="Arial" w:hAnsi="Arial"/>
                <w:sz w:val="16"/>
                <w:szCs w:val="16"/>
                <w:color w:val="auto"/>
              </w:rPr>
              <w:t>54,746</w:t>
            </w:r>
          </w:p>
        </w:tc>
        <w:tc>
          <w:tcPr>
            <w:tcW w:w="200" w:type="dxa"/>
            <w:vAlign w:val="bottom"/>
            <w:tcBorders>
              <w:bottom w:val="single" w:sz="8" w:color="4A7EBB"/>
            </w:tcBorders>
          </w:tcPr>
          <w:p>
            <w:pPr>
              <w:spacing w:after="0"/>
              <w:rPr>
                <w:sz w:val="20"/>
                <w:szCs w:val="20"/>
                <w:color w:val="auto"/>
              </w:rPr>
            </w:pPr>
            <w:r>
              <w:rPr>
                <w:rFonts w:ascii="Arial" w:cs="Arial" w:eastAsia="Arial" w:hAnsi="Arial"/>
                <w:sz w:val="10"/>
                <w:szCs w:val="10"/>
                <w:color w:val="auto"/>
              </w:rPr>
              <w:t>(6)</w:t>
            </w:r>
          </w:p>
        </w:tc>
        <w:tc>
          <w:tcPr>
            <w:tcW w:w="1200" w:type="dxa"/>
            <w:vAlign w:val="bottom"/>
            <w:tcBorders>
              <w:bottom w:val="single" w:sz="8" w:color="4A7EBB"/>
            </w:tcBorders>
          </w:tcPr>
          <w:p>
            <w:pPr>
              <w:jc w:val="right"/>
              <w:spacing w:after="0" w:line="183" w:lineRule="exact"/>
              <w:rPr>
                <w:sz w:val="20"/>
                <w:szCs w:val="20"/>
                <w:color w:val="auto"/>
              </w:rPr>
            </w:pPr>
            <w:r>
              <w:rPr>
                <w:rFonts w:ascii="Arial" w:cs="Arial" w:eastAsia="Arial" w:hAnsi="Arial"/>
                <w:sz w:val="16"/>
                <w:szCs w:val="16"/>
                <w:color w:val="auto"/>
              </w:rPr>
              <w:t>*</w:t>
            </w:r>
          </w:p>
        </w:tc>
      </w:tr>
      <w:tr>
        <w:trPr>
          <w:trHeight w:val="183"/>
        </w:trPr>
        <w:tc>
          <w:tcPr>
            <w:tcW w:w="6460" w:type="dxa"/>
            <w:vAlign w:val="bottom"/>
            <w:tcBorders>
              <w:bottom w:val="single" w:sz="8" w:color="4A7EBB"/>
            </w:tcBorders>
            <w:shd w:val="clear" w:color="auto" w:fill="F2F2F2"/>
          </w:tcPr>
          <w:p>
            <w:pPr>
              <w:ind w:left="120"/>
              <w:spacing w:after="0" w:line="183" w:lineRule="exact"/>
              <w:rPr>
                <w:sz w:val="20"/>
                <w:szCs w:val="20"/>
                <w:color w:val="auto"/>
              </w:rPr>
            </w:pPr>
            <w:r>
              <w:rPr>
                <w:rFonts w:ascii="Arial" w:cs="Arial" w:eastAsia="Arial" w:hAnsi="Arial"/>
                <w:sz w:val="16"/>
                <w:szCs w:val="16"/>
                <w:color w:val="auto"/>
              </w:rPr>
              <w:t>Robert L. Johnson</w:t>
            </w:r>
          </w:p>
        </w:tc>
        <w:tc>
          <w:tcPr>
            <w:tcW w:w="2060" w:type="dxa"/>
            <w:vAlign w:val="bottom"/>
            <w:tcBorders>
              <w:bottom w:val="single" w:sz="8" w:color="4A7EBB"/>
            </w:tcBorders>
            <w:shd w:val="clear" w:color="auto" w:fill="F2F2F2"/>
          </w:tcPr>
          <w:p>
            <w:pPr>
              <w:jc w:val="right"/>
              <w:spacing w:after="0" w:line="183" w:lineRule="exact"/>
              <w:rPr>
                <w:sz w:val="20"/>
                <w:szCs w:val="20"/>
                <w:color w:val="auto"/>
              </w:rPr>
            </w:pPr>
            <w:r>
              <w:rPr>
                <w:rFonts w:ascii="Arial" w:cs="Arial" w:eastAsia="Arial" w:hAnsi="Arial"/>
                <w:sz w:val="16"/>
                <w:szCs w:val="16"/>
                <w:color w:val="auto"/>
              </w:rPr>
              <w:t>32,452</w:t>
            </w:r>
          </w:p>
        </w:tc>
        <w:tc>
          <w:tcPr>
            <w:tcW w:w="200" w:type="dxa"/>
            <w:vAlign w:val="bottom"/>
            <w:tcBorders>
              <w:bottom w:val="single" w:sz="8" w:color="4A7EBB"/>
            </w:tcBorders>
            <w:shd w:val="clear" w:color="auto" w:fill="F2F2F2"/>
          </w:tcPr>
          <w:p>
            <w:pPr>
              <w:spacing w:after="0"/>
              <w:rPr>
                <w:sz w:val="20"/>
                <w:szCs w:val="20"/>
                <w:color w:val="auto"/>
              </w:rPr>
            </w:pPr>
            <w:r>
              <w:rPr>
                <w:rFonts w:ascii="Arial" w:cs="Arial" w:eastAsia="Arial" w:hAnsi="Arial"/>
                <w:sz w:val="10"/>
                <w:szCs w:val="10"/>
                <w:color w:val="auto"/>
              </w:rPr>
              <w:t>(7)</w:t>
            </w:r>
          </w:p>
        </w:tc>
        <w:tc>
          <w:tcPr>
            <w:tcW w:w="1200" w:type="dxa"/>
            <w:vAlign w:val="bottom"/>
            <w:tcBorders>
              <w:bottom w:val="single" w:sz="8" w:color="4A7EBB"/>
            </w:tcBorders>
            <w:shd w:val="clear" w:color="auto" w:fill="F2F2F2"/>
          </w:tcPr>
          <w:p>
            <w:pPr>
              <w:jc w:val="right"/>
              <w:spacing w:after="0" w:line="183" w:lineRule="exact"/>
              <w:rPr>
                <w:sz w:val="20"/>
                <w:szCs w:val="20"/>
                <w:color w:val="auto"/>
              </w:rPr>
            </w:pPr>
            <w:r>
              <w:rPr>
                <w:rFonts w:ascii="Arial" w:cs="Arial" w:eastAsia="Arial" w:hAnsi="Arial"/>
                <w:sz w:val="16"/>
                <w:szCs w:val="16"/>
                <w:color w:val="auto"/>
              </w:rPr>
              <w:t>*</w:t>
            </w:r>
          </w:p>
        </w:tc>
      </w:tr>
      <w:tr>
        <w:trPr>
          <w:trHeight w:val="183"/>
        </w:trPr>
        <w:tc>
          <w:tcPr>
            <w:tcW w:w="6460" w:type="dxa"/>
            <w:vAlign w:val="bottom"/>
            <w:tcBorders>
              <w:bottom w:val="single" w:sz="8" w:color="4A7EBB"/>
            </w:tcBorders>
          </w:tcPr>
          <w:p>
            <w:pPr>
              <w:ind w:left="120"/>
              <w:spacing w:after="0" w:line="183" w:lineRule="exact"/>
              <w:rPr>
                <w:sz w:val="20"/>
                <w:szCs w:val="20"/>
                <w:color w:val="auto"/>
              </w:rPr>
            </w:pPr>
            <w:r>
              <w:rPr>
                <w:rFonts w:ascii="Arial" w:cs="Arial" w:eastAsia="Arial" w:hAnsi="Arial"/>
                <w:sz w:val="16"/>
                <w:szCs w:val="16"/>
                <w:color w:val="auto"/>
              </w:rPr>
              <w:t>Patti H. Ongman</w:t>
            </w:r>
          </w:p>
        </w:tc>
        <w:tc>
          <w:tcPr>
            <w:tcW w:w="2060" w:type="dxa"/>
            <w:vAlign w:val="bottom"/>
            <w:tcBorders>
              <w:bottom w:val="single" w:sz="8" w:color="4A7EBB"/>
            </w:tcBorders>
          </w:tcPr>
          <w:p>
            <w:pPr>
              <w:jc w:val="right"/>
              <w:spacing w:after="0" w:line="183" w:lineRule="exact"/>
              <w:rPr>
                <w:sz w:val="20"/>
                <w:szCs w:val="20"/>
                <w:color w:val="auto"/>
              </w:rPr>
            </w:pPr>
            <w:r>
              <w:rPr>
                <w:rFonts w:ascii="Arial" w:cs="Arial" w:eastAsia="Arial" w:hAnsi="Arial"/>
                <w:sz w:val="16"/>
                <w:szCs w:val="16"/>
                <w:color w:val="auto"/>
              </w:rPr>
              <w:t>22,347</w:t>
            </w:r>
          </w:p>
        </w:tc>
        <w:tc>
          <w:tcPr>
            <w:tcW w:w="200" w:type="dxa"/>
            <w:vAlign w:val="bottom"/>
            <w:tcBorders>
              <w:bottom w:val="single" w:sz="8" w:color="4A7EBB"/>
            </w:tcBorders>
          </w:tcPr>
          <w:p>
            <w:pPr>
              <w:spacing w:after="0"/>
              <w:rPr>
                <w:sz w:val="20"/>
                <w:szCs w:val="20"/>
                <w:color w:val="auto"/>
              </w:rPr>
            </w:pPr>
            <w:r>
              <w:rPr>
                <w:rFonts w:ascii="Arial" w:cs="Arial" w:eastAsia="Arial" w:hAnsi="Arial"/>
                <w:sz w:val="10"/>
                <w:szCs w:val="10"/>
                <w:color w:val="auto"/>
              </w:rPr>
              <w:t>(8)</w:t>
            </w:r>
          </w:p>
        </w:tc>
        <w:tc>
          <w:tcPr>
            <w:tcW w:w="1200" w:type="dxa"/>
            <w:vAlign w:val="bottom"/>
            <w:tcBorders>
              <w:bottom w:val="single" w:sz="8" w:color="4A7EBB"/>
            </w:tcBorders>
          </w:tcPr>
          <w:p>
            <w:pPr>
              <w:jc w:val="right"/>
              <w:spacing w:after="0" w:line="183" w:lineRule="exact"/>
              <w:rPr>
                <w:sz w:val="20"/>
                <w:szCs w:val="20"/>
                <w:color w:val="auto"/>
              </w:rPr>
            </w:pPr>
            <w:r>
              <w:rPr>
                <w:rFonts w:ascii="Arial" w:cs="Arial" w:eastAsia="Arial" w:hAnsi="Arial"/>
                <w:sz w:val="16"/>
                <w:szCs w:val="16"/>
                <w:color w:val="auto"/>
              </w:rPr>
              <w:t>*</w:t>
            </w:r>
          </w:p>
        </w:tc>
      </w:tr>
      <w:tr>
        <w:trPr>
          <w:trHeight w:val="183"/>
        </w:trPr>
        <w:tc>
          <w:tcPr>
            <w:tcW w:w="6460" w:type="dxa"/>
            <w:vAlign w:val="bottom"/>
            <w:tcBorders>
              <w:bottom w:val="single" w:sz="8" w:color="4A7EBB"/>
            </w:tcBorders>
            <w:shd w:val="clear" w:color="auto" w:fill="F2F2F2"/>
          </w:tcPr>
          <w:p>
            <w:pPr>
              <w:ind w:left="120"/>
              <w:spacing w:after="0" w:line="183" w:lineRule="exact"/>
              <w:rPr>
                <w:sz w:val="20"/>
                <w:szCs w:val="20"/>
                <w:color w:val="auto"/>
              </w:rPr>
            </w:pPr>
            <w:r>
              <w:rPr>
                <w:rFonts w:ascii="Arial" w:cs="Arial" w:eastAsia="Arial" w:hAnsi="Arial"/>
                <w:sz w:val="16"/>
                <w:szCs w:val="16"/>
                <w:color w:val="auto"/>
              </w:rPr>
              <w:t>Laura Pomerantz</w:t>
            </w:r>
          </w:p>
        </w:tc>
        <w:tc>
          <w:tcPr>
            <w:tcW w:w="2060" w:type="dxa"/>
            <w:vAlign w:val="bottom"/>
            <w:tcBorders>
              <w:bottom w:val="single" w:sz="8" w:color="4A7EBB"/>
            </w:tcBorders>
            <w:shd w:val="clear" w:color="auto" w:fill="F2F2F2"/>
          </w:tcPr>
          <w:p>
            <w:pPr>
              <w:jc w:val="right"/>
              <w:spacing w:after="0" w:line="183" w:lineRule="exact"/>
              <w:rPr>
                <w:sz w:val="20"/>
                <w:szCs w:val="20"/>
                <w:color w:val="auto"/>
              </w:rPr>
            </w:pPr>
            <w:r>
              <w:rPr>
                <w:rFonts w:ascii="Arial" w:cs="Arial" w:eastAsia="Arial" w:hAnsi="Arial"/>
                <w:sz w:val="16"/>
                <w:szCs w:val="16"/>
                <w:color w:val="auto"/>
              </w:rPr>
              <w:t>31,020</w:t>
            </w:r>
          </w:p>
        </w:tc>
        <w:tc>
          <w:tcPr>
            <w:tcW w:w="200" w:type="dxa"/>
            <w:vAlign w:val="bottom"/>
            <w:tcBorders>
              <w:bottom w:val="single" w:sz="8" w:color="4A7EBB"/>
            </w:tcBorders>
            <w:shd w:val="clear" w:color="auto" w:fill="F2F2F2"/>
          </w:tcPr>
          <w:p>
            <w:pPr>
              <w:spacing w:after="0"/>
              <w:rPr>
                <w:sz w:val="20"/>
                <w:szCs w:val="20"/>
                <w:color w:val="auto"/>
              </w:rPr>
            </w:pPr>
            <w:r>
              <w:rPr>
                <w:rFonts w:ascii="Arial" w:cs="Arial" w:eastAsia="Arial" w:hAnsi="Arial"/>
                <w:sz w:val="10"/>
                <w:szCs w:val="10"/>
                <w:color w:val="auto"/>
              </w:rPr>
              <w:t>(9)</w:t>
            </w:r>
          </w:p>
        </w:tc>
        <w:tc>
          <w:tcPr>
            <w:tcW w:w="1200" w:type="dxa"/>
            <w:vAlign w:val="bottom"/>
            <w:tcBorders>
              <w:bottom w:val="single" w:sz="8" w:color="4A7EBB"/>
            </w:tcBorders>
            <w:shd w:val="clear" w:color="auto" w:fill="F2F2F2"/>
          </w:tcPr>
          <w:p>
            <w:pPr>
              <w:jc w:val="right"/>
              <w:spacing w:after="0" w:line="183" w:lineRule="exact"/>
              <w:rPr>
                <w:sz w:val="20"/>
                <w:szCs w:val="20"/>
                <w:color w:val="auto"/>
              </w:rPr>
            </w:pPr>
            <w:r>
              <w:rPr>
                <w:rFonts w:ascii="Arial" w:cs="Arial" w:eastAsia="Arial" w:hAnsi="Arial"/>
                <w:sz w:val="16"/>
                <w:szCs w:val="16"/>
                <w:color w:val="auto"/>
              </w:rPr>
              <w:t>*</w:t>
            </w:r>
          </w:p>
        </w:tc>
      </w:tr>
      <w:tr>
        <w:trPr>
          <w:trHeight w:val="182"/>
        </w:trPr>
        <w:tc>
          <w:tcPr>
            <w:tcW w:w="6460" w:type="dxa"/>
            <w:vAlign w:val="bottom"/>
            <w:tcBorders>
              <w:bottom w:val="single" w:sz="8" w:color="4A7EBB"/>
            </w:tcBorders>
          </w:tcPr>
          <w:p>
            <w:pPr>
              <w:ind w:left="120"/>
              <w:spacing w:after="0" w:line="183" w:lineRule="exact"/>
              <w:rPr>
                <w:sz w:val="20"/>
                <w:szCs w:val="20"/>
                <w:color w:val="auto"/>
              </w:rPr>
            </w:pPr>
            <w:r>
              <w:rPr>
                <w:rFonts w:ascii="Arial" w:cs="Arial" w:eastAsia="Arial" w:hAnsi="Arial"/>
                <w:sz w:val="16"/>
                <w:szCs w:val="16"/>
                <w:color w:val="auto"/>
              </w:rPr>
              <w:t>Michael Shaffer</w:t>
            </w:r>
          </w:p>
        </w:tc>
        <w:tc>
          <w:tcPr>
            <w:tcW w:w="2060" w:type="dxa"/>
            <w:vAlign w:val="bottom"/>
            <w:tcBorders>
              <w:bottom w:val="single" w:sz="8" w:color="4A7EBB"/>
            </w:tcBorders>
          </w:tcPr>
          <w:p>
            <w:pPr>
              <w:jc w:val="right"/>
              <w:spacing w:after="0" w:line="183" w:lineRule="exact"/>
              <w:rPr>
                <w:sz w:val="20"/>
                <w:szCs w:val="20"/>
                <w:color w:val="auto"/>
              </w:rPr>
            </w:pPr>
            <w:r>
              <w:rPr>
                <w:rFonts w:ascii="Arial" w:cs="Arial" w:eastAsia="Arial" w:hAnsi="Arial"/>
                <w:sz w:val="16"/>
                <w:szCs w:val="16"/>
                <w:color w:val="auto"/>
              </w:rPr>
              <w:t>19,349</w:t>
            </w:r>
          </w:p>
        </w:tc>
        <w:tc>
          <w:tcPr>
            <w:tcW w:w="200" w:type="dxa"/>
            <w:vAlign w:val="bottom"/>
            <w:tcBorders>
              <w:bottom w:val="single" w:sz="8" w:color="4A7EBB"/>
            </w:tcBorders>
          </w:tcPr>
          <w:p>
            <w:pPr>
              <w:spacing w:after="0"/>
              <w:rPr>
                <w:sz w:val="20"/>
                <w:szCs w:val="20"/>
                <w:color w:val="auto"/>
              </w:rPr>
            </w:pPr>
            <w:r>
              <w:rPr>
                <w:rFonts w:ascii="Arial" w:cs="Arial" w:eastAsia="Arial" w:hAnsi="Arial"/>
                <w:sz w:val="10"/>
                <w:szCs w:val="10"/>
                <w:color w:val="auto"/>
              </w:rPr>
              <w:t>(10)</w:t>
            </w:r>
          </w:p>
        </w:tc>
        <w:tc>
          <w:tcPr>
            <w:tcW w:w="1200" w:type="dxa"/>
            <w:vAlign w:val="bottom"/>
            <w:tcBorders>
              <w:bottom w:val="single" w:sz="8" w:color="4A7EBB"/>
            </w:tcBorders>
          </w:tcPr>
          <w:p>
            <w:pPr>
              <w:jc w:val="right"/>
              <w:spacing w:after="0" w:line="183" w:lineRule="exact"/>
              <w:rPr>
                <w:sz w:val="20"/>
                <w:szCs w:val="20"/>
                <w:color w:val="auto"/>
              </w:rPr>
            </w:pPr>
            <w:r>
              <w:rPr>
                <w:rFonts w:ascii="Arial" w:cs="Arial" w:eastAsia="Arial" w:hAnsi="Arial"/>
                <w:sz w:val="16"/>
                <w:szCs w:val="16"/>
                <w:color w:val="auto"/>
              </w:rPr>
              <w:t>*</w:t>
            </w:r>
          </w:p>
        </w:tc>
      </w:tr>
      <w:tr>
        <w:trPr>
          <w:trHeight w:val="183"/>
        </w:trPr>
        <w:tc>
          <w:tcPr>
            <w:tcW w:w="6460" w:type="dxa"/>
            <w:vAlign w:val="bottom"/>
            <w:tcBorders>
              <w:bottom w:val="single" w:sz="8" w:color="4A7EBB"/>
            </w:tcBorders>
            <w:shd w:val="clear" w:color="auto" w:fill="F2F2F2"/>
          </w:tcPr>
          <w:p>
            <w:pPr>
              <w:ind w:left="120"/>
              <w:spacing w:after="0" w:line="183" w:lineRule="exact"/>
              <w:rPr>
                <w:sz w:val="20"/>
                <w:szCs w:val="20"/>
                <w:color w:val="auto"/>
              </w:rPr>
            </w:pPr>
            <w:r>
              <w:rPr>
                <w:rFonts w:ascii="Arial" w:cs="Arial" w:eastAsia="Arial" w:hAnsi="Arial"/>
                <w:sz w:val="16"/>
                <w:szCs w:val="16"/>
                <w:color w:val="auto"/>
              </w:rPr>
              <w:t>Cheryl Vitali</w:t>
            </w:r>
          </w:p>
        </w:tc>
        <w:tc>
          <w:tcPr>
            <w:tcW w:w="2060" w:type="dxa"/>
            <w:vAlign w:val="bottom"/>
            <w:tcBorders>
              <w:bottom w:val="single" w:sz="8" w:color="4A7EBB"/>
            </w:tcBorders>
            <w:shd w:val="clear" w:color="auto" w:fill="F2F2F2"/>
          </w:tcPr>
          <w:p>
            <w:pPr>
              <w:jc w:val="right"/>
              <w:spacing w:after="0" w:line="183" w:lineRule="exact"/>
              <w:rPr>
                <w:sz w:val="20"/>
                <w:szCs w:val="20"/>
                <w:color w:val="auto"/>
              </w:rPr>
            </w:pPr>
            <w:r>
              <w:rPr>
                <w:rFonts w:ascii="Arial" w:cs="Arial" w:eastAsia="Arial" w:hAnsi="Arial"/>
                <w:sz w:val="16"/>
                <w:szCs w:val="16"/>
                <w:color w:val="auto"/>
              </w:rPr>
              <w:t>66,948</w:t>
            </w:r>
          </w:p>
        </w:tc>
        <w:tc>
          <w:tcPr>
            <w:tcW w:w="200" w:type="dxa"/>
            <w:vAlign w:val="bottom"/>
            <w:tcBorders>
              <w:bottom w:val="single" w:sz="8" w:color="4A7EBB"/>
            </w:tcBorders>
            <w:shd w:val="clear" w:color="auto" w:fill="F2F2F2"/>
          </w:tcPr>
          <w:p>
            <w:pPr>
              <w:spacing w:after="0"/>
              <w:rPr>
                <w:sz w:val="20"/>
                <w:szCs w:val="20"/>
                <w:color w:val="auto"/>
              </w:rPr>
            </w:pPr>
            <w:r>
              <w:rPr>
                <w:rFonts w:ascii="Arial" w:cs="Arial" w:eastAsia="Arial" w:hAnsi="Arial"/>
                <w:sz w:val="10"/>
                <w:szCs w:val="10"/>
                <w:color w:val="auto"/>
              </w:rPr>
              <w:t>(11)</w:t>
            </w:r>
          </w:p>
        </w:tc>
        <w:tc>
          <w:tcPr>
            <w:tcW w:w="1200" w:type="dxa"/>
            <w:vAlign w:val="bottom"/>
            <w:tcBorders>
              <w:bottom w:val="single" w:sz="8" w:color="4A7EBB"/>
            </w:tcBorders>
            <w:shd w:val="clear" w:color="auto" w:fill="F2F2F2"/>
          </w:tcPr>
          <w:p>
            <w:pPr>
              <w:jc w:val="right"/>
              <w:spacing w:after="0" w:line="183" w:lineRule="exact"/>
              <w:rPr>
                <w:sz w:val="20"/>
                <w:szCs w:val="20"/>
                <w:color w:val="auto"/>
              </w:rPr>
            </w:pPr>
            <w:r>
              <w:rPr>
                <w:rFonts w:ascii="Arial" w:cs="Arial" w:eastAsia="Arial" w:hAnsi="Arial"/>
                <w:sz w:val="16"/>
                <w:szCs w:val="16"/>
                <w:color w:val="auto"/>
              </w:rPr>
              <w:t>*</w:t>
            </w:r>
          </w:p>
        </w:tc>
      </w:tr>
      <w:tr>
        <w:trPr>
          <w:trHeight w:val="183"/>
        </w:trPr>
        <w:tc>
          <w:tcPr>
            <w:tcW w:w="6460" w:type="dxa"/>
            <w:vAlign w:val="bottom"/>
            <w:tcBorders>
              <w:bottom w:val="single" w:sz="8" w:color="4A7EBB"/>
            </w:tcBorders>
          </w:tcPr>
          <w:p>
            <w:pPr>
              <w:ind w:left="120"/>
              <w:spacing w:after="0" w:line="183" w:lineRule="exact"/>
              <w:rPr>
                <w:sz w:val="20"/>
                <w:szCs w:val="20"/>
                <w:color w:val="auto"/>
              </w:rPr>
            </w:pPr>
            <w:r>
              <w:rPr>
                <w:rFonts w:ascii="Arial" w:cs="Arial" w:eastAsia="Arial" w:hAnsi="Arial"/>
                <w:sz w:val="16"/>
                <w:szCs w:val="16"/>
                <w:color w:val="auto"/>
              </w:rPr>
              <w:t>Richard White</w:t>
            </w:r>
          </w:p>
        </w:tc>
        <w:tc>
          <w:tcPr>
            <w:tcW w:w="2060" w:type="dxa"/>
            <w:vAlign w:val="bottom"/>
            <w:tcBorders>
              <w:bottom w:val="single" w:sz="8" w:color="4A7EBB"/>
            </w:tcBorders>
          </w:tcPr>
          <w:p>
            <w:pPr>
              <w:jc w:val="right"/>
              <w:spacing w:after="0" w:line="183" w:lineRule="exact"/>
              <w:rPr>
                <w:sz w:val="20"/>
                <w:szCs w:val="20"/>
                <w:color w:val="auto"/>
              </w:rPr>
            </w:pPr>
            <w:r>
              <w:rPr>
                <w:rFonts w:ascii="Arial" w:cs="Arial" w:eastAsia="Arial" w:hAnsi="Arial"/>
                <w:sz w:val="16"/>
                <w:szCs w:val="16"/>
                <w:color w:val="auto"/>
              </w:rPr>
              <w:t>95,288</w:t>
            </w:r>
          </w:p>
        </w:tc>
        <w:tc>
          <w:tcPr>
            <w:tcW w:w="200" w:type="dxa"/>
            <w:vAlign w:val="bottom"/>
            <w:tcBorders>
              <w:bottom w:val="single" w:sz="8" w:color="4A7EBB"/>
            </w:tcBorders>
          </w:tcPr>
          <w:p>
            <w:pPr>
              <w:spacing w:after="0"/>
              <w:rPr>
                <w:sz w:val="20"/>
                <w:szCs w:val="20"/>
                <w:color w:val="auto"/>
              </w:rPr>
            </w:pPr>
            <w:r>
              <w:rPr>
                <w:rFonts w:ascii="Arial" w:cs="Arial" w:eastAsia="Arial" w:hAnsi="Arial"/>
                <w:sz w:val="10"/>
                <w:szCs w:val="10"/>
                <w:color w:val="auto"/>
              </w:rPr>
              <w:t>(12)</w:t>
            </w:r>
          </w:p>
        </w:tc>
        <w:tc>
          <w:tcPr>
            <w:tcW w:w="1200" w:type="dxa"/>
            <w:vAlign w:val="bottom"/>
            <w:tcBorders>
              <w:bottom w:val="single" w:sz="8" w:color="4A7EBB"/>
            </w:tcBorders>
          </w:tcPr>
          <w:p>
            <w:pPr>
              <w:jc w:val="right"/>
              <w:spacing w:after="0" w:line="183" w:lineRule="exact"/>
              <w:rPr>
                <w:sz w:val="20"/>
                <w:szCs w:val="20"/>
                <w:color w:val="auto"/>
              </w:rPr>
            </w:pPr>
            <w:r>
              <w:rPr>
                <w:rFonts w:ascii="Arial" w:cs="Arial" w:eastAsia="Arial" w:hAnsi="Arial"/>
                <w:sz w:val="16"/>
                <w:szCs w:val="16"/>
                <w:color w:val="auto"/>
              </w:rPr>
              <w:t>*</w:t>
            </w:r>
          </w:p>
        </w:tc>
      </w:tr>
      <w:tr>
        <w:trPr>
          <w:trHeight w:val="183"/>
        </w:trPr>
        <w:tc>
          <w:tcPr>
            <w:tcW w:w="6460" w:type="dxa"/>
            <w:vAlign w:val="bottom"/>
            <w:tcBorders>
              <w:bottom w:val="single" w:sz="8" w:color="4A7EBB"/>
            </w:tcBorders>
            <w:shd w:val="clear" w:color="auto" w:fill="F2F2F2"/>
          </w:tcPr>
          <w:p>
            <w:pPr>
              <w:ind w:left="120"/>
              <w:spacing w:after="0" w:line="183" w:lineRule="exact"/>
              <w:rPr>
                <w:sz w:val="20"/>
                <w:szCs w:val="20"/>
                <w:color w:val="auto"/>
              </w:rPr>
            </w:pPr>
            <w:r>
              <w:rPr>
                <w:rFonts w:ascii="Arial" w:cs="Arial" w:eastAsia="Arial" w:hAnsi="Arial"/>
                <w:sz w:val="16"/>
                <w:szCs w:val="16"/>
                <w:color w:val="auto"/>
              </w:rPr>
              <w:t>Andrew Yaeger</w:t>
            </w:r>
          </w:p>
        </w:tc>
        <w:tc>
          <w:tcPr>
            <w:tcW w:w="2060" w:type="dxa"/>
            <w:vAlign w:val="bottom"/>
            <w:tcBorders>
              <w:bottom w:val="single" w:sz="8" w:color="4A7EBB"/>
            </w:tcBorders>
            <w:shd w:val="clear" w:color="auto" w:fill="F2F2F2"/>
          </w:tcPr>
          <w:p>
            <w:pPr>
              <w:jc w:val="right"/>
              <w:spacing w:after="0" w:line="183" w:lineRule="exact"/>
              <w:rPr>
                <w:sz w:val="20"/>
                <w:szCs w:val="20"/>
                <w:color w:val="auto"/>
              </w:rPr>
            </w:pPr>
            <w:r>
              <w:rPr>
                <w:rFonts w:ascii="Arial" w:cs="Arial" w:eastAsia="Arial" w:hAnsi="Arial"/>
                <w:sz w:val="16"/>
                <w:szCs w:val="16"/>
                <w:color w:val="auto"/>
              </w:rPr>
              <w:t>17,261</w:t>
            </w:r>
          </w:p>
        </w:tc>
        <w:tc>
          <w:tcPr>
            <w:tcW w:w="200" w:type="dxa"/>
            <w:vAlign w:val="bottom"/>
            <w:tcBorders>
              <w:bottom w:val="single" w:sz="8" w:color="4A7EBB"/>
            </w:tcBorders>
            <w:shd w:val="clear" w:color="auto" w:fill="F2F2F2"/>
          </w:tcPr>
          <w:p>
            <w:pPr>
              <w:spacing w:after="0"/>
              <w:rPr>
                <w:sz w:val="20"/>
                <w:szCs w:val="20"/>
                <w:color w:val="auto"/>
              </w:rPr>
            </w:pPr>
            <w:r>
              <w:rPr>
                <w:rFonts w:ascii="Arial" w:cs="Arial" w:eastAsia="Arial" w:hAnsi="Arial"/>
                <w:sz w:val="10"/>
                <w:szCs w:val="10"/>
                <w:color w:val="auto"/>
              </w:rPr>
              <w:t>(13)</w:t>
            </w:r>
          </w:p>
        </w:tc>
        <w:tc>
          <w:tcPr>
            <w:tcW w:w="1200" w:type="dxa"/>
            <w:vAlign w:val="bottom"/>
            <w:tcBorders>
              <w:bottom w:val="single" w:sz="8" w:color="4A7EBB"/>
            </w:tcBorders>
            <w:shd w:val="clear" w:color="auto" w:fill="F2F2F2"/>
          </w:tcPr>
          <w:p>
            <w:pPr>
              <w:jc w:val="right"/>
              <w:spacing w:after="0" w:line="183" w:lineRule="exact"/>
              <w:rPr>
                <w:sz w:val="20"/>
                <w:szCs w:val="20"/>
                <w:color w:val="auto"/>
              </w:rPr>
            </w:pPr>
            <w:r>
              <w:rPr>
                <w:rFonts w:ascii="Arial" w:cs="Arial" w:eastAsia="Arial" w:hAnsi="Arial"/>
                <w:sz w:val="16"/>
                <w:szCs w:val="16"/>
                <w:color w:val="auto"/>
              </w:rPr>
              <w:t>*</w:t>
            </w:r>
          </w:p>
        </w:tc>
      </w:tr>
      <w:tr>
        <w:trPr>
          <w:trHeight w:val="183"/>
        </w:trPr>
        <w:tc>
          <w:tcPr>
            <w:tcW w:w="6460" w:type="dxa"/>
            <w:vAlign w:val="bottom"/>
            <w:tcBorders>
              <w:bottom w:val="single" w:sz="8" w:color="4A7EBB"/>
            </w:tcBorders>
          </w:tcPr>
          <w:p>
            <w:pPr>
              <w:ind w:left="120"/>
              <w:spacing w:after="0" w:line="183" w:lineRule="exact"/>
              <w:rPr>
                <w:sz w:val="20"/>
                <w:szCs w:val="20"/>
                <w:color w:val="auto"/>
              </w:rPr>
            </w:pPr>
            <w:r>
              <w:rPr>
                <w:rFonts w:ascii="Arial" w:cs="Arial" w:eastAsia="Arial" w:hAnsi="Arial"/>
                <w:sz w:val="16"/>
                <w:szCs w:val="16"/>
                <w:color w:val="auto"/>
              </w:rPr>
              <w:t>Neal S. Nackman</w:t>
            </w:r>
          </w:p>
        </w:tc>
        <w:tc>
          <w:tcPr>
            <w:tcW w:w="2060" w:type="dxa"/>
            <w:vAlign w:val="bottom"/>
            <w:tcBorders>
              <w:bottom w:val="single" w:sz="8" w:color="4A7EBB"/>
            </w:tcBorders>
          </w:tcPr>
          <w:p>
            <w:pPr>
              <w:jc w:val="right"/>
              <w:spacing w:after="0" w:line="183" w:lineRule="exact"/>
              <w:rPr>
                <w:sz w:val="20"/>
                <w:szCs w:val="20"/>
                <w:color w:val="auto"/>
              </w:rPr>
            </w:pPr>
            <w:r>
              <w:rPr>
                <w:rFonts w:ascii="Arial" w:cs="Arial" w:eastAsia="Arial" w:hAnsi="Arial"/>
                <w:sz w:val="16"/>
                <w:szCs w:val="16"/>
                <w:color w:val="auto"/>
              </w:rPr>
              <w:t>42,597</w:t>
            </w:r>
          </w:p>
        </w:tc>
        <w:tc>
          <w:tcPr>
            <w:tcW w:w="200" w:type="dxa"/>
            <w:vAlign w:val="bottom"/>
            <w:tcBorders>
              <w:bottom w:val="single" w:sz="8" w:color="4A7EBB"/>
            </w:tcBorders>
          </w:tcPr>
          <w:p>
            <w:pPr>
              <w:spacing w:after="0"/>
              <w:rPr>
                <w:sz w:val="20"/>
                <w:szCs w:val="20"/>
                <w:color w:val="auto"/>
              </w:rPr>
            </w:pPr>
            <w:r>
              <w:rPr>
                <w:rFonts w:ascii="Arial" w:cs="Arial" w:eastAsia="Arial" w:hAnsi="Arial"/>
                <w:sz w:val="10"/>
                <w:szCs w:val="10"/>
                <w:color w:val="auto"/>
              </w:rPr>
              <w:t>(14)</w:t>
            </w:r>
          </w:p>
        </w:tc>
        <w:tc>
          <w:tcPr>
            <w:tcW w:w="1200" w:type="dxa"/>
            <w:vAlign w:val="bottom"/>
            <w:tcBorders>
              <w:bottom w:val="single" w:sz="8" w:color="4A7EBB"/>
            </w:tcBorders>
          </w:tcPr>
          <w:p>
            <w:pPr>
              <w:jc w:val="right"/>
              <w:spacing w:after="0" w:line="183" w:lineRule="exact"/>
              <w:rPr>
                <w:sz w:val="20"/>
                <w:szCs w:val="20"/>
                <w:color w:val="auto"/>
              </w:rPr>
            </w:pPr>
            <w:r>
              <w:rPr>
                <w:rFonts w:ascii="Arial" w:cs="Arial" w:eastAsia="Arial" w:hAnsi="Arial"/>
                <w:sz w:val="16"/>
                <w:szCs w:val="16"/>
                <w:color w:val="auto"/>
              </w:rPr>
              <w:t>*</w:t>
            </w:r>
          </w:p>
        </w:tc>
      </w:tr>
      <w:tr>
        <w:trPr>
          <w:trHeight w:val="183"/>
        </w:trPr>
        <w:tc>
          <w:tcPr>
            <w:tcW w:w="6460" w:type="dxa"/>
            <w:vAlign w:val="bottom"/>
            <w:tcBorders>
              <w:bottom w:val="single" w:sz="8" w:color="4A7EBB"/>
            </w:tcBorders>
            <w:shd w:val="clear" w:color="auto" w:fill="F2F2F2"/>
          </w:tcPr>
          <w:p>
            <w:pPr>
              <w:ind w:left="120"/>
              <w:spacing w:after="0" w:line="183" w:lineRule="exact"/>
              <w:rPr>
                <w:sz w:val="20"/>
                <w:szCs w:val="20"/>
                <w:color w:val="auto"/>
              </w:rPr>
            </w:pPr>
            <w:r>
              <w:rPr>
                <w:rFonts w:ascii="Arial" w:cs="Arial" w:eastAsia="Arial" w:hAnsi="Arial"/>
                <w:sz w:val="16"/>
                <w:szCs w:val="16"/>
                <w:color w:val="auto"/>
              </w:rPr>
              <w:t>Dana Perlman</w:t>
            </w:r>
          </w:p>
        </w:tc>
        <w:tc>
          <w:tcPr>
            <w:tcW w:w="2060" w:type="dxa"/>
            <w:vAlign w:val="bottom"/>
            <w:tcBorders>
              <w:bottom w:val="single" w:sz="8" w:color="4A7EBB"/>
            </w:tcBorders>
            <w:shd w:val="clear" w:color="auto" w:fill="F2F2F2"/>
          </w:tcPr>
          <w:p>
            <w:pPr>
              <w:jc w:val="right"/>
              <w:spacing w:after="0" w:line="183" w:lineRule="exact"/>
              <w:rPr>
                <w:sz w:val="20"/>
                <w:szCs w:val="20"/>
                <w:color w:val="auto"/>
              </w:rPr>
            </w:pPr>
            <w:r>
              <w:rPr>
                <w:rFonts w:ascii="Arial" w:cs="Arial" w:eastAsia="Arial" w:hAnsi="Arial"/>
                <w:sz w:val="16"/>
                <w:szCs w:val="16"/>
                <w:color w:val="auto"/>
              </w:rPr>
              <w:t>—</w:t>
            </w:r>
          </w:p>
        </w:tc>
        <w:tc>
          <w:tcPr>
            <w:tcW w:w="200" w:type="dxa"/>
            <w:vAlign w:val="bottom"/>
            <w:tcBorders>
              <w:bottom w:val="single" w:sz="8" w:color="4A7EBB"/>
            </w:tcBorders>
            <w:shd w:val="clear" w:color="auto" w:fill="F2F2F2"/>
          </w:tcPr>
          <w:p>
            <w:pPr>
              <w:spacing w:after="0"/>
              <w:rPr>
                <w:sz w:val="20"/>
                <w:szCs w:val="20"/>
                <w:color w:val="auto"/>
              </w:rPr>
            </w:pPr>
            <w:r>
              <w:rPr>
                <w:rFonts w:ascii="Arial" w:cs="Arial" w:eastAsia="Arial" w:hAnsi="Arial"/>
                <w:sz w:val="10"/>
                <w:szCs w:val="10"/>
                <w:color w:val="auto"/>
              </w:rPr>
              <w:t>(15)</w:t>
            </w:r>
          </w:p>
        </w:tc>
        <w:tc>
          <w:tcPr>
            <w:tcW w:w="1200" w:type="dxa"/>
            <w:vAlign w:val="bottom"/>
            <w:tcBorders>
              <w:bottom w:val="single" w:sz="8" w:color="4A7EBB"/>
            </w:tcBorders>
            <w:shd w:val="clear" w:color="auto" w:fill="F2F2F2"/>
          </w:tcPr>
          <w:p>
            <w:pPr>
              <w:jc w:val="right"/>
              <w:spacing w:after="0" w:line="183" w:lineRule="exact"/>
              <w:rPr>
                <w:sz w:val="20"/>
                <w:szCs w:val="20"/>
                <w:color w:val="auto"/>
              </w:rPr>
            </w:pPr>
            <w:r>
              <w:rPr>
                <w:rFonts w:ascii="Arial" w:cs="Arial" w:eastAsia="Arial" w:hAnsi="Arial"/>
                <w:sz w:val="16"/>
                <w:szCs w:val="16"/>
                <w:color w:val="auto"/>
              </w:rPr>
              <w:t>—</w:t>
            </w:r>
          </w:p>
        </w:tc>
      </w:tr>
      <w:tr>
        <w:trPr>
          <w:trHeight w:val="183"/>
        </w:trPr>
        <w:tc>
          <w:tcPr>
            <w:tcW w:w="6460" w:type="dxa"/>
            <w:vAlign w:val="bottom"/>
            <w:tcBorders>
              <w:bottom w:val="single" w:sz="8" w:color="4A7EBB"/>
            </w:tcBorders>
          </w:tcPr>
          <w:p>
            <w:pPr>
              <w:ind w:left="120"/>
              <w:spacing w:after="0" w:line="183" w:lineRule="exact"/>
              <w:rPr>
                <w:sz w:val="20"/>
                <w:szCs w:val="20"/>
                <w:color w:val="auto"/>
              </w:rPr>
            </w:pPr>
            <w:r>
              <w:rPr>
                <w:rFonts w:ascii="Arial" w:cs="Arial" w:eastAsia="Arial" w:hAnsi="Arial"/>
                <w:sz w:val="16"/>
                <w:szCs w:val="16"/>
                <w:color w:val="auto"/>
              </w:rPr>
              <w:t>All directors and executive officers as a group (15 persons)</w:t>
            </w:r>
          </w:p>
        </w:tc>
        <w:tc>
          <w:tcPr>
            <w:tcW w:w="2060" w:type="dxa"/>
            <w:vAlign w:val="bottom"/>
            <w:tcBorders>
              <w:bottom w:val="single" w:sz="8" w:color="4A7EBB"/>
            </w:tcBorders>
          </w:tcPr>
          <w:p>
            <w:pPr>
              <w:jc w:val="right"/>
              <w:spacing w:after="0" w:line="183" w:lineRule="exact"/>
              <w:rPr>
                <w:sz w:val="20"/>
                <w:szCs w:val="20"/>
                <w:color w:val="auto"/>
              </w:rPr>
            </w:pPr>
            <w:r>
              <w:rPr>
                <w:rFonts w:ascii="Arial" w:cs="Arial" w:eastAsia="Arial" w:hAnsi="Arial"/>
                <w:sz w:val="16"/>
                <w:szCs w:val="16"/>
                <w:color w:val="auto"/>
              </w:rPr>
              <w:t>6,149,794</w:t>
            </w:r>
          </w:p>
        </w:tc>
        <w:tc>
          <w:tcPr>
            <w:tcW w:w="200" w:type="dxa"/>
            <w:vAlign w:val="bottom"/>
            <w:tcBorders>
              <w:bottom w:val="single" w:sz="8" w:color="4A7EBB"/>
            </w:tcBorders>
          </w:tcPr>
          <w:p>
            <w:pPr>
              <w:spacing w:after="0"/>
              <w:rPr>
                <w:sz w:val="20"/>
                <w:szCs w:val="20"/>
                <w:color w:val="auto"/>
              </w:rPr>
            </w:pPr>
            <w:r>
              <w:rPr>
                <w:rFonts w:ascii="Arial" w:cs="Arial" w:eastAsia="Arial" w:hAnsi="Arial"/>
                <w:sz w:val="10"/>
                <w:szCs w:val="10"/>
                <w:color w:val="auto"/>
              </w:rPr>
              <w:t>(16)</w:t>
            </w:r>
          </w:p>
        </w:tc>
        <w:tc>
          <w:tcPr>
            <w:tcW w:w="1200" w:type="dxa"/>
            <w:vAlign w:val="bottom"/>
            <w:tcBorders>
              <w:bottom w:val="single" w:sz="8" w:color="4A7EBB"/>
            </w:tcBorders>
          </w:tcPr>
          <w:p>
            <w:pPr>
              <w:jc w:val="right"/>
              <w:spacing w:after="0" w:line="183" w:lineRule="exact"/>
              <w:rPr>
                <w:sz w:val="20"/>
                <w:szCs w:val="20"/>
                <w:color w:val="auto"/>
              </w:rPr>
            </w:pPr>
            <w:r>
              <w:rPr>
                <w:rFonts w:ascii="Arial" w:cs="Arial" w:eastAsia="Arial" w:hAnsi="Arial"/>
                <w:sz w:val="16"/>
                <w:szCs w:val="16"/>
                <w:color w:val="auto"/>
              </w:rPr>
              <w:t>15%</w:t>
            </w:r>
          </w:p>
        </w:tc>
      </w:tr>
      <w:tr>
        <w:trPr>
          <w:trHeight w:val="183"/>
        </w:trPr>
        <w:tc>
          <w:tcPr>
            <w:tcW w:w="6460" w:type="dxa"/>
            <w:vAlign w:val="bottom"/>
            <w:tcBorders>
              <w:bottom w:val="single" w:sz="8" w:color="4A7EBB"/>
            </w:tcBorders>
            <w:shd w:val="clear" w:color="auto" w:fill="F2F2F2"/>
          </w:tcPr>
          <w:p>
            <w:pPr>
              <w:spacing w:after="0" w:line="183" w:lineRule="exact"/>
              <w:rPr>
                <w:sz w:val="20"/>
                <w:szCs w:val="20"/>
                <w:color w:val="auto"/>
              </w:rPr>
            </w:pPr>
            <w:r>
              <w:rPr>
                <w:rFonts w:ascii="Arial" w:cs="Arial" w:eastAsia="Arial" w:hAnsi="Arial"/>
                <w:sz w:val="16"/>
                <w:szCs w:val="16"/>
                <w:b w:val="1"/>
                <w:bCs w:val="1"/>
                <w:color w:val="auto"/>
              </w:rPr>
              <w:t>Beneficial Owners of More Than 5%</w:t>
            </w:r>
          </w:p>
        </w:tc>
        <w:tc>
          <w:tcPr>
            <w:tcW w:w="2060" w:type="dxa"/>
            <w:vAlign w:val="bottom"/>
            <w:tcBorders>
              <w:bottom w:val="single" w:sz="8" w:color="4A7EBB"/>
            </w:tcBorders>
            <w:shd w:val="clear" w:color="auto" w:fill="F2F2F2"/>
          </w:tcPr>
          <w:p>
            <w:pPr>
              <w:spacing w:after="0"/>
              <w:rPr>
                <w:sz w:val="15"/>
                <w:szCs w:val="15"/>
                <w:color w:val="auto"/>
              </w:rPr>
            </w:pPr>
          </w:p>
        </w:tc>
        <w:tc>
          <w:tcPr>
            <w:tcW w:w="200" w:type="dxa"/>
            <w:vAlign w:val="bottom"/>
            <w:tcBorders>
              <w:bottom w:val="single" w:sz="8" w:color="4A7EBB"/>
            </w:tcBorders>
            <w:shd w:val="clear" w:color="auto" w:fill="F2F2F2"/>
          </w:tcPr>
          <w:p>
            <w:pPr>
              <w:spacing w:after="0"/>
              <w:rPr>
                <w:sz w:val="15"/>
                <w:szCs w:val="15"/>
                <w:color w:val="auto"/>
              </w:rPr>
            </w:pPr>
          </w:p>
        </w:tc>
        <w:tc>
          <w:tcPr>
            <w:tcW w:w="1200" w:type="dxa"/>
            <w:vAlign w:val="bottom"/>
            <w:tcBorders>
              <w:bottom w:val="single" w:sz="8" w:color="4A7EBB"/>
            </w:tcBorders>
            <w:shd w:val="clear" w:color="auto" w:fill="F2F2F2"/>
          </w:tcPr>
          <w:p>
            <w:pPr>
              <w:spacing w:after="0"/>
              <w:rPr>
                <w:sz w:val="15"/>
                <w:szCs w:val="15"/>
                <w:color w:val="auto"/>
              </w:rPr>
            </w:pPr>
          </w:p>
        </w:tc>
      </w:tr>
      <w:tr>
        <w:trPr>
          <w:trHeight w:val="168"/>
        </w:trPr>
        <w:tc>
          <w:tcPr>
            <w:tcW w:w="6460" w:type="dxa"/>
            <w:vAlign w:val="bottom"/>
          </w:tcPr>
          <w:p>
            <w:pPr>
              <w:ind w:left="120"/>
              <w:spacing w:after="0" w:line="168" w:lineRule="exact"/>
              <w:rPr>
                <w:sz w:val="20"/>
                <w:szCs w:val="20"/>
                <w:color w:val="auto"/>
              </w:rPr>
            </w:pPr>
            <w:r>
              <w:rPr>
                <w:rFonts w:ascii="Arial" w:cs="Arial" w:eastAsia="Arial" w:hAnsi="Arial"/>
                <w:sz w:val="16"/>
                <w:szCs w:val="16"/>
                <w:color w:val="auto"/>
              </w:rPr>
              <w:t>BlackRock, Inc.</w:t>
            </w:r>
          </w:p>
        </w:tc>
        <w:tc>
          <w:tcPr>
            <w:tcW w:w="2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89"/>
        </w:trPr>
        <w:tc>
          <w:tcPr>
            <w:tcW w:w="6460" w:type="dxa"/>
            <w:vAlign w:val="bottom"/>
          </w:tcPr>
          <w:p>
            <w:pPr>
              <w:ind w:left="220"/>
              <w:spacing w:after="0"/>
              <w:rPr>
                <w:sz w:val="20"/>
                <w:szCs w:val="20"/>
                <w:color w:val="auto"/>
              </w:rPr>
            </w:pPr>
            <w:r>
              <w:rPr>
                <w:rFonts w:ascii="Arial" w:cs="Arial" w:eastAsia="Arial" w:hAnsi="Arial"/>
                <w:sz w:val="16"/>
                <w:szCs w:val="16"/>
                <w:color w:val="auto"/>
              </w:rPr>
              <w:t>50 Hudson Yards</w:t>
            </w:r>
          </w:p>
        </w:tc>
        <w:tc>
          <w:tcPr>
            <w:tcW w:w="2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03"/>
        </w:trPr>
        <w:tc>
          <w:tcPr>
            <w:tcW w:w="6460" w:type="dxa"/>
            <w:vAlign w:val="bottom"/>
            <w:tcBorders>
              <w:bottom w:val="single" w:sz="8" w:color="4A7EBB"/>
            </w:tcBorders>
          </w:tcPr>
          <w:p>
            <w:pPr>
              <w:ind w:left="220"/>
              <w:spacing w:after="0"/>
              <w:rPr>
                <w:sz w:val="20"/>
                <w:szCs w:val="20"/>
                <w:color w:val="auto"/>
              </w:rPr>
            </w:pPr>
            <w:r>
              <w:rPr>
                <w:rFonts w:ascii="Arial" w:cs="Arial" w:eastAsia="Arial" w:hAnsi="Arial"/>
                <w:sz w:val="16"/>
                <w:szCs w:val="16"/>
                <w:color w:val="auto"/>
              </w:rPr>
              <w:t>New York, NY 10001</w:t>
            </w:r>
          </w:p>
        </w:tc>
        <w:tc>
          <w:tcPr>
            <w:tcW w:w="2060" w:type="dxa"/>
            <w:vAlign w:val="bottom"/>
            <w:tcBorders>
              <w:bottom w:val="single" w:sz="8" w:color="4A7EBB"/>
            </w:tcBorders>
          </w:tcPr>
          <w:p>
            <w:pPr>
              <w:jc w:val="right"/>
              <w:spacing w:after="0"/>
              <w:rPr>
                <w:sz w:val="20"/>
                <w:szCs w:val="20"/>
                <w:color w:val="auto"/>
              </w:rPr>
            </w:pPr>
            <w:r>
              <w:rPr>
                <w:rFonts w:ascii="Arial" w:cs="Arial" w:eastAsia="Arial" w:hAnsi="Arial"/>
                <w:sz w:val="16"/>
                <w:szCs w:val="16"/>
                <w:color w:val="auto"/>
              </w:rPr>
              <w:t>5,891,224</w:t>
            </w:r>
          </w:p>
        </w:tc>
        <w:tc>
          <w:tcPr>
            <w:tcW w:w="200" w:type="dxa"/>
            <w:vAlign w:val="bottom"/>
            <w:tcBorders>
              <w:bottom w:val="single" w:sz="8" w:color="4A7EBB"/>
            </w:tcBorders>
          </w:tcPr>
          <w:p>
            <w:pPr>
              <w:spacing w:after="0"/>
              <w:rPr>
                <w:sz w:val="20"/>
                <w:szCs w:val="20"/>
                <w:color w:val="auto"/>
              </w:rPr>
            </w:pPr>
            <w:r>
              <w:rPr>
                <w:rFonts w:ascii="Arial" w:cs="Arial" w:eastAsia="Arial" w:hAnsi="Arial"/>
                <w:sz w:val="10"/>
                <w:szCs w:val="10"/>
                <w:color w:val="auto"/>
              </w:rPr>
              <w:t>(17)</w:t>
            </w:r>
          </w:p>
        </w:tc>
        <w:tc>
          <w:tcPr>
            <w:tcW w:w="1200" w:type="dxa"/>
            <w:vAlign w:val="bottom"/>
            <w:tcBorders>
              <w:bottom w:val="single" w:sz="8" w:color="4A7EBB"/>
            </w:tcBorders>
          </w:tcPr>
          <w:p>
            <w:pPr>
              <w:jc w:val="right"/>
              <w:spacing w:after="0"/>
              <w:rPr>
                <w:sz w:val="20"/>
                <w:szCs w:val="20"/>
                <w:color w:val="auto"/>
              </w:rPr>
            </w:pPr>
            <w:r>
              <w:rPr>
                <w:rFonts w:ascii="Arial" w:cs="Arial" w:eastAsia="Arial" w:hAnsi="Arial"/>
                <w:sz w:val="16"/>
                <w:szCs w:val="16"/>
                <w:color w:val="auto"/>
              </w:rPr>
              <w:t>14.0%</w:t>
            </w:r>
          </w:p>
        </w:tc>
      </w:tr>
      <w:tr>
        <w:trPr>
          <w:trHeight w:val="183"/>
        </w:trPr>
        <w:tc>
          <w:tcPr>
            <w:tcW w:w="6460" w:type="dxa"/>
            <w:vAlign w:val="bottom"/>
            <w:shd w:val="clear" w:color="auto" w:fill="F2F2F2"/>
          </w:tcPr>
          <w:p>
            <w:pPr>
              <w:ind w:left="120"/>
              <w:spacing w:after="0" w:line="183" w:lineRule="exact"/>
              <w:rPr>
                <w:sz w:val="20"/>
                <w:szCs w:val="20"/>
                <w:color w:val="auto"/>
              </w:rPr>
            </w:pPr>
            <w:r>
              <w:rPr>
                <w:rFonts w:ascii="Arial" w:cs="Arial" w:eastAsia="Arial" w:hAnsi="Arial"/>
                <w:sz w:val="16"/>
                <w:szCs w:val="16"/>
                <w:color w:val="auto"/>
              </w:rPr>
              <w:t>The Vanguard Group</w:t>
            </w:r>
          </w:p>
        </w:tc>
        <w:tc>
          <w:tcPr>
            <w:tcW w:w="2060" w:type="dxa"/>
            <w:vAlign w:val="bottom"/>
            <w:shd w:val="clear" w:color="auto" w:fill="F2F2F2"/>
          </w:tcPr>
          <w:p>
            <w:pPr>
              <w:spacing w:after="0"/>
              <w:rPr>
                <w:sz w:val="15"/>
                <w:szCs w:val="15"/>
                <w:color w:val="auto"/>
              </w:rPr>
            </w:pPr>
          </w:p>
        </w:tc>
        <w:tc>
          <w:tcPr>
            <w:tcW w:w="200" w:type="dxa"/>
            <w:vAlign w:val="bottom"/>
            <w:shd w:val="clear" w:color="auto" w:fill="F2F2F2"/>
          </w:tcPr>
          <w:p>
            <w:pPr>
              <w:spacing w:after="0"/>
              <w:rPr>
                <w:sz w:val="15"/>
                <w:szCs w:val="15"/>
                <w:color w:val="auto"/>
              </w:rPr>
            </w:pPr>
          </w:p>
        </w:tc>
        <w:tc>
          <w:tcPr>
            <w:tcW w:w="1200" w:type="dxa"/>
            <w:vAlign w:val="bottom"/>
            <w:shd w:val="clear" w:color="auto" w:fill="F2F2F2"/>
          </w:tcPr>
          <w:p>
            <w:pPr>
              <w:spacing w:after="0"/>
              <w:rPr>
                <w:sz w:val="15"/>
                <w:szCs w:val="15"/>
                <w:color w:val="auto"/>
              </w:rPr>
            </w:pPr>
          </w:p>
        </w:tc>
      </w:tr>
      <w:tr>
        <w:trPr>
          <w:trHeight w:val="189"/>
        </w:trPr>
        <w:tc>
          <w:tcPr>
            <w:tcW w:w="6460" w:type="dxa"/>
            <w:vAlign w:val="bottom"/>
            <w:shd w:val="clear" w:color="auto" w:fill="F2F2F2"/>
          </w:tcPr>
          <w:p>
            <w:pPr>
              <w:ind w:left="220"/>
              <w:spacing w:after="0"/>
              <w:rPr>
                <w:sz w:val="20"/>
                <w:szCs w:val="20"/>
                <w:color w:val="auto"/>
              </w:rPr>
            </w:pPr>
            <w:r>
              <w:rPr>
                <w:rFonts w:ascii="Arial" w:cs="Arial" w:eastAsia="Arial" w:hAnsi="Arial"/>
                <w:sz w:val="16"/>
                <w:szCs w:val="16"/>
                <w:color w:val="auto"/>
              </w:rPr>
              <w:t>100 Vanguard Blvd.</w:t>
            </w:r>
          </w:p>
        </w:tc>
        <w:tc>
          <w:tcPr>
            <w:tcW w:w="2060" w:type="dxa"/>
            <w:vAlign w:val="bottom"/>
            <w:shd w:val="clear" w:color="auto" w:fill="F2F2F2"/>
          </w:tcPr>
          <w:p>
            <w:pPr>
              <w:spacing w:after="0"/>
              <w:rPr>
                <w:sz w:val="16"/>
                <w:szCs w:val="16"/>
                <w:color w:val="auto"/>
              </w:rPr>
            </w:pPr>
          </w:p>
        </w:tc>
        <w:tc>
          <w:tcPr>
            <w:tcW w:w="200" w:type="dxa"/>
            <w:vAlign w:val="bottom"/>
            <w:shd w:val="clear" w:color="auto" w:fill="F2F2F2"/>
          </w:tcPr>
          <w:p>
            <w:pPr>
              <w:spacing w:after="0"/>
              <w:rPr>
                <w:sz w:val="16"/>
                <w:szCs w:val="16"/>
                <w:color w:val="auto"/>
              </w:rPr>
            </w:pPr>
          </w:p>
        </w:tc>
        <w:tc>
          <w:tcPr>
            <w:tcW w:w="1200" w:type="dxa"/>
            <w:vAlign w:val="bottom"/>
            <w:shd w:val="clear" w:color="auto" w:fill="F2F2F2"/>
          </w:tcPr>
          <w:p>
            <w:pPr>
              <w:spacing w:after="0"/>
              <w:rPr>
                <w:sz w:val="16"/>
                <w:szCs w:val="16"/>
                <w:color w:val="auto"/>
              </w:rPr>
            </w:pPr>
          </w:p>
        </w:tc>
      </w:tr>
      <w:tr>
        <w:trPr>
          <w:trHeight w:val="189"/>
        </w:trPr>
        <w:tc>
          <w:tcPr>
            <w:tcW w:w="6460" w:type="dxa"/>
            <w:vAlign w:val="bottom"/>
            <w:tcBorders>
              <w:bottom w:val="single" w:sz="8" w:color="4A7EBB"/>
            </w:tcBorders>
            <w:shd w:val="clear" w:color="auto" w:fill="F2F2F2"/>
          </w:tcPr>
          <w:p>
            <w:pPr>
              <w:ind w:left="220"/>
              <w:spacing w:after="0"/>
              <w:rPr>
                <w:sz w:val="20"/>
                <w:szCs w:val="20"/>
                <w:color w:val="auto"/>
              </w:rPr>
            </w:pPr>
            <w:r>
              <w:rPr>
                <w:rFonts w:ascii="Arial" w:cs="Arial" w:eastAsia="Arial" w:hAnsi="Arial"/>
                <w:sz w:val="16"/>
                <w:szCs w:val="16"/>
                <w:color w:val="auto"/>
              </w:rPr>
              <w:t>Malvern, PA 19355</w:t>
            </w:r>
          </w:p>
        </w:tc>
        <w:tc>
          <w:tcPr>
            <w:tcW w:w="2060" w:type="dxa"/>
            <w:vAlign w:val="bottom"/>
            <w:tcBorders>
              <w:bottom w:val="single" w:sz="8" w:color="4A7EBB"/>
            </w:tcBorders>
            <w:shd w:val="clear" w:color="auto" w:fill="F2F2F2"/>
          </w:tcPr>
          <w:p>
            <w:pPr>
              <w:jc w:val="right"/>
              <w:spacing w:after="0"/>
              <w:rPr>
                <w:sz w:val="20"/>
                <w:szCs w:val="20"/>
                <w:color w:val="auto"/>
              </w:rPr>
            </w:pPr>
            <w:r>
              <w:rPr>
                <w:rFonts w:ascii="Arial" w:cs="Arial" w:eastAsia="Arial" w:hAnsi="Arial"/>
                <w:sz w:val="16"/>
                <w:szCs w:val="16"/>
                <w:color w:val="auto"/>
              </w:rPr>
              <w:t>4,754,135</w:t>
            </w:r>
          </w:p>
        </w:tc>
        <w:tc>
          <w:tcPr>
            <w:tcW w:w="200" w:type="dxa"/>
            <w:vAlign w:val="bottom"/>
            <w:tcBorders>
              <w:bottom w:val="single" w:sz="8" w:color="4A7EBB"/>
            </w:tcBorders>
            <w:shd w:val="clear" w:color="auto" w:fill="F2F2F2"/>
          </w:tcPr>
          <w:p>
            <w:pPr>
              <w:spacing w:after="0"/>
              <w:rPr>
                <w:sz w:val="20"/>
                <w:szCs w:val="20"/>
                <w:color w:val="auto"/>
              </w:rPr>
            </w:pPr>
            <w:r>
              <w:rPr>
                <w:rFonts w:ascii="Arial" w:cs="Arial" w:eastAsia="Arial" w:hAnsi="Arial"/>
                <w:sz w:val="10"/>
                <w:szCs w:val="10"/>
                <w:color w:val="auto"/>
              </w:rPr>
              <w:t>(18)</w:t>
            </w:r>
          </w:p>
        </w:tc>
        <w:tc>
          <w:tcPr>
            <w:tcW w:w="1200" w:type="dxa"/>
            <w:vAlign w:val="bottom"/>
            <w:tcBorders>
              <w:bottom w:val="single" w:sz="8" w:color="4A7EBB"/>
            </w:tcBorders>
            <w:shd w:val="clear" w:color="auto" w:fill="F2F2F2"/>
          </w:tcPr>
          <w:p>
            <w:pPr>
              <w:jc w:val="right"/>
              <w:spacing w:after="0"/>
              <w:rPr>
                <w:sz w:val="20"/>
                <w:szCs w:val="20"/>
                <w:color w:val="auto"/>
              </w:rPr>
            </w:pPr>
            <w:r>
              <w:rPr>
                <w:rFonts w:ascii="Arial" w:cs="Arial" w:eastAsia="Arial" w:hAnsi="Arial"/>
                <w:sz w:val="16"/>
                <w:szCs w:val="16"/>
                <w:color w:val="auto"/>
              </w:rPr>
              <w:t>11.3%</w:t>
            </w:r>
          </w:p>
        </w:tc>
      </w:tr>
      <w:tr>
        <w:trPr>
          <w:trHeight w:val="168"/>
        </w:trPr>
        <w:tc>
          <w:tcPr>
            <w:tcW w:w="6460" w:type="dxa"/>
            <w:vAlign w:val="bottom"/>
          </w:tcPr>
          <w:p>
            <w:pPr>
              <w:ind w:left="120"/>
              <w:spacing w:after="0" w:line="168" w:lineRule="exact"/>
              <w:rPr>
                <w:sz w:val="20"/>
                <w:szCs w:val="20"/>
                <w:color w:val="auto"/>
              </w:rPr>
            </w:pPr>
            <w:r>
              <w:rPr>
                <w:rFonts w:ascii="Arial" w:cs="Arial" w:eastAsia="Arial" w:hAnsi="Arial"/>
                <w:sz w:val="16"/>
                <w:szCs w:val="16"/>
                <w:color w:val="auto"/>
              </w:rPr>
              <w:t>Dimensional Fund Advisors LP</w:t>
            </w:r>
          </w:p>
        </w:tc>
        <w:tc>
          <w:tcPr>
            <w:tcW w:w="2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89"/>
        </w:trPr>
        <w:tc>
          <w:tcPr>
            <w:tcW w:w="6460" w:type="dxa"/>
            <w:vAlign w:val="bottom"/>
          </w:tcPr>
          <w:p>
            <w:pPr>
              <w:ind w:left="220"/>
              <w:spacing w:after="0"/>
              <w:rPr>
                <w:sz w:val="20"/>
                <w:szCs w:val="20"/>
                <w:color w:val="auto"/>
              </w:rPr>
            </w:pPr>
            <w:r>
              <w:rPr>
                <w:rFonts w:ascii="Arial" w:cs="Arial" w:eastAsia="Arial" w:hAnsi="Arial"/>
                <w:sz w:val="16"/>
                <w:szCs w:val="16"/>
                <w:color w:val="auto"/>
              </w:rPr>
              <w:t>Building One</w:t>
            </w:r>
          </w:p>
        </w:tc>
        <w:tc>
          <w:tcPr>
            <w:tcW w:w="2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89"/>
        </w:trPr>
        <w:tc>
          <w:tcPr>
            <w:tcW w:w="6460" w:type="dxa"/>
            <w:vAlign w:val="bottom"/>
          </w:tcPr>
          <w:p>
            <w:pPr>
              <w:ind w:left="220"/>
              <w:spacing w:after="0"/>
              <w:rPr>
                <w:sz w:val="20"/>
                <w:szCs w:val="20"/>
                <w:color w:val="auto"/>
              </w:rPr>
            </w:pPr>
            <w:r>
              <w:rPr>
                <w:rFonts w:ascii="Arial" w:cs="Arial" w:eastAsia="Arial" w:hAnsi="Arial"/>
                <w:sz w:val="16"/>
                <w:szCs w:val="16"/>
                <w:color w:val="auto"/>
              </w:rPr>
              <w:t>6300 Bee Cave Road</w:t>
            </w:r>
          </w:p>
        </w:tc>
        <w:tc>
          <w:tcPr>
            <w:tcW w:w="2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03"/>
        </w:trPr>
        <w:tc>
          <w:tcPr>
            <w:tcW w:w="6460" w:type="dxa"/>
            <w:vAlign w:val="bottom"/>
            <w:tcBorders>
              <w:bottom w:val="single" w:sz="8" w:color="4A7EBB"/>
            </w:tcBorders>
          </w:tcPr>
          <w:p>
            <w:pPr>
              <w:ind w:left="220"/>
              <w:spacing w:after="0"/>
              <w:rPr>
                <w:sz w:val="20"/>
                <w:szCs w:val="20"/>
                <w:color w:val="auto"/>
              </w:rPr>
            </w:pPr>
            <w:r>
              <w:rPr>
                <w:rFonts w:ascii="Arial" w:cs="Arial" w:eastAsia="Arial" w:hAnsi="Arial"/>
                <w:sz w:val="16"/>
                <w:szCs w:val="16"/>
                <w:color w:val="auto"/>
              </w:rPr>
              <w:t>Austin, Texas 78746</w:t>
            </w:r>
          </w:p>
        </w:tc>
        <w:tc>
          <w:tcPr>
            <w:tcW w:w="2060" w:type="dxa"/>
            <w:vAlign w:val="bottom"/>
            <w:tcBorders>
              <w:bottom w:val="single" w:sz="8" w:color="4A7EBB"/>
            </w:tcBorders>
          </w:tcPr>
          <w:p>
            <w:pPr>
              <w:jc w:val="right"/>
              <w:spacing w:after="0"/>
              <w:rPr>
                <w:sz w:val="20"/>
                <w:szCs w:val="20"/>
                <w:color w:val="auto"/>
              </w:rPr>
            </w:pPr>
            <w:r>
              <w:rPr>
                <w:rFonts w:ascii="Arial" w:cs="Arial" w:eastAsia="Arial" w:hAnsi="Arial"/>
                <w:sz w:val="16"/>
                <w:szCs w:val="16"/>
                <w:color w:val="auto"/>
              </w:rPr>
              <w:t>3,248,179</w:t>
            </w:r>
          </w:p>
        </w:tc>
        <w:tc>
          <w:tcPr>
            <w:tcW w:w="200" w:type="dxa"/>
            <w:vAlign w:val="bottom"/>
            <w:tcBorders>
              <w:bottom w:val="single" w:sz="8" w:color="4A7EBB"/>
            </w:tcBorders>
          </w:tcPr>
          <w:p>
            <w:pPr>
              <w:spacing w:after="0"/>
              <w:rPr>
                <w:sz w:val="20"/>
                <w:szCs w:val="20"/>
                <w:color w:val="auto"/>
              </w:rPr>
            </w:pPr>
            <w:r>
              <w:rPr>
                <w:rFonts w:ascii="Arial" w:cs="Arial" w:eastAsia="Arial" w:hAnsi="Arial"/>
                <w:sz w:val="10"/>
                <w:szCs w:val="10"/>
                <w:color w:val="auto"/>
              </w:rPr>
              <w:t>(19)</w:t>
            </w:r>
          </w:p>
        </w:tc>
        <w:tc>
          <w:tcPr>
            <w:tcW w:w="1200" w:type="dxa"/>
            <w:vAlign w:val="bottom"/>
            <w:tcBorders>
              <w:bottom w:val="single" w:sz="8" w:color="4A7EBB"/>
            </w:tcBorders>
          </w:tcPr>
          <w:p>
            <w:pPr>
              <w:jc w:val="right"/>
              <w:spacing w:after="0"/>
              <w:rPr>
                <w:sz w:val="20"/>
                <w:szCs w:val="20"/>
                <w:color w:val="auto"/>
              </w:rPr>
            </w:pPr>
            <w:r>
              <w:rPr>
                <w:rFonts w:ascii="Arial" w:cs="Arial" w:eastAsia="Arial" w:hAnsi="Arial"/>
                <w:sz w:val="16"/>
                <w:szCs w:val="16"/>
                <w:color w:val="auto"/>
              </w:rPr>
              <w:t>7.7%</w:t>
            </w:r>
          </w:p>
        </w:tc>
      </w:tr>
      <w:tr>
        <w:trPr>
          <w:trHeight w:val="183"/>
        </w:trPr>
        <w:tc>
          <w:tcPr>
            <w:tcW w:w="6460" w:type="dxa"/>
            <w:vAlign w:val="bottom"/>
            <w:shd w:val="clear" w:color="auto" w:fill="F2F2F2"/>
          </w:tcPr>
          <w:p>
            <w:pPr>
              <w:ind w:left="120"/>
              <w:spacing w:after="0" w:line="183" w:lineRule="exact"/>
              <w:rPr>
                <w:sz w:val="20"/>
                <w:szCs w:val="20"/>
                <w:color w:val="auto"/>
              </w:rPr>
            </w:pPr>
            <w:r>
              <w:rPr>
                <w:rFonts w:ascii="Arial" w:cs="Arial" w:eastAsia="Arial" w:hAnsi="Arial"/>
                <w:sz w:val="16"/>
                <w:szCs w:val="16"/>
                <w:color w:val="auto"/>
              </w:rPr>
              <w:t>Cobas Asset Management, SGIIC, S.A.</w:t>
            </w:r>
          </w:p>
        </w:tc>
        <w:tc>
          <w:tcPr>
            <w:tcW w:w="2060" w:type="dxa"/>
            <w:vAlign w:val="bottom"/>
            <w:shd w:val="clear" w:color="auto" w:fill="F2F2F2"/>
          </w:tcPr>
          <w:p>
            <w:pPr>
              <w:spacing w:after="0"/>
              <w:rPr>
                <w:sz w:val="15"/>
                <w:szCs w:val="15"/>
                <w:color w:val="auto"/>
              </w:rPr>
            </w:pPr>
          </w:p>
        </w:tc>
        <w:tc>
          <w:tcPr>
            <w:tcW w:w="200" w:type="dxa"/>
            <w:vAlign w:val="bottom"/>
            <w:shd w:val="clear" w:color="auto" w:fill="F2F2F2"/>
          </w:tcPr>
          <w:p>
            <w:pPr>
              <w:spacing w:after="0"/>
              <w:rPr>
                <w:sz w:val="15"/>
                <w:szCs w:val="15"/>
                <w:color w:val="auto"/>
              </w:rPr>
            </w:pPr>
          </w:p>
        </w:tc>
        <w:tc>
          <w:tcPr>
            <w:tcW w:w="1200" w:type="dxa"/>
            <w:vAlign w:val="bottom"/>
            <w:shd w:val="clear" w:color="auto" w:fill="F2F2F2"/>
          </w:tcPr>
          <w:p>
            <w:pPr>
              <w:spacing w:after="0"/>
              <w:rPr>
                <w:sz w:val="15"/>
                <w:szCs w:val="15"/>
                <w:color w:val="auto"/>
              </w:rPr>
            </w:pPr>
          </w:p>
        </w:tc>
      </w:tr>
      <w:tr>
        <w:trPr>
          <w:trHeight w:val="189"/>
        </w:trPr>
        <w:tc>
          <w:tcPr>
            <w:tcW w:w="6460" w:type="dxa"/>
            <w:vAlign w:val="bottom"/>
            <w:shd w:val="clear" w:color="auto" w:fill="F2F2F2"/>
          </w:tcPr>
          <w:p>
            <w:pPr>
              <w:ind w:left="220"/>
              <w:spacing w:after="0"/>
              <w:rPr>
                <w:sz w:val="20"/>
                <w:szCs w:val="20"/>
                <w:color w:val="auto"/>
              </w:rPr>
            </w:pPr>
            <w:r>
              <w:rPr>
                <w:rFonts w:ascii="Arial" w:cs="Arial" w:eastAsia="Arial" w:hAnsi="Arial"/>
                <w:sz w:val="16"/>
                <w:szCs w:val="16"/>
                <w:color w:val="auto"/>
              </w:rPr>
              <w:t>Paseo de la Castellana, 53, 28046</w:t>
            </w:r>
          </w:p>
        </w:tc>
        <w:tc>
          <w:tcPr>
            <w:tcW w:w="2060" w:type="dxa"/>
            <w:vAlign w:val="bottom"/>
            <w:shd w:val="clear" w:color="auto" w:fill="F2F2F2"/>
          </w:tcPr>
          <w:p>
            <w:pPr>
              <w:spacing w:after="0"/>
              <w:rPr>
                <w:sz w:val="16"/>
                <w:szCs w:val="16"/>
                <w:color w:val="auto"/>
              </w:rPr>
            </w:pPr>
          </w:p>
        </w:tc>
        <w:tc>
          <w:tcPr>
            <w:tcW w:w="200" w:type="dxa"/>
            <w:vAlign w:val="bottom"/>
            <w:shd w:val="clear" w:color="auto" w:fill="F2F2F2"/>
          </w:tcPr>
          <w:p>
            <w:pPr>
              <w:spacing w:after="0"/>
              <w:rPr>
                <w:sz w:val="16"/>
                <w:szCs w:val="16"/>
                <w:color w:val="auto"/>
              </w:rPr>
            </w:pPr>
          </w:p>
        </w:tc>
        <w:tc>
          <w:tcPr>
            <w:tcW w:w="1200" w:type="dxa"/>
            <w:vAlign w:val="bottom"/>
            <w:shd w:val="clear" w:color="auto" w:fill="F2F2F2"/>
          </w:tcPr>
          <w:p>
            <w:pPr>
              <w:spacing w:after="0"/>
              <w:rPr>
                <w:sz w:val="16"/>
                <w:szCs w:val="16"/>
                <w:color w:val="auto"/>
              </w:rPr>
            </w:pPr>
          </w:p>
        </w:tc>
      </w:tr>
      <w:tr>
        <w:trPr>
          <w:trHeight w:val="189"/>
        </w:trPr>
        <w:tc>
          <w:tcPr>
            <w:tcW w:w="6460" w:type="dxa"/>
            <w:vAlign w:val="bottom"/>
            <w:tcBorders>
              <w:bottom w:val="single" w:sz="8" w:color="4A7EBB"/>
            </w:tcBorders>
            <w:shd w:val="clear" w:color="auto" w:fill="F2F2F2"/>
          </w:tcPr>
          <w:p>
            <w:pPr>
              <w:ind w:left="220"/>
              <w:spacing w:after="0"/>
              <w:rPr>
                <w:sz w:val="20"/>
                <w:szCs w:val="20"/>
                <w:color w:val="auto"/>
              </w:rPr>
            </w:pPr>
            <w:r>
              <w:rPr>
                <w:rFonts w:ascii="Arial" w:cs="Arial" w:eastAsia="Arial" w:hAnsi="Arial"/>
                <w:sz w:val="16"/>
                <w:szCs w:val="16"/>
                <w:color w:val="auto"/>
              </w:rPr>
              <w:t>Madrid, Spain</w:t>
            </w:r>
          </w:p>
        </w:tc>
        <w:tc>
          <w:tcPr>
            <w:tcW w:w="2060" w:type="dxa"/>
            <w:vAlign w:val="bottom"/>
            <w:tcBorders>
              <w:bottom w:val="single" w:sz="8" w:color="4A7EBB"/>
            </w:tcBorders>
            <w:shd w:val="clear" w:color="auto" w:fill="F2F2F2"/>
          </w:tcPr>
          <w:p>
            <w:pPr>
              <w:jc w:val="right"/>
              <w:spacing w:after="0"/>
              <w:rPr>
                <w:sz w:val="20"/>
                <w:szCs w:val="20"/>
                <w:color w:val="auto"/>
              </w:rPr>
            </w:pPr>
            <w:r>
              <w:rPr>
                <w:rFonts w:ascii="Arial" w:cs="Arial" w:eastAsia="Arial" w:hAnsi="Arial"/>
                <w:sz w:val="16"/>
                <w:szCs w:val="16"/>
                <w:color w:val="auto"/>
              </w:rPr>
              <w:t>2,170,748</w:t>
            </w:r>
          </w:p>
        </w:tc>
        <w:tc>
          <w:tcPr>
            <w:tcW w:w="200" w:type="dxa"/>
            <w:vAlign w:val="bottom"/>
            <w:tcBorders>
              <w:bottom w:val="single" w:sz="8" w:color="4A7EBB"/>
            </w:tcBorders>
            <w:shd w:val="clear" w:color="auto" w:fill="F2F2F2"/>
          </w:tcPr>
          <w:p>
            <w:pPr>
              <w:spacing w:after="0"/>
              <w:rPr>
                <w:sz w:val="20"/>
                <w:szCs w:val="20"/>
                <w:color w:val="auto"/>
              </w:rPr>
            </w:pPr>
            <w:r>
              <w:rPr>
                <w:rFonts w:ascii="Arial" w:cs="Arial" w:eastAsia="Arial" w:hAnsi="Arial"/>
                <w:sz w:val="10"/>
                <w:szCs w:val="10"/>
                <w:color w:val="auto"/>
              </w:rPr>
              <w:t>(20)</w:t>
            </w:r>
          </w:p>
        </w:tc>
        <w:tc>
          <w:tcPr>
            <w:tcW w:w="1200" w:type="dxa"/>
            <w:vAlign w:val="bottom"/>
            <w:tcBorders>
              <w:bottom w:val="single" w:sz="8" w:color="4A7EBB"/>
            </w:tcBorders>
            <w:shd w:val="clear" w:color="auto" w:fill="F2F2F2"/>
          </w:tcPr>
          <w:p>
            <w:pPr>
              <w:jc w:val="right"/>
              <w:spacing w:after="0"/>
              <w:rPr>
                <w:sz w:val="20"/>
                <w:szCs w:val="20"/>
                <w:color w:val="auto"/>
              </w:rPr>
            </w:pPr>
            <w:r>
              <w:rPr>
                <w:rFonts w:ascii="Arial" w:cs="Arial" w:eastAsia="Arial" w:hAnsi="Arial"/>
                <w:sz w:val="16"/>
                <w:szCs w:val="16"/>
                <w:color w:val="auto"/>
              </w:rPr>
              <w:t>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-376555</wp:posOffset>
            </wp:positionV>
            <wp:extent cx="8890" cy="2489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890" cy="248920"/>
                    </a:xfrm>
                    <a:prstGeom prst="rect">
                      <a:avLst/>
                    </a:prstGeom>
                    <a:noFill/>
                  </pic:spPr>
                </pic:pic>
              </a:graphicData>
            </a:graphic>
          </wp:anchor>
        </w:drawing>
        <w:drawing>
          <wp:anchor simplePos="0" relativeHeight="251657728" behindDoc="1" locked="0" layoutInCell="0" allowOverlap="1">
            <wp:simplePos x="0" y="0"/>
            <wp:positionH relativeFrom="column">
              <wp:posOffset>4223385</wp:posOffset>
            </wp:positionH>
            <wp:positionV relativeFrom="paragraph">
              <wp:posOffset>-1233805</wp:posOffset>
            </wp:positionV>
            <wp:extent cx="8890" cy="2489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890" cy="248920"/>
                    </a:xfrm>
                    <a:prstGeom prst="rect">
                      <a:avLst/>
                    </a:prstGeom>
                    <a:noFill/>
                  </pic:spPr>
                </pic:pic>
              </a:graphicData>
            </a:graphic>
          </wp:anchor>
        </w:drawing>
        <w:drawing>
          <wp:anchor simplePos="0" relativeHeight="251657728" behindDoc="1" locked="0" layoutInCell="0" allowOverlap="1">
            <wp:simplePos x="0" y="0"/>
            <wp:positionH relativeFrom="column">
              <wp:posOffset>5535295</wp:posOffset>
            </wp:positionH>
            <wp:positionV relativeFrom="paragraph">
              <wp:posOffset>-3917315</wp:posOffset>
            </wp:positionV>
            <wp:extent cx="8255" cy="39179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255" cy="3917950"/>
                    </a:xfrm>
                    <a:prstGeom prst="rect">
                      <a:avLst/>
                    </a:prstGeom>
                    <a:noFill/>
                  </pic:spPr>
                </pic:pic>
              </a:graphicData>
            </a:graphic>
          </wp:anchor>
        </w:drawing>
        <w:drawing>
          <wp:anchor simplePos="0" relativeHeight="251657728" behindDoc="1" locked="0" layoutInCell="0" allowOverlap="1">
            <wp:simplePos x="0" y="0"/>
            <wp:positionH relativeFrom="column">
              <wp:posOffset>4223385</wp:posOffset>
            </wp:positionH>
            <wp:positionV relativeFrom="paragraph">
              <wp:posOffset>-3917315</wp:posOffset>
            </wp:positionV>
            <wp:extent cx="8890" cy="23234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890" cy="2323465"/>
                    </a:xfrm>
                    <a:prstGeom prst="rect">
                      <a:avLst/>
                    </a:prstGeom>
                    <a:noFill/>
                  </pic:spPr>
                </pic:pic>
              </a:graphicData>
            </a:graphic>
          </wp:anchor>
        </w:drawing>
      </w:r>
    </w:p>
    <w:p>
      <w:pPr>
        <w:spacing w:after="0" w:line="101"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color w:val="auto"/>
        </w:rPr>
        <w:t>*</w:t>
        <w:tab/>
        <w:t>Less than one percent</w:t>
      </w:r>
    </w:p>
    <w:p>
      <w:pPr>
        <w:spacing w:after="0" w:line="167" w:lineRule="exact"/>
        <w:rPr>
          <w:sz w:val="20"/>
          <w:szCs w:val="20"/>
          <w:color w:val="auto"/>
        </w:rPr>
      </w:pPr>
    </w:p>
    <w:p>
      <w:pPr>
        <w:ind w:left="340" w:hanging="332"/>
        <w:spacing w:after="0"/>
        <w:tabs>
          <w:tab w:leader="none" w:pos="340" w:val="left"/>
        </w:tabs>
        <w:numPr>
          <w:ilvl w:val="0"/>
          <w:numId w:val="42"/>
        </w:numPr>
        <w:rPr>
          <w:rFonts w:ascii="Arial" w:cs="Arial" w:eastAsia="Arial" w:hAnsi="Arial"/>
          <w:sz w:val="14"/>
          <w:szCs w:val="14"/>
          <w:color w:val="auto"/>
        </w:rPr>
      </w:pPr>
      <w:r>
        <w:rPr>
          <w:rFonts w:ascii="Arial" w:cs="Arial" w:eastAsia="Arial" w:hAnsi="Arial"/>
          <w:sz w:val="16"/>
          <w:szCs w:val="16"/>
          <w:color w:val="auto"/>
        </w:rPr>
        <w:t>Includes (i) 166,750 shares of Common Stock held by Goldfarb Family Partners, L.L.C., of which Morris Goldfarb is the sole Manager;</w:t>
      </w:r>
    </w:p>
    <w:p>
      <w:pPr>
        <w:spacing w:after="0" w:line="21" w:lineRule="exact"/>
        <w:rPr>
          <w:rFonts w:ascii="Arial" w:cs="Arial" w:eastAsia="Arial" w:hAnsi="Arial"/>
          <w:sz w:val="14"/>
          <w:szCs w:val="14"/>
          <w:color w:val="auto"/>
        </w:rPr>
      </w:pPr>
    </w:p>
    <w:p>
      <w:pPr>
        <w:jc w:val="both"/>
        <w:ind w:left="340" w:hanging="8"/>
        <w:spacing w:after="0" w:line="246" w:lineRule="auto"/>
        <w:tabs>
          <w:tab w:leader="none" w:pos="571" w:val="left"/>
        </w:tabs>
        <w:numPr>
          <w:ilvl w:val="1"/>
          <w:numId w:val="42"/>
        </w:numPr>
        <w:rPr>
          <w:rFonts w:ascii="Arial" w:cs="Arial" w:eastAsia="Arial" w:hAnsi="Arial"/>
          <w:sz w:val="16"/>
          <w:szCs w:val="16"/>
          <w:color w:val="auto"/>
        </w:rPr>
      </w:pPr>
      <w:r>
        <w:rPr>
          <w:rFonts w:ascii="Arial" w:cs="Arial" w:eastAsia="Arial" w:hAnsi="Arial"/>
          <w:sz w:val="16"/>
          <w:szCs w:val="16"/>
          <w:color w:val="auto"/>
        </w:rPr>
        <w:t>140,258 shares of Common Stock owned by The Morris and Arlene Goldfarb Family Foundation, Inc., of which Morris Goldfarb is the President and Treasurer; (iii) 3,988,081 shares of Common Stock owned jointly by Morris Goldfarb and his wife, Arlene Goldfarb;</w:t>
      </w:r>
    </w:p>
    <w:p>
      <w:pPr>
        <w:jc w:val="both"/>
        <w:ind w:left="340" w:hanging="8"/>
        <w:spacing w:after="0" w:line="251" w:lineRule="auto"/>
        <w:tabs>
          <w:tab w:leader="none" w:pos="620" w:val="left"/>
        </w:tabs>
        <w:numPr>
          <w:ilvl w:val="1"/>
          <w:numId w:val="43"/>
        </w:numPr>
        <w:rPr>
          <w:rFonts w:ascii="Arial" w:cs="Arial" w:eastAsia="Arial" w:hAnsi="Arial"/>
          <w:sz w:val="16"/>
          <w:szCs w:val="16"/>
          <w:color w:val="auto"/>
        </w:rPr>
      </w:pPr>
      <w:r>
        <w:rPr>
          <w:rFonts w:ascii="Arial" w:cs="Arial" w:eastAsia="Arial" w:hAnsi="Arial"/>
          <w:sz w:val="16"/>
          <w:szCs w:val="16"/>
          <w:color w:val="auto"/>
        </w:rPr>
        <w:t>29,666 shares of Common Stock owned by Arlene Goldfarb; (v) 200,000 shares of Common Stock held by The Morris Goldfarb 2012 Delaware Trust (Morris Goldfarb serves as a member of the Trust Committee of the Trust, which directs the Trustee’s decisions as to voting and disposition of the shares held in the Trust) and (vi) 200,000 shares of Common Stock held by The Arlene Goldfarb 2012 Delaware Trust (Arlene Goldfarb serves as a member of the Trust Committee of the Trust, which directs the Trustee’s decisions as to voting and disposition of the shares held in the Trust). The shares listed in the table include 104,180 and 234,405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279400</wp:posOffset>
            </wp:positionV>
            <wp:extent cx="629221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288925</wp:posOffset>
            </wp:positionH>
            <wp:positionV relativeFrom="paragraph">
              <wp:posOffset>330835</wp:posOffset>
            </wp:positionV>
            <wp:extent cx="265430" cy="1543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65430" cy="15430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ind w:left="280" w:hanging="271"/>
        <w:spacing w:after="0"/>
        <w:tabs>
          <w:tab w:leader="none" w:pos="280" w:val="left"/>
        </w:tabs>
        <w:numPr>
          <w:ilvl w:val="0"/>
          <w:numId w:val="44"/>
        </w:numPr>
        <w:rPr>
          <w:rFonts w:ascii="Arial" w:cs="Arial" w:eastAsia="Arial" w:hAnsi="Arial"/>
          <w:sz w:val="20"/>
          <w:szCs w:val="20"/>
          <w:b w:val="1"/>
          <w:bCs w:val="1"/>
          <w:color w:val="4A7EBB"/>
        </w:rPr>
      </w:pPr>
      <w:r>
        <w:rPr>
          <w:rFonts w:ascii="Arial" w:cs="Arial" w:eastAsia="Arial" w:hAnsi="Arial"/>
          <w:sz w:val="20"/>
          <w:szCs w:val="20"/>
          <w:color w:val="80808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356235</wp:posOffset>
            </wp:positionV>
            <wp:extent cx="629221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BENEFICIAL OWNERSHIP OF COMMON STOCK BY CERTAIN STOCKHOLDERS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17780</wp:posOffset>
            </wp:positionV>
            <wp:extent cx="62490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249035" cy="8255"/>
                    </a:xfrm>
                    <a:prstGeom prst="rect">
                      <a:avLst/>
                    </a:prstGeom>
                    <a:noFill/>
                  </pic:spPr>
                </pic:pic>
              </a:graphicData>
            </a:graphic>
          </wp:anchor>
        </w:drawing>
      </w:r>
    </w:p>
    <w:p>
      <w:pPr>
        <w:spacing w:after="0" w:line="223" w:lineRule="exact"/>
        <w:rPr>
          <w:sz w:val="20"/>
          <w:szCs w:val="20"/>
          <w:color w:val="auto"/>
        </w:rPr>
      </w:pPr>
    </w:p>
    <w:p>
      <w:pPr>
        <w:jc w:val="both"/>
        <w:ind w:left="340"/>
        <w:spacing w:after="0" w:line="254" w:lineRule="auto"/>
        <w:rPr>
          <w:sz w:val="20"/>
          <w:szCs w:val="20"/>
          <w:color w:val="auto"/>
        </w:rPr>
      </w:pPr>
      <w:r>
        <w:rPr>
          <w:rFonts w:ascii="Arial" w:cs="Arial" w:eastAsia="Arial" w:hAnsi="Arial"/>
          <w:sz w:val="16"/>
          <w:szCs w:val="16"/>
          <w:color w:val="auto"/>
        </w:rPr>
        <w:t>shares of Common Stock pursuant to RSU and PSU awards, respectively, which will vest within 60 days of April 16, 2026. In addition to the shares listed in the table, Morris Goldfarb has the right to receive (i) an aggregate of 173,119 shares of Common Stock pursuant to RSU awards, subject to the satisfaction of required time vesting periods; and (ii) an aggregate of 959,680 shares of Common Stock pursuant to PSU awards, subject to the satisfaction of performance conditions and required time vesting periods. The number of shares earned pursuant to PSU awards could increase or decrease depending upon actual performance achieved relative to performance targets.</w:t>
      </w:r>
    </w:p>
    <w:p>
      <w:pPr>
        <w:spacing w:after="0" w:line="128" w:lineRule="exact"/>
        <w:rPr>
          <w:sz w:val="20"/>
          <w:szCs w:val="20"/>
          <w:color w:val="auto"/>
        </w:rPr>
      </w:pPr>
    </w:p>
    <w:p>
      <w:pPr>
        <w:jc w:val="both"/>
        <w:ind w:left="340" w:hanging="332"/>
        <w:spacing w:after="0" w:line="254" w:lineRule="auto"/>
        <w:tabs>
          <w:tab w:leader="none" w:pos="340" w:val="left"/>
        </w:tabs>
        <w:numPr>
          <w:ilvl w:val="0"/>
          <w:numId w:val="45"/>
        </w:numPr>
        <w:rPr>
          <w:rFonts w:ascii="Arial" w:cs="Arial" w:eastAsia="Arial" w:hAnsi="Arial"/>
          <w:sz w:val="14"/>
          <w:szCs w:val="14"/>
          <w:color w:val="auto"/>
        </w:rPr>
      </w:pPr>
      <w:r>
        <w:rPr>
          <w:rFonts w:ascii="Arial" w:cs="Arial" w:eastAsia="Arial" w:hAnsi="Arial"/>
          <w:sz w:val="16"/>
          <w:szCs w:val="16"/>
          <w:color w:val="auto"/>
        </w:rPr>
        <w:t>Includes 86,816 and 130,224 shares of Common Stock pursuant to RSU and PSU awards, respectively, which will vest within 60 days of April 16, 2026. In addition to the shares listed in the table, Sammy Aaron has the right to receive (i) an aggregate of 129,840 shares of Common Stock pursuant to RSU awards, subject to the satisfaction of required time vesting periods; and (ii) an aggregate of 194,760 shares of Common Stock pursuant to PSU awards, subject to the satisfaction of performance conditions and required time vesting periods. The number of shares earned pursuant to PSU awards could increase or decrease depending upon actual performance achieved relative to performance targets.</w:t>
      </w:r>
    </w:p>
    <w:p>
      <w:pPr>
        <w:spacing w:after="0" w:line="127" w:lineRule="exact"/>
        <w:rPr>
          <w:rFonts w:ascii="Arial" w:cs="Arial" w:eastAsia="Arial" w:hAnsi="Arial"/>
          <w:sz w:val="14"/>
          <w:szCs w:val="14"/>
          <w:color w:val="auto"/>
        </w:rPr>
      </w:pPr>
    </w:p>
    <w:p>
      <w:pPr>
        <w:ind w:left="340" w:hanging="332"/>
        <w:spacing w:after="0"/>
        <w:tabs>
          <w:tab w:leader="none" w:pos="340" w:val="left"/>
        </w:tabs>
        <w:numPr>
          <w:ilvl w:val="0"/>
          <w:numId w:val="45"/>
        </w:numPr>
        <w:rPr>
          <w:rFonts w:ascii="Arial" w:cs="Arial" w:eastAsia="Arial" w:hAnsi="Arial"/>
          <w:sz w:val="14"/>
          <w:szCs w:val="14"/>
          <w:color w:val="auto"/>
        </w:rPr>
      </w:pPr>
      <w:r>
        <w:rPr>
          <w:rFonts w:ascii="Arial" w:cs="Arial" w:eastAsia="Arial" w:hAnsi="Arial"/>
          <w:sz w:val="16"/>
          <w:szCs w:val="16"/>
          <w:color w:val="auto"/>
        </w:rPr>
        <w:t>Includes 6,823 shares of Common Stock pursuant to RSU awards, which will vest within 60 days of April 16, 2026.</w:t>
      </w:r>
    </w:p>
    <w:p>
      <w:pPr>
        <w:spacing w:after="0" w:line="167" w:lineRule="exact"/>
        <w:rPr>
          <w:rFonts w:ascii="Arial" w:cs="Arial" w:eastAsia="Arial" w:hAnsi="Arial"/>
          <w:sz w:val="14"/>
          <w:szCs w:val="14"/>
          <w:color w:val="auto"/>
        </w:rPr>
      </w:pPr>
    </w:p>
    <w:p>
      <w:pPr>
        <w:ind w:left="340" w:hanging="332"/>
        <w:spacing w:after="0"/>
        <w:tabs>
          <w:tab w:leader="none" w:pos="340" w:val="left"/>
        </w:tabs>
        <w:numPr>
          <w:ilvl w:val="0"/>
          <w:numId w:val="45"/>
        </w:numPr>
        <w:rPr>
          <w:rFonts w:ascii="Arial" w:cs="Arial" w:eastAsia="Arial" w:hAnsi="Arial"/>
          <w:sz w:val="14"/>
          <w:szCs w:val="14"/>
          <w:color w:val="auto"/>
        </w:rPr>
      </w:pPr>
      <w:r>
        <w:rPr>
          <w:rFonts w:ascii="Arial" w:cs="Arial" w:eastAsia="Arial" w:hAnsi="Arial"/>
          <w:sz w:val="16"/>
          <w:szCs w:val="16"/>
          <w:color w:val="auto"/>
        </w:rPr>
        <w:t>Includes 6,117 shares of Common Stock pursuant to RSU awards, which will vest within 60 days of April 16, 2026.</w:t>
      </w:r>
    </w:p>
    <w:p>
      <w:pPr>
        <w:spacing w:after="0" w:line="167" w:lineRule="exact"/>
        <w:rPr>
          <w:rFonts w:ascii="Arial" w:cs="Arial" w:eastAsia="Arial" w:hAnsi="Arial"/>
          <w:sz w:val="14"/>
          <w:szCs w:val="14"/>
          <w:color w:val="auto"/>
        </w:rPr>
      </w:pPr>
    </w:p>
    <w:p>
      <w:pPr>
        <w:jc w:val="both"/>
        <w:ind w:left="340" w:hanging="332"/>
        <w:spacing w:after="0" w:line="250" w:lineRule="auto"/>
        <w:tabs>
          <w:tab w:leader="none" w:pos="340" w:val="left"/>
        </w:tabs>
        <w:numPr>
          <w:ilvl w:val="0"/>
          <w:numId w:val="45"/>
        </w:numPr>
        <w:rPr>
          <w:rFonts w:ascii="Arial" w:cs="Arial" w:eastAsia="Arial" w:hAnsi="Arial"/>
          <w:sz w:val="14"/>
          <w:szCs w:val="14"/>
          <w:color w:val="auto"/>
        </w:rPr>
      </w:pPr>
      <w:r>
        <w:rPr>
          <w:rFonts w:ascii="Arial" w:cs="Arial" w:eastAsia="Arial" w:hAnsi="Arial"/>
          <w:sz w:val="16"/>
          <w:szCs w:val="16"/>
          <w:color w:val="auto"/>
        </w:rPr>
        <w:t>Includes (i) 746,316 shares of Common Stock held by Jeffrey and Stacey Goldfarb, Jeffrey Goldfarb’s wife, as joint tenants; (ii) 47,170 shares of Common Stock owned by JARS Portfolio LLC; (iii) 24,896 shares of Common Stock owned by the Amanda Julie Goldfarb Trust 2007 of which Jeffrey Goldfarb and his wife are co-trustees; and (iv) 2,200 shares of Common Stock owned by the Ryan Gabriel Goldfarb Trust 2009 of which Jeffrey Goldfarb and his wife are co-trustees. The shares listed in the table include 43,408 and 65,112 shares of Common Stock pursuant to RSU and PSU awards, respectively, which will vest within 60 days of April 16, 2026. In addition to the shares listed in the table, Jeffrey Goldfarb has the right to receive (i) an aggregate of 247,087 shares of Common Stock pursuant to RSU awards, subject to the satisfaction of required time vesting periods; and (ii) an aggregate of 75,739 shares of Common Stock pursuant to PSU awards, subject to the satisfaction of performance conditions and required time vesting periods. The number of shares earned pursuant to PSU awards could increase or decrease depending upon actual performance achieved relative to performance targets.</w:t>
      </w:r>
    </w:p>
    <w:p>
      <w:pPr>
        <w:spacing w:after="0" w:line="135" w:lineRule="exact"/>
        <w:rPr>
          <w:rFonts w:ascii="Arial" w:cs="Arial" w:eastAsia="Arial" w:hAnsi="Arial"/>
          <w:sz w:val="14"/>
          <w:szCs w:val="14"/>
          <w:color w:val="auto"/>
        </w:rPr>
      </w:pPr>
    </w:p>
    <w:p>
      <w:pPr>
        <w:ind w:left="340" w:hanging="332"/>
        <w:spacing w:after="0"/>
        <w:tabs>
          <w:tab w:leader="none" w:pos="340" w:val="left"/>
        </w:tabs>
        <w:numPr>
          <w:ilvl w:val="0"/>
          <w:numId w:val="45"/>
        </w:numPr>
        <w:rPr>
          <w:rFonts w:ascii="Arial" w:cs="Arial" w:eastAsia="Arial" w:hAnsi="Arial"/>
          <w:sz w:val="14"/>
          <w:szCs w:val="14"/>
          <w:color w:val="auto"/>
        </w:rPr>
      </w:pPr>
      <w:r>
        <w:rPr>
          <w:rFonts w:ascii="Arial" w:cs="Arial" w:eastAsia="Arial" w:hAnsi="Arial"/>
          <w:sz w:val="16"/>
          <w:szCs w:val="16"/>
          <w:color w:val="auto"/>
        </w:rPr>
        <w:t>Includes 6,117 shares of Common Stock pursuant to RSU awards, which will vest within 60 days of April 16, 2026.</w:t>
      </w:r>
    </w:p>
    <w:p>
      <w:pPr>
        <w:spacing w:after="0" w:line="167" w:lineRule="exact"/>
        <w:rPr>
          <w:rFonts w:ascii="Arial" w:cs="Arial" w:eastAsia="Arial" w:hAnsi="Arial"/>
          <w:sz w:val="14"/>
          <w:szCs w:val="14"/>
          <w:color w:val="auto"/>
        </w:rPr>
      </w:pPr>
    </w:p>
    <w:p>
      <w:pPr>
        <w:ind w:left="340" w:hanging="332"/>
        <w:spacing w:after="0"/>
        <w:tabs>
          <w:tab w:leader="none" w:pos="340" w:val="left"/>
        </w:tabs>
        <w:numPr>
          <w:ilvl w:val="0"/>
          <w:numId w:val="45"/>
        </w:numPr>
        <w:rPr>
          <w:rFonts w:ascii="Arial" w:cs="Arial" w:eastAsia="Arial" w:hAnsi="Arial"/>
          <w:sz w:val="14"/>
          <w:szCs w:val="14"/>
          <w:color w:val="auto"/>
        </w:rPr>
      </w:pPr>
      <w:r>
        <w:rPr>
          <w:rFonts w:ascii="Arial" w:cs="Arial" w:eastAsia="Arial" w:hAnsi="Arial"/>
          <w:sz w:val="16"/>
          <w:szCs w:val="16"/>
          <w:color w:val="auto"/>
        </w:rPr>
        <w:t>Includes 6,117 shares of Common Stock pursuant to RSU awards, which will vest within 60 days of April 16, 2026.</w:t>
      </w:r>
    </w:p>
    <w:p>
      <w:pPr>
        <w:spacing w:after="0" w:line="167" w:lineRule="exact"/>
        <w:rPr>
          <w:rFonts w:ascii="Arial" w:cs="Arial" w:eastAsia="Arial" w:hAnsi="Arial"/>
          <w:sz w:val="14"/>
          <w:szCs w:val="14"/>
          <w:color w:val="auto"/>
        </w:rPr>
      </w:pPr>
    </w:p>
    <w:p>
      <w:pPr>
        <w:ind w:left="340" w:hanging="332"/>
        <w:spacing w:after="0"/>
        <w:tabs>
          <w:tab w:leader="none" w:pos="340" w:val="left"/>
        </w:tabs>
        <w:numPr>
          <w:ilvl w:val="0"/>
          <w:numId w:val="45"/>
        </w:numPr>
        <w:rPr>
          <w:rFonts w:ascii="Arial" w:cs="Arial" w:eastAsia="Arial" w:hAnsi="Arial"/>
          <w:sz w:val="14"/>
          <w:szCs w:val="14"/>
          <w:color w:val="auto"/>
        </w:rPr>
      </w:pPr>
      <w:r>
        <w:rPr>
          <w:rFonts w:ascii="Arial" w:cs="Arial" w:eastAsia="Arial" w:hAnsi="Arial"/>
          <w:sz w:val="16"/>
          <w:szCs w:val="16"/>
          <w:color w:val="auto"/>
        </w:rPr>
        <w:t>Includes 6,117 shares of Common Stock pursuant to RSU awards, which will vest within 60 days of April 16, 2026.</w:t>
      </w:r>
    </w:p>
    <w:p>
      <w:pPr>
        <w:spacing w:after="0" w:line="167" w:lineRule="exact"/>
        <w:rPr>
          <w:rFonts w:ascii="Arial" w:cs="Arial" w:eastAsia="Arial" w:hAnsi="Arial"/>
          <w:sz w:val="14"/>
          <w:szCs w:val="14"/>
          <w:color w:val="auto"/>
        </w:rPr>
      </w:pPr>
    </w:p>
    <w:p>
      <w:pPr>
        <w:ind w:left="340" w:hanging="332"/>
        <w:spacing w:after="0"/>
        <w:tabs>
          <w:tab w:leader="none" w:pos="340" w:val="left"/>
        </w:tabs>
        <w:numPr>
          <w:ilvl w:val="0"/>
          <w:numId w:val="45"/>
        </w:numPr>
        <w:rPr>
          <w:rFonts w:ascii="Arial" w:cs="Arial" w:eastAsia="Arial" w:hAnsi="Arial"/>
          <w:sz w:val="14"/>
          <w:szCs w:val="14"/>
          <w:color w:val="auto"/>
        </w:rPr>
      </w:pPr>
      <w:r>
        <w:rPr>
          <w:rFonts w:ascii="Arial" w:cs="Arial" w:eastAsia="Arial" w:hAnsi="Arial"/>
          <w:sz w:val="16"/>
          <w:szCs w:val="16"/>
          <w:color w:val="auto"/>
        </w:rPr>
        <w:t>Includes 6,117 shares of Common Stock pursuant to RSU awards, which will vest within 60 days of April 16, 2026.</w:t>
      </w:r>
    </w:p>
    <w:p>
      <w:pPr>
        <w:spacing w:after="0" w:line="167" w:lineRule="exact"/>
        <w:rPr>
          <w:rFonts w:ascii="Arial" w:cs="Arial" w:eastAsia="Arial" w:hAnsi="Arial"/>
          <w:sz w:val="14"/>
          <w:szCs w:val="14"/>
          <w:color w:val="auto"/>
        </w:rPr>
      </w:pPr>
    </w:p>
    <w:p>
      <w:pPr>
        <w:ind w:left="340" w:hanging="332"/>
        <w:spacing w:after="0"/>
        <w:tabs>
          <w:tab w:leader="none" w:pos="340" w:val="left"/>
        </w:tabs>
        <w:numPr>
          <w:ilvl w:val="0"/>
          <w:numId w:val="45"/>
        </w:numPr>
        <w:rPr>
          <w:rFonts w:ascii="Arial" w:cs="Arial" w:eastAsia="Arial" w:hAnsi="Arial"/>
          <w:sz w:val="14"/>
          <w:szCs w:val="14"/>
          <w:color w:val="auto"/>
        </w:rPr>
      </w:pPr>
      <w:r>
        <w:rPr>
          <w:rFonts w:ascii="Arial" w:cs="Arial" w:eastAsia="Arial" w:hAnsi="Arial"/>
          <w:sz w:val="16"/>
          <w:szCs w:val="16"/>
          <w:color w:val="auto"/>
        </w:rPr>
        <w:t>Includes 7,294 shares of Common Stock pursuant to RSU awards, which will vest within 60 days of April 16, 2026.</w:t>
      </w:r>
    </w:p>
    <w:p>
      <w:pPr>
        <w:spacing w:after="0" w:line="167" w:lineRule="exact"/>
        <w:rPr>
          <w:rFonts w:ascii="Arial" w:cs="Arial" w:eastAsia="Arial" w:hAnsi="Arial"/>
          <w:sz w:val="14"/>
          <w:szCs w:val="14"/>
          <w:color w:val="auto"/>
        </w:rPr>
      </w:pPr>
    </w:p>
    <w:p>
      <w:pPr>
        <w:ind w:left="340" w:hanging="332"/>
        <w:spacing w:after="0"/>
        <w:tabs>
          <w:tab w:leader="none" w:pos="340" w:val="left"/>
        </w:tabs>
        <w:numPr>
          <w:ilvl w:val="0"/>
          <w:numId w:val="45"/>
        </w:numPr>
        <w:rPr>
          <w:rFonts w:ascii="Arial" w:cs="Arial" w:eastAsia="Arial" w:hAnsi="Arial"/>
          <w:sz w:val="14"/>
          <w:szCs w:val="14"/>
          <w:color w:val="auto"/>
        </w:rPr>
      </w:pPr>
      <w:r>
        <w:rPr>
          <w:rFonts w:ascii="Arial" w:cs="Arial" w:eastAsia="Arial" w:hAnsi="Arial"/>
          <w:sz w:val="16"/>
          <w:szCs w:val="16"/>
          <w:color w:val="auto"/>
        </w:rPr>
        <w:t>Includes 6,117 shares of Common Stock pursuant to RSU awards, which will vest within 60 days of April 16, 2026.</w:t>
      </w:r>
    </w:p>
    <w:p>
      <w:pPr>
        <w:spacing w:after="0" w:line="167" w:lineRule="exact"/>
        <w:rPr>
          <w:rFonts w:ascii="Arial" w:cs="Arial" w:eastAsia="Arial" w:hAnsi="Arial"/>
          <w:sz w:val="14"/>
          <w:szCs w:val="14"/>
          <w:color w:val="auto"/>
        </w:rPr>
      </w:pPr>
    </w:p>
    <w:p>
      <w:pPr>
        <w:jc w:val="both"/>
        <w:ind w:left="340" w:hanging="332"/>
        <w:spacing w:after="0" w:line="259" w:lineRule="auto"/>
        <w:tabs>
          <w:tab w:leader="none" w:pos="340" w:val="left"/>
        </w:tabs>
        <w:numPr>
          <w:ilvl w:val="0"/>
          <w:numId w:val="45"/>
        </w:numPr>
        <w:rPr>
          <w:rFonts w:ascii="Arial" w:cs="Arial" w:eastAsia="Arial" w:hAnsi="Arial"/>
          <w:sz w:val="14"/>
          <w:szCs w:val="14"/>
          <w:color w:val="auto"/>
        </w:rPr>
      </w:pPr>
      <w:r>
        <w:rPr>
          <w:rFonts w:ascii="Arial" w:cs="Arial" w:eastAsia="Arial" w:hAnsi="Arial"/>
          <w:sz w:val="16"/>
          <w:szCs w:val="16"/>
          <w:color w:val="auto"/>
        </w:rPr>
        <w:t>Includes (i) 8,470 shares of Common Stock pursuant to RSU awards, which will vest within 60 days of April 16, 2026, (ii) 1,268 shares of Common Stock owned by the Elizabeth White Grantor Trust, of which Richard White is the trustee and over which he has investment control and (iii) 1,268 shares of Common Stock owned by the Alexandra White Grantor Trust, of which Richard White is the trustee and over which he has investment control.</w:t>
      </w:r>
    </w:p>
    <w:p>
      <w:pPr>
        <w:spacing w:after="0" w:line="123" w:lineRule="exact"/>
        <w:rPr>
          <w:rFonts w:ascii="Arial" w:cs="Arial" w:eastAsia="Arial" w:hAnsi="Arial"/>
          <w:sz w:val="14"/>
          <w:szCs w:val="14"/>
          <w:color w:val="auto"/>
        </w:rPr>
      </w:pPr>
    </w:p>
    <w:p>
      <w:pPr>
        <w:ind w:left="340" w:hanging="332"/>
        <w:spacing w:after="0"/>
        <w:tabs>
          <w:tab w:leader="none" w:pos="340" w:val="left"/>
        </w:tabs>
        <w:numPr>
          <w:ilvl w:val="0"/>
          <w:numId w:val="45"/>
        </w:numPr>
        <w:rPr>
          <w:rFonts w:ascii="Arial" w:cs="Arial" w:eastAsia="Arial" w:hAnsi="Arial"/>
          <w:sz w:val="14"/>
          <w:szCs w:val="14"/>
          <w:color w:val="auto"/>
        </w:rPr>
      </w:pPr>
      <w:r>
        <w:rPr>
          <w:rFonts w:ascii="Arial" w:cs="Arial" w:eastAsia="Arial" w:hAnsi="Arial"/>
          <w:sz w:val="16"/>
          <w:szCs w:val="16"/>
          <w:color w:val="auto"/>
        </w:rPr>
        <w:t>Includes 6,117 shares of Common Stock pursuant to RSU awards, which will vest within 60 days of April 16, 2026.</w:t>
      </w:r>
    </w:p>
    <w:p>
      <w:pPr>
        <w:spacing w:after="0" w:line="167" w:lineRule="exact"/>
        <w:rPr>
          <w:rFonts w:ascii="Arial" w:cs="Arial" w:eastAsia="Arial" w:hAnsi="Arial"/>
          <w:sz w:val="14"/>
          <w:szCs w:val="14"/>
          <w:color w:val="auto"/>
        </w:rPr>
      </w:pPr>
    </w:p>
    <w:p>
      <w:pPr>
        <w:jc w:val="both"/>
        <w:ind w:left="340" w:hanging="332"/>
        <w:spacing w:after="0" w:line="254" w:lineRule="auto"/>
        <w:tabs>
          <w:tab w:leader="none" w:pos="340" w:val="left"/>
        </w:tabs>
        <w:numPr>
          <w:ilvl w:val="0"/>
          <w:numId w:val="45"/>
        </w:numPr>
        <w:rPr>
          <w:rFonts w:ascii="Arial" w:cs="Arial" w:eastAsia="Arial" w:hAnsi="Arial"/>
          <w:sz w:val="14"/>
          <w:szCs w:val="14"/>
          <w:color w:val="auto"/>
        </w:rPr>
      </w:pPr>
      <w:r>
        <w:rPr>
          <w:rFonts w:ascii="Arial" w:cs="Arial" w:eastAsia="Arial" w:hAnsi="Arial"/>
          <w:sz w:val="16"/>
          <w:szCs w:val="16"/>
          <w:color w:val="auto"/>
        </w:rPr>
        <w:t>Includes 14,469 and 21,704 shares of Common Stock pursuant to RSU and PSU awards, respectively, which will vest within 60 days of April 16, 2026. In addition to the shares listed in the table, Neal Nackman has the right to receive (i) an aggregate of 17,164 shares of Common Stock pursuant to RSU awards, subject to the satisfaction of required time vesting periods; and (ii) an aggregate of 17,164 shares of Common Stock pursuant to PSU awards, subject to the satisfaction of performance conditions and required time vesting periods. The number of shares earned pursuant to PSU awards could increase or decrease depending upon actual performance achieved relative to performance targets.</w:t>
      </w:r>
    </w:p>
    <w:p>
      <w:pPr>
        <w:spacing w:after="0" w:line="154" w:lineRule="exact"/>
        <w:rPr>
          <w:rFonts w:ascii="Arial" w:cs="Arial" w:eastAsia="Arial" w:hAnsi="Arial"/>
          <w:sz w:val="14"/>
          <w:szCs w:val="14"/>
          <w:color w:val="auto"/>
        </w:rPr>
      </w:pPr>
    </w:p>
    <w:p>
      <w:pPr>
        <w:jc w:val="both"/>
        <w:ind w:left="340" w:hanging="332"/>
        <w:spacing w:after="0" w:line="259" w:lineRule="auto"/>
        <w:tabs>
          <w:tab w:leader="none" w:pos="340" w:val="left"/>
        </w:tabs>
        <w:numPr>
          <w:ilvl w:val="0"/>
          <w:numId w:val="45"/>
        </w:numPr>
        <w:rPr>
          <w:rFonts w:ascii="Arial" w:cs="Arial" w:eastAsia="Arial" w:hAnsi="Arial"/>
          <w:sz w:val="14"/>
          <w:szCs w:val="14"/>
          <w:color w:val="auto"/>
        </w:rPr>
      </w:pPr>
      <w:r>
        <w:rPr>
          <w:rFonts w:ascii="Arial" w:cs="Arial" w:eastAsia="Arial" w:hAnsi="Arial"/>
          <w:sz w:val="16"/>
          <w:szCs w:val="16"/>
          <w:color w:val="auto"/>
        </w:rPr>
        <w:t>Dana Perlman has the right to receive (i) an aggregate of 84,386 shares of Common Stock pursuant to RSU awards, subject to the satisfaction of required time vesting periods; and (ii) an aggregate of 11,223 shares of Common Stock pursuant to PSU awards, subject to the satisfaction of performance conditions and required time vesting periods. The number of shares earned pursuant to PSU awards could increase or decrease depending upon actual performance achieved relative to performance targets.</w:t>
      </w:r>
    </w:p>
    <w:p>
      <w:pPr>
        <w:spacing w:after="0" w:line="150" w:lineRule="exact"/>
        <w:rPr>
          <w:rFonts w:ascii="Arial" w:cs="Arial" w:eastAsia="Arial" w:hAnsi="Arial"/>
          <w:sz w:val="14"/>
          <w:szCs w:val="14"/>
          <w:color w:val="auto"/>
        </w:rPr>
      </w:pPr>
    </w:p>
    <w:p>
      <w:pPr>
        <w:jc w:val="both"/>
        <w:ind w:left="340" w:hanging="332"/>
        <w:spacing w:after="0" w:line="266" w:lineRule="auto"/>
        <w:tabs>
          <w:tab w:leader="none" w:pos="340" w:val="left"/>
        </w:tabs>
        <w:numPr>
          <w:ilvl w:val="0"/>
          <w:numId w:val="45"/>
        </w:numPr>
        <w:rPr>
          <w:rFonts w:ascii="Arial" w:cs="Arial" w:eastAsia="Arial" w:hAnsi="Arial"/>
          <w:sz w:val="14"/>
          <w:szCs w:val="14"/>
          <w:color w:val="auto"/>
        </w:rPr>
      </w:pPr>
      <w:r>
        <w:rPr>
          <w:rFonts w:ascii="Arial" w:cs="Arial" w:eastAsia="Arial" w:hAnsi="Arial"/>
          <w:sz w:val="16"/>
          <w:szCs w:val="16"/>
          <w:color w:val="auto"/>
        </w:rPr>
        <w:t>Includes 314,279 and 451,445 shares of Common Stock pursuant to RSU and PSU awards, respectively, which will vest within 60 days of April 16, 2026. In addition to the shares listed in the table, all directors and officers as a group have the right to receive (i) an aggregate of 651,596 shares pursuant to RSU awards, subject to the satisfaction of required time vesting periods; and (ii)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271780</wp:posOffset>
            </wp:positionV>
            <wp:extent cx="629221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ind w:left="7560"/>
        <w:spacing w:after="0"/>
        <w:rPr>
          <w:sz w:val="20"/>
          <w:szCs w:val="20"/>
          <w:color w:val="auto"/>
        </w:rPr>
      </w:pPr>
      <w:r>
        <w:rPr>
          <w:rFonts w:ascii="Arial" w:cs="Arial" w:eastAsia="Arial" w:hAnsi="Arial"/>
          <w:sz w:val="16"/>
          <w:szCs w:val="16"/>
          <w:color w:val="auto"/>
        </w:rPr>
        <w:t xml:space="preserve">2026 PROXY STATEMENT </w:t>
      </w:r>
      <w:r>
        <w:rPr>
          <w:rFonts w:ascii="Arial" w:cs="Arial" w:eastAsia="Arial" w:hAnsi="Arial"/>
          <w:sz w:val="19"/>
          <w:szCs w:val="19"/>
          <w:color w:val="808080"/>
        </w:rPr>
        <w:t>/</w:t>
      </w:r>
      <w:r>
        <w:rPr>
          <w:rFonts w:ascii="Arial" w:cs="Arial" w:eastAsia="Arial" w:hAnsi="Arial"/>
          <w:sz w:val="16"/>
          <w:szCs w:val="16"/>
          <w:color w:val="auto"/>
        </w:rPr>
        <w:t xml:space="preserve"> </w:t>
      </w:r>
      <w:r>
        <w:rPr>
          <w:rFonts w:ascii="Arial" w:cs="Arial" w:eastAsia="Arial" w:hAnsi="Arial"/>
          <w:sz w:val="19"/>
          <w:szCs w:val="19"/>
          <w:b w:val="1"/>
          <w:bCs w:val="1"/>
          <w:color w:val="4A7EBB"/>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365125</wp:posOffset>
            </wp:positionV>
            <wp:extent cx="629221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BENEFICIAL OWNERSHIP OF COMMON STOCK BY CERTAIN STOCKHOLDERS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17780</wp:posOffset>
            </wp:positionV>
            <wp:extent cx="624903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249035" cy="8255"/>
                    </a:xfrm>
                    <a:prstGeom prst="rect">
                      <a:avLst/>
                    </a:prstGeom>
                    <a:noFill/>
                  </pic:spPr>
                </pic:pic>
              </a:graphicData>
            </a:graphic>
          </wp:anchor>
        </w:drawing>
      </w:r>
    </w:p>
    <w:p>
      <w:pPr>
        <w:spacing w:after="0" w:line="223" w:lineRule="exact"/>
        <w:rPr>
          <w:sz w:val="20"/>
          <w:szCs w:val="20"/>
          <w:color w:val="auto"/>
        </w:rPr>
      </w:pPr>
    </w:p>
    <w:p>
      <w:pPr>
        <w:jc w:val="both"/>
        <w:ind w:left="340"/>
        <w:spacing w:after="0" w:line="266" w:lineRule="auto"/>
        <w:rPr>
          <w:sz w:val="20"/>
          <w:szCs w:val="20"/>
          <w:color w:val="auto"/>
        </w:rPr>
      </w:pPr>
      <w:r>
        <w:rPr>
          <w:rFonts w:ascii="Arial" w:cs="Arial" w:eastAsia="Arial" w:hAnsi="Arial"/>
          <w:sz w:val="16"/>
          <w:szCs w:val="16"/>
          <w:color w:val="auto"/>
        </w:rPr>
        <w:t>aggregate of 1,258,566 shares of Common Stock pursuant to PSU awards, subject to the satisfaction of performance conditions and required time vesting periods. The number of shares earned pursuant to PSU awards could increase or decrease depending upon actual performance achieved relative to performance targets.</w:t>
      </w:r>
    </w:p>
    <w:p>
      <w:pPr>
        <w:spacing w:after="0" w:line="117" w:lineRule="exact"/>
        <w:rPr>
          <w:sz w:val="20"/>
          <w:szCs w:val="20"/>
          <w:color w:val="auto"/>
        </w:rPr>
      </w:pPr>
    </w:p>
    <w:p>
      <w:pPr>
        <w:jc w:val="both"/>
        <w:ind w:left="340" w:hanging="332"/>
        <w:spacing w:after="0" w:line="266" w:lineRule="auto"/>
        <w:tabs>
          <w:tab w:leader="none" w:pos="340" w:val="left"/>
        </w:tabs>
        <w:numPr>
          <w:ilvl w:val="0"/>
          <w:numId w:val="46"/>
        </w:numPr>
        <w:rPr>
          <w:rFonts w:ascii="Arial" w:cs="Arial" w:eastAsia="Arial" w:hAnsi="Arial"/>
          <w:sz w:val="14"/>
          <w:szCs w:val="14"/>
          <w:color w:val="auto"/>
        </w:rPr>
      </w:pPr>
      <w:r>
        <w:rPr>
          <w:rFonts w:ascii="Arial" w:cs="Arial" w:eastAsia="Arial" w:hAnsi="Arial"/>
          <w:sz w:val="16"/>
          <w:szCs w:val="16"/>
          <w:color w:val="auto"/>
        </w:rPr>
        <w:t>Information is derived from the Schedule 13G/A filed by BlackRock, Inc. (“BlackRock”) with the Securities and Exchange Commission on April 28, 2025. BlackRock has sole voting power with respect to 5,814,204 of such shares and sole dispositive power with respect to 5,891,224 of such shares. The address for BlackRock is 50 Hudson Yards, New York, New York 10001.</w:t>
      </w:r>
    </w:p>
    <w:p>
      <w:pPr>
        <w:spacing w:after="0" w:line="117" w:lineRule="exact"/>
        <w:rPr>
          <w:rFonts w:ascii="Arial" w:cs="Arial" w:eastAsia="Arial" w:hAnsi="Arial"/>
          <w:sz w:val="14"/>
          <w:szCs w:val="14"/>
          <w:color w:val="auto"/>
        </w:rPr>
      </w:pPr>
    </w:p>
    <w:p>
      <w:pPr>
        <w:jc w:val="both"/>
        <w:ind w:left="340" w:hanging="332"/>
        <w:spacing w:after="0" w:line="252" w:lineRule="auto"/>
        <w:tabs>
          <w:tab w:leader="none" w:pos="340" w:val="left"/>
        </w:tabs>
        <w:numPr>
          <w:ilvl w:val="0"/>
          <w:numId w:val="46"/>
        </w:numPr>
        <w:rPr>
          <w:rFonts w:ascii="Arial" w:cs="Arial" w:eastAsia="Arial" w:hAnsi="Arial"/>
          <w:sz w:val="14"/>
          <w:szCs w:val="14"/>
          <w:color w:val="auto"/>
        </w:rPr>
      </w:pPr>
      <w:r>
        <w:rPr>
          <w:rFonts w:ascii="Arial" w:cs="Arial" w:eastAsia="Arial" w:hAnsi="Arial"/>
          <w:sz w:val="16"/>
          <w:szCs w:val="16"/>
          <w:color w:val="auto"/>
        </w:rPr>
        <w:t>Information is derived from the Schedule 13G/A filed by The Vanguard Group, Inc. (“Vanguard”) with the Securities and Exchange Commission on February 13, 2024. Vanguard has shared voting power with respect to 63,934 of such shares, sole dispositive power with respect to 4,649,624 of such shares and shared dispositive power with respect to 104,511 of such shares. Vanguard subsequently filed a Schedule 13G/A with the SEC on March 26, 2026, indicating that on January 12, 2026, Vanguard went through an internal realignment, and certain subsidiaries or business divisions of subsidiaries of Vanguard that formerly had, or were deemed to have, beneficial ownership with Vanguard, will report beneficial ownership separately (on a disaggregated basis) from Vanguard. Vanguard no longer has, or is deemed to have, beneficial ownership over securities beneficially owned by such subsidiaries and/or business divisions. The address for Vanguard is 100 Vanguard Boulevard, Malvern, Pennsylvania 19355.</w:t>
      </w:r>
    </w:p>
    <w:p>
      <w:pPr>
        <w:spacing w:after="0" w:line="128" w:lineRule="exact"/>
        <w:rPr>
          <w:rFonts w:ascii="Arial" w:cs="Arial" w:eastAsia="Arial" w:hAnsi="Arial"/>
          <w:sz w:val="14"/>
          <w:szCs w:val="14"/>
          <w:color w:val="auto"/>
        </w:rPr>
      </w:pPr>
    </w:p>
    <w:p>
      <w:pPr>
        <w:jc w:val="both"/>
        <w:ind w:left="340" w:hanging="332"/>
        <w:spacing w:after="0" w:line="266" w:lineRule="auto"/>
        <w:tabs>
          <w:tab w:leader="none" w:pos="340" w:val="left"/>
        </w:tabs>
        <w:numPr>
          <w:ilvl w:val="0"/>
          <w:numId w:val="46"/>
        </w:numPr>
        <w:rPr>
          <w:rFonts w:ascii="Arial" w:cs="Arial" w:eastAsia="Arial" w:hAnsi="Arial"/>
          <w:sz w:val="14"/>
          <w:szCs w:val="14"/>
          <w:color w:val="auto"/>
        </w:rPr>
      </w:pPr>
      <w:r>
        <w:rPr>
          <w:rFonts w:ascii="Arial" w:cs="Arial" w:eastAsia="Arial" w:hAnsi="Arial"/>
          <w:sz w:val="16"/>
          <w:szCs w:val="16"/>
          <w:color w:val="auto"/>
        </w:rPr>
        <w:t>Information is derived from the Schedule 13G/A filed by Dimensional Fund Advisors LP (“DFA”) with the Securities and Exchange Commission on October 31, 2024. DFA has sole voting power with respect to 3,169,997 of such shares and sole dispositive power with respect to 3,248,179 of such shares. The address for DFA is 6300 Bee Cave Road, Building One, Austin, Texas 78746.</w:t>
      </w:r>
    </w:p>
    <w:p>
      <w:pPr>
        <w:spacing w:after="0" w:line="144" w:lineRule="exact"/>
        <w:rPr>
          <w:rFonts w:ascii="Arial" w:cs="Arial" w:eastAsia="Arial" w:hAnsi="Arial"/>
          <w:sz w:val="14"/>
          <w:szCs w:val="14"/>
          <w:color w:val="auto"/>
        </w:rPr>
      </w:pPr>
    </w:p>
    <w:p>
      <w:pPr>
        <w:jc w:val="both"/>
        <w:ind w:left="340" w:hanging="332"/>
        <w:spacing w:after="0" w:line="262" w:lineRule="auto"/>
        <w:tabs>
          <w:tab w:leader="none" w:pos="340" w:val="left"/>
        </w:tabs>
        <w:numPr>
          <w:ilvl w:val="0"/>
          <w:numId w:val="46"/>
        </w:numPr>
        <w:rPr>
          <w:rFonts w:ascii="Arial" w:cs="Arial" w:eastAsia="Arial" w:hAnsi="Arial"/>
          <w:sz w:val="14"/>
          <w:szCs w:val="14"/>
          <w:color w:val="auto"/>
        </w:rPr>
      </w:pPr>
      <w:r>
        <w:rPr>
          <w:rFonts w:ascii="Arial" w:cs="Arial" w:eastAsia="Arial" w:hAnsi="Arial"/>
          <w:sz w:val="16"/>
          <w:szCs w:val="16"/>
          <w:color w:val="auto"/>
        </w:rPr>
        <w:t>Information is derived from the Schedule 13G/A filed by Cobas Asset Management, SGIIC, S.A. (“CAM”) with the Securities and Exchange Commission on September 12, 2025. CAM has sole voting power with respect to 2,170,748 of such shares and sole dispositive power with respect to 2,170,748 of such shares. The address for CAM is Paseo de la Castellana, 53, 28046 Madrid, Spain.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526415</wp:posOffset>
            </wp:positionV>
            <wp:extent cx="629221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288925</wp:posOffset>
            </wp:positionH>
            <wp:positionV relativeFrom="paragraph">
              <wp:posOffset>577850</wp:posOffset>
            </wp:positionV>
            <wp:extent cx="265430" cy="1543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6543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0"/>
          <w:szCs w:val="20"/>
          <w:b w:val="1"/>
          <w:bCs w:val="1"/>
          <w:color w:val="4A7EBB"/>
        </w:rPr>
        <w:t xml:space="preserve">16 </w:t>
      </w:r>
      <w:r>
        <w:rPr>
          <w:rFonts w:ascii="Arial" w:cs="Arial" w:eastAsia="Arial" w:hAnsi="Arial"/>
          <w:sz w:val="20"/>
          <w:szCs w:val="20"/>
          <w:color w:val="80808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24130</wp:posOffset>
            </wp:positionV>
            <wp:extent cx="629221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9"/>
          <w:szCs w:val="29"/>
          <w:b w:val="1"/>
          <w:bCs w:val="1"/>
          <w:color w:val="4A7EBB"/>
        </w:rPr>
        <w:t>Board of Directors</w:t>
      </w:r>
    </w:p>
    <w:p>
      <w:pPr>
        <w:spacing w:after="0" w:line="18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Board of Directors has determined that Thomas J. Brosig, Dr. Joyce F. Brown, Victor Herrero, Patti H. Ongman, Michael Shaffer, Cheryl Vitali, Richard White and Andrew Yaeger are independent directors. Robert L. Johnson and Laura Pomerantz, who are not standing for reelection, were also determined to be independent directors. Assuming all of the nominated persons are elected as directors at the Annual Meeting, the independent directors will constitute 73% of the Board of Directors. In making its determination regarding the independence of the directors, the Board relied upon information provided by each of the directors and noted that each independent director meets the standards for independence set out in Nasdaq Listing Rule 5605(a)(2) and under the applicable rules and regulations of the SEC, and that there is no material business relationship between G-III and any independent director, including any business entity with which any independent director is affiliated.</w:t>
      </w:r>
    </w:p>
    <w:p>
      <w:pPr>
        <w:spacing w:after="0" w:line="1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Board of Directors held five meetings during the fiscal year ended January 31, 2026. During the fiscal year ended January 31, 2026, each director attended at least 75% of the meetings of the Board of Directors and committees of the Board on which he or she served. All of our directors attended the 2025 Annual Meeting of Stockholders.</w:t>
      </w:r>
    </w:p>
    <w:p>
      <w:pPr>
        <w:spacing w:after="0" w:line="14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Our Board of Directors has an Audit Committee, Compensation Committee and Nominating and Corporate Governance Committee. Each member of our Audit, Compensation and Nominating and Corporate Governance Committees has been determined by the Board of Directors to be “independent” within the meaning of Nasdaq Listing Rule 5605(a)(2). Each member of the Audit Committee is “independent” within the meaning of Nasdaq Listing Rule 5605(c)(2)(A) and under the applicable rules and regulations of the SEC regarding the independence of audit committee members. Each member of the Compensation Committee is “independent” within the meaning of Nasdaq Listing Rule 5605(d)(2)(A).</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311"/>
        </w:trPr>
        <w:tc>
          <w:tcPr>
            <w:tcW w:w="2660" w:type="dxa"/>
            <w:vAlign w:val="bottom"/>
            <w:tcBorders>
              <w:top w:val="single" w:sz="8" w:color="4A7EBB"/>
              <w:bottom w:val="single" w:sz="8" w:color="4A7EBB"/>
            </w:tcBorders>
            <w:gridSpan w:val="4"/>
            <w:shd w:val="clear" w:color="auto" w:fill="DBE5F1"/>
          </w:tcPr>
          <w:p>
            <w:pPr>
              <w:ind w:left="120"/>
              <w:spacing w:after="0"/>
              <w:rPr>
                <w:sz w:val="20"/>
                <w:szCs w:val="20"/>
                <w:color w:val="auto"/>
              </w:rPr>
            </w:pPr>
            <w:r>
              <w:rPr>
                <w:rFonts w:ascii="Arial" w:cs="Arial" w:eastAsia="Arial" w:hAnsi="Arial"/>
                <w:sz w:val="25"/>
                <w:szCs w:val="25"/>
                <w:color w:val="auto"/>
              </w:rPr>
              <w:t>AUDIT COMMITTEE</w:t>
            </w:r>
          </w:p>
        </w:tc>
        <w:tc>
          <w:tcPr>
            <w:tcW w:w="7260" w:type="dxa"/>
            <w:vAlign w:val="bottom"/>
            <w:tcBorders>
              <w:top w:val="single" w:sz="8" w:color="4A7EBB"/>
              <w:bottom w:val="single" w:sz="8" w:color="4A7EBB"/>
            </w:tcBorders>
            <w:shd w:val="clear" w:color="auto" w:fill="DBE5F1"/>
          </w:tcPr>
          <w:p>
            <w:pPr>
              <w:ind w:left="2440"/>
              <w:spacing w:after="0"/>
              <w:rPr>
                <w:sz w:val="20"/>
                <w:szCs w:val="20"/>
                <w:color w:val="auto"/>
              </w:rPr>
            </w:pPr>
            <w:r>
              <w:rPr>
                <w:rFonts w:ascii="Arial" w:cs="Arial" w:eastAsia="Arial" w:hAnsi="Arial"/>
                <w:sz w:val="18"/>
                <w:szCs w:val="18"/>
                <w:color w:val="auto"/>
              </w:rPr>
              <w:t xml:space="preserve">Meetings during the fiscal year ended January 31, 2026: </w:t>
            </w:r>
            <w:r>
              <w:rPr>
                <w:rFonts w:ascii="Arial" w:cs="Arial" w:eastAsia="Arial" w:hAnsi="Arial"/>
                <w:sz w:val="25"/>
                <w:szCs w:val="25"/>
                <w:color w:val="auto"/>
              </w:rPr>
              <w:t>8</w:t>
            </w:r>
          </w:p>
        </w:tc>
        <w:tc>
          <w:tcPr>
            <w:tcW w:w="0" w:type="dxa"/>
            <w:vAlign w:val="bottom"/>
          </w:tcPr>
          <w:p>
            <w:pPr>
              <w:spacing w:after="0"/>
              <w:rPr>
                <w:sz w:val="1"/>
                <w:szCs w:val="1"/>
                <w:color w:val="auto"/>
              </w:rPr>
            </w:pPr>
          </w:p>
        </w:tc>
      </w:tr>
      <w:tr>
        <w:trPr>
          <w:trHeight w:val="208"/>
        </w:trPr>
        <w:tc>
          <w:tcPr>
            <w:tcW w:w="120" w:type="dxa"/>
            <w:vAlign w:val="bottom"/>
            <w:shd w:val="clear" w:color="auto" w:fill="F2F2F2"/>
          </w:tcPr>
          <w:p>
            <w:pPr>
              <w:spacing w:after="0"/>
              <w:rPr>
                <w:sz w:val="18"/>
                <w:szCs w:val="18"/>
                <w:color w:val="auto"/>
              </w:rPr>
            </w:pPr>
          </w:p>
        </w:tc>
        <w:tc>
          <w:tcPr>
            <w:tcW w:w="220" w:type="dxa"/>
            <w:vAlign w:val="bottom"/>
            <w:shd w:val="clear" w:color="auto" w:fill="F2F2F2"/>
          </w:tcPr>
          <w:p>
            <w:pPr>
              <w:spacing w:after="0"/>
              <w:rPr>
                <w:sz w:val="18"/>
                <w:szCs w:val="18"/>
                <w:color w:val="auto"/>
              </w:rPr>
            </w:pPr>
          </w:p>
        </w:tc>
        <w:tc>
          <w:tcPr>
            <w:tcW w:w="2220" w:type="dxa"/>
            <w:vAlign w:val="bottom"/>
            <w:shd w:val="clear" w:color="auto" w:fill="F2F2F2"/>
          </w:tcPr>
          <w:p>
            <w:pPr>
              <w:spacing w:after="0"/>
              <w:rPr>
                <w:sz w:val="18"/>
                <w:szCs w:val="18"/>
                <w:color w:val="auto"/>
              </w:rPr>
            </w:pPr>
          </w:p>
        </w:tc>
        <w:tc>
          <w:tcPr>
            <w:tcW w:w="100" w:type="dxa"/>
            <w:vAlign w:val="bottom"/>
            <w:shd w:val="clear" w:color="auto" w:fill="F2F2F2"/>
          </w:tcPr>
          <w:p>
            <w:pPr>
              <w:spacing w:after="0"/>
              <w:rPr>
                <w:sz w:val="18"/>
                <w:szCs w:val="18"/>
                <w:color w:val="auto"/>
              </w:rPr>
            </w:pPr>
          </w:p>
        </w:tc>
        <w:tc>
          <w:tcPr>
            <w:tcW w:w="7260" w:type="dxa"/>
            <w:vAlign w:val="bottom"/>
          </w:tcPr>
          <w:p>
            <w:pPr>
              <w:ind w:left="100"/>
              <w:spacing w:after="0"/>
              <w:rPr>
                <w:sz w:val="20"/>
                <w:szCs w:val="20"/>
                <w:color w:val="auto"/>
              </w:rPr>
            </w:pPr>
            <w:r>
              <w:rPr>
                <w:rFonts w:ascii="Arial" w:cs="Arial" w:eastAsia="Arial" w:hAnsi="Arial"/>
                <w:sz w:val="16"/>
                <w:szCs w:val="16"/>
                <w:color w:val="4A7EBB"/>
              </w:rPr>
              <w:t>Responsibilities</w:t>
            </w:r>
          </w:p>
        </w:tc>
        <w:tc>
          <w:tcPr>
            <w:tcW w:w="0" w:type="dxa"/>
            <w:vAlign w:val="bottom"/>
          </w:tcPr>
          <w:p>
            <w:pPr>
              <w:spacing w:after="0"/>
              <w:rPr>
                <w:sz w:val="1"/>
                <w:szCs w:val="1"/>
                <w:color w:val="auto"/>
              </w:rPr>
            </w:pPr>
          </w:p>
        </w:tc>
      </w:tr>
      <w:tr>
        <w:trPr>
          <w:trHeight w:val="266"/>
        </w:trPr>
        <w:tc>
          <w:tcPr>
            <w:tcW w:w="120" w:type="dxa"/>
            <w:vAlign w:val="bottom"/>
            <w:shd w:val="clear" w:color="auto" w:fill="F2F2F2"/>
          </w:tcPr>
          <w:p>
            <w:pPr>
              <w:spacing w:after="0"/>
              <w:rPr>
                <w:sz w:val="23"/>
                <w:szCs w:val="23"/>
                <w:color w:val="auto"/>
              </w:rPr>
            </w:pPr>
          </w:p>
        </w:tc>
        <w:tc>
          <w:tcPr>
            <w:tcW w:w="220" w:type="dxa"/>
            <w:vAlign w:val="bottom"/>
            <w:shd w:val="clear" w:color="auto" w:fill="F2F2F2"/>
          </w:tcPr>
          <w:p>
            <w:pPr>
              <w:spacing w:after="0"/>
              <w:rPr>
                <w:sz w:val="20"/>
                <w:szCs w:val="20"/>
                <w:color w:val="auto"/>
              </w:rPr>
            </w:pPr>
            <w:r>
              <w:rPr>
                <w:rFonts w:ascii="Times New Roman" w:cs="Times New Roman" w:eastAsia="Times New Roman" w:hAnsi="Times New Roman"/>
                <w:sz w:val="18"/>
                <w:szCs w:val="18"/>
                <w:color w:val="4A7EBB"/>
              </w:rPr>
              <w:t>●</w:t>
            </w:r>
          </w:p>
        </w:tc>
        <w:tc>
          <w:tcPr>
            <w:tcW w:w="2220" w:type="dxa"/>
            <w:vAlign w:val="bottom"/>
            <w:shd w:val="clear" w:color="auto" w:fill="F2F2F2"/>
          </w:tcPr>
          <w:p>
            <w:pPr>
              <w:ind w:left="80"/>
              <w:spacing w:after="0"/>
              <w:rPr>
                <w:sz w:val="20"/>
                <w:szCs w:val="20"/>
                <w:color w:val="auto"/>
              </w:rPr>
            </w:pPr>
            <w:r>
              <w:rPr>
                <w:rFonts w:ascii="Arial" w:cs="Arial" w:eastAsia="Arial" w:hAnsi="Arial"/>
                <w:sz w:val="18"/>
                <w:szCs w:val="18"/>
                <w:color w:val="auto"/>
              </w:rPr>
              <w:t>Michael Shaffer</w:t>
            </w:r>
          </w:p>
        </w:tc>
        <w:tc>
          <w:tcPr>
            <w:tcW w:w="100" w:type="dxa"/>
            <w:vAlign w:val="bottom"/>
            <w:shd w:val="clear" w:color="auto" w:fill="F2F2F2"/>
          </w:tcPr>
          <w:p>
            <w:pPr>
              <w:spacing w:after="0"/>
              <w:rPr>
                <w:sz w:val="23"/>
                <w:szCs w:val="23"/>
                <w:color w:val="auto"/>
              </w:rPr>
            </w:pPr>
          </w:p>
        </w:tc>
        <w:tc>
          <w:tcPr>
            <w:tcW w:w="7260" w:type="dxa"/>
            <w:vAlign w:val="bottom"/>
          </w:tcPr>
          <w:p>
            <w:pPr>
              <w:ind w:left="100"/>
              <w:spacing w:after="0"/>
              <w:rPr>
                <w:sz w:val="20"/>
                <w:szCs w:val="20"/>
                <w:color w:val="auto"/>
              </w:rPr>
            </w:pPr>
            <w:r>
              <w:rPr>
                <w:rFonts w:ascii="Arial" w:cs="Arial" w:eastAsia="Arial" w:hAnsi="Arial"/>
                <w:sz w:val="18"/>
                <w:szCs w:val="18"/>
                <w:color w:val="auto"/>
              </w:rPr>
              <w:t>The Audit Committee is responsible for, among other things:</w:t>
            </w:r>
          </w:p>
        </w:tc>
        <w:tc>
          <w:tcPr>
            <w:tcW w:w="0" w:type="dxa"/>
            <w:vAlign w:val="bottom"/>
          </w:tcPr>
          <w:p>
            <w:pPr>
              <w:spacing w:after="0"/>
              <w:rPr>
                <w:sz w:val="1"/>
                <w:szCs w:val="1"/>
                <w:color w:val="auto"/>
              </w:rPr>
            </w:pPr>
          </w:p>
        </w:tc>
      </w:tr>
      <w:tr>
        <w:trPr>
          <w:trHeight w:val="239"/>
        </w:trPr>
        <w:tc>
          <w:tcPr>
            <w:tcW w:w="120" w:type="dxa"/>
            <w:vAlign w:val="bottom"/>
            <w:shd w:val="clear" w:color="auto" w:fill="F2F2F2"/>
          </w:tcPr>
          <w:p>
            <w:pPr>
              <w:spacing w:after="0"/>
              <w:rPr>
                <w:sz w:val="20"/>
                <w:szCs w:val="20"/>
                <w:color w:val="auto"/>
              </w:rPr>
            </w:pPr>
          </w:p>
        </w:tc>
        <w:tc>
          <w:tcPr>
            <w:tcW w:w="220" w:type="dxa"/>
            <w:vAlign w:val="bottom"/>
            <w:vMerge w:val="restart"/>
            <w:shd w:val="clear" w:color="auto" w:fill="F2F2F2"/>
          </w:tcPr>
          <w:p>
            <w:pPr>
              <w:spacing w:after="0"/>
              <w:rPr>
                <w:sz w:val="20"/>
                <w:szCs w:val="20"/>
                <w:color w:val="auto"/>
              </w:rPr>
            </w:pPr>
            <w:r>
              <w:rPr>
                <w:rFonts w:ascii="Times New Roman" w:cs="Times New Roman" w:eastAsia="Times New Roman" w:hAnsi="Times New Roman"/>
                <w:sz w:val="18"/>
                <w:szCs w:val="18"/>
                <w:color w:val="4A7EBB"/>
              </w:rPr>
              <w:t>●</w:t>
            </w:r>
          </w:p>
        </w:tc>
        <w:tc>
          <w:tcPr>
            <w:tcW w:w="2220" w:type="dxa"/>
            <w:vAlign w:val="bottom"/>
            <w:vMerge w:val="restart"/>
            <w:shd w:val="clear" w:color="auto" w:fill="F2F2F2"/>
          </w:tcPr>
          <w:p>
            <w:pPr>
              <w:ind w:left="80"/>
              <w:spacing w:after="0"/>
              <w:rPr>
                <w:sz w:val="20"/>
                <w:szCs w:val="20"/>
                <w:color w:val="auto"/>
              </w:rPr>
            </w:pPr>
            <w:r>
              <w:rPr>
                <w:rFonts w:ascii="Arial" w:cs="Arial" w:eastAsia="Arial" w:hAnsi="Arial"/>
                <w:sz w:val="18"/>
                <w:szCs w:val="18"/>
                <w:color w:val="auto"/>
              </w:rPr>
              <w:t>Victor Herrero</w:t>
            </w:r>
          </w:p>
        </w:tc>
        <w:tc>
          <w:tcPr>
            <w:tcW w:w="100" w:type="dxa"/>
            <w:vAlign w:val="bottom"/>
            <w:shd w:val="clear" w:color="auto" w:fill="F2F2F2"/>
          </w:tcPr>
          <w:p>
            <w:pPr>
              <w:spacing w:after="0"/>
              <w:rPr>
                <w:sz w:val="20"/>
                <w:szCs w:val="20"/>
                <w:color w:val="auto"/>
              </w:rPr>
            </w:pPr>
          </w:p>
        </w:tc>
        <w:tc>
          <w:tcPr>
            <w:tcW w:w="7260" w:type="dxa"/>
            <w:vAlign w:val="bottom"/>
          </w:tcPr>
          <w:p>
            <w:pPr>
              <w:ind w:left="220"/>
              <w:spacing w:after="0"/>
              <w:rPr>
                <w:sz w:val="20"/>
                <w:szCs w:val="20"/>
                <w:color w:val="auto"/>
              </w:rPr>
            </w:pPr>
            <w:r>
              <w:rPr>
                <w:rFonts w:ascii="Times New Roman" w:cs="Times New Roman" w:eastAsia="Times New Roman" w:hAnsi="Times New Roman"/>
                <w:sz w:val="18"/>
                <w:szCs w:val="18"/>
                <w:color w:val="4A7EBB"/>
              </w:rPr>
              <w:t xml:space="preserve">●   </w:t>
            </w:r>
            <w:r>
              <w:rPr>
                <w:rFonts w:ascii="Arial" w:cs="Arial" w:eastAsia="Arial" w:hAnsi="Arial"/>
                <w:sz w:val="18"/>
                <w:szCs w:val="18"/>
                <w:color w:val="000000"/>
              </w:rPr>
              <w:t>assisting the Board in monitoring:</w:t>
            </w:r>
          </w:p>
        </w:tc>
        <w:tc>
          <w:tcPr>
            <w:tcW w:w="0" w:type="dxa"/>
            <w:vAlign w:val="bottom"/>
          </w:tcPr>
          <w:p>
            <w:pPr>
              <w:spacing w:after="0"/>
              <w:rPr>
                <w:sz w:val="1"/>
                <w:szCs w:val="1"/>
                <w:color w:val="auto"/>
              </w:rPr>
            </w:pPr>
          </w:p>
        </w:tc>
      </w:tr>
      <w:tr>
        <w:trPr>
          <w:trHeight w:val="95"/>
        </w:trPr>
        <w:tc>
          <w:tcPr>
            <w:tcW w:w="120" w:type="dxa"/>
            <w:vAlign w:val="bottom"/>
            <w:shd w:val="clear" w:color="auto" w:fill="F2F2F2"/>
          </w:tcPr>
          <w:p>
            <w:pPr>
              <w:spacing w:after="0"/>
              <w:rPr>
                <w:sz w:val="8"/>
                <w:szCs w:val="8"/>
                <w:color w:val="auto"/>
              </w:rPr>
            </w:pPr>
          </w:p>
        </w:tc>
        <w:tc>
          <w:tcPr>
            <w:tcW w:w="220" w:type="dxa"/>
            <w:vAlign w:val="bottom"/>
            <w:vMerge w:val="continue"/>
            <w:shd w:val="clear" w:color="auto" w:fill="F2F2F2"/>
          </w:tcPr>
          <w:p>
            <w:pPr>
              <w:spacing w:after="0"/>
              <w:rPr>
                <w:sz w:val="8"/>
                <w:szCs w:val="8"/>
                <w:color w:val="auto"/>
              </w:rPr>
            </w:pPr>
          </w:p>
        </w:tc>
        <w:tc>
          <w:tcPr>
            <w:tcW w:w="2220" w:type="dxa"/>
            <w:vAlign w:val="bottom"/>
            <w:vMerge w:val="continue"/>
            <w:shd w:val="clear" w:color="auto" w:fill="F2F2F2"/>
          </w:tcPr>
          <w:p>
            <w:pPr>
              <w:spacing w:after="0"/>
              <w:rPr>
                <w:sz w:val="8"/>
                <w:szCs w:val="8"/>
                <w:color w:val="auto"/>
              </w:rPr>
            </w:pPr>
          </w:p>
        </w:tc>
        <w:tc>
          <w:tcPr>
            <w:tcW w:w="100" w:type="dxa"/>
            <w:vAlign w:val="bottom"/>
            <w:shd w:val="clear" w:color="auto" w:fill="F2F2F2"/>
          </w:tcPr>
          <w:p>
            <w:pPr>
              <w:spacing w:after="0"/>
              <w:rPr>
                <w:sz w:val="8"/>
                <w:szCs w:val="8"/>
                <w:color w:val="auto"/>
              </w:rPr>
            </w:pPr>
          </w:p>
        </w:tc>
        <w:tc>
          <w:tcPr>
            <w:tcW w:w="7260" w:type="dxa"/>
            <w:vAlign w:val="bottom"/>
            <w:vMerge w:val="restart"/>
          </w:tcPr>
          <w:p>
            <w:pPr>
              <w:ind w:left="560"/>
              <w:spacing w:after="0"/>
              <w:rPr>
                <w:sz w:val="20"/>
                <w:szCs w:val="20"/>
                <w:color w:val="auto"/>
              </w:rPr>
            </w:pPr>
            <w:r>
              <w:rPr>
                <w:rFonts w:ascii="Arial" w:cs="Arial" w:eastAsia="Arial" w:hAnsi="Arial"/>
                <w:sz w:val="18"/>
                <w:szCs w:val="18"/>
                <w:color w:val="auto"/>
              </w:rPr>
              <w:t>(i)   the integrity of our financial statements,</w:t>
            </w:r>
          </w:p>
        </w:tc>
        <w:tc>
          <w:tcPr>
            <w:tcW w:w="0" w:type="dxa"/>
            <w:vAlign w:val="bottom"/>
          </w:tcPr>
          <w:p>
            <w:pPr>
              <w:spacing w:after="0"/>
              <w:rPr>
                <w:sz w:val="1"/>
                <w:szCs w:val="1"/>
                <w:color w:val="auto"/>
              </w:rPr>
            </w:pPr>
          </w:p>
        </w:tc>
      </w:tr>
      <w:tr>
        <w:trPr>
          <w:trHeight w:val="175"/>
        </w:trPr>
        <w:tc>
          <w:tcPr>
            <w:tcW w:w="120" w:type="dxa"/>
            <w:vAlign w:val="bottom"/>
            <w:shd w:val="clear" w:color="auto" w:fill="F2F2F2"/>
          </w:tcPr>
          <w:p>
            <w:pPr>
              <w:spacing w:after="0"/>
              <w:rPr>
                <w:sz w:val="15"/>
                <w:szCs w:val="15"/>
                <w:color w:val="auto"/>
              </w:rPr>
            </w:pPr>
          </w:p>
        </w:tc>
        <w:tc>
          <w:tcPr>
            <w:tcW w:w="220" w:type="dxa"/>
            <w:vAlign w:val="bottom"/>
            <w:vMerge w:val="restart"/>
            <w:shd w:val="clear" w:color="auto" w:fill="F2F2F2"/>
          </w:tcPr>
          <w:p>
            <w:pPr>
              <w:spacing w:after="0"/>
              <w:rPr>
                <w:sz w:val="20"/>
                <w:szCs w:val="20"/>
                <w:color w:val="auto"/>
              </w:rPr>
            </w:pPr>
            <w:r>
              <w:rPr>
                <w:rFonts w:ascii="Times New Roman" w:cs="Times New Roman" w:eastAsia="Times New Roman" w:hAnsi="Times New Roman"/>
                <w:sz w:val="18"/>
                <w:szCs w:val="18"/>
                <w:color w:val="4A7EBB"/>
              </w:rPr>
              <w:t>●</w:t>
            </w:r>
          </w:p>
        </w:tc>
        <w:tc>
          <w:tcPr>
            <w:tcW w:w="2220" w:type="dxa"/>
            <w:vAlign w:val="bottom"/>
            <w:vMerge w:val="restart"/>
            <w:shd w:val="clear" w:color="auto" w:fill="F2F2F2"/>
          </w:tcPr>
          <w:p>
            <w:pPr>
              <w:ind w:left="80"/>
              <w:spacing w:after="0"/>
              <w:rPr>
                <w:sz w:val="20"/>
                <w:szCs w:val="20"/>
                <w:color w:val="auto"/>
              </w:rPr>
            </w:pPr>
            <w:r>
              <w:rPr>
                <w:rFonts w:ascii="Arial" w:cs="Arial" w:eastAsia="Arial" w:hAnsi="Arial"/>
                <w:sz w:val="18"/>
                <w:szCs w:val="18"/>
                <w:color w:val="auto"/>
              </w:rPr>
              <w:t>Richard White</w:t>
            </w:r>
          </w:p>
        </w:tc>
        <w:tc>
          <w:tcPr>
            <w:tcW w:w="100" w:type="dxa"/>
            <w:vAlign w:val="bottom"/>
            <w:shd w:val="clear" w:color="auto" w:fill="F2F2F2"/>
          </w:tcPr>
          <w:p>
            <w:pPr>
              <w:spacing w:after="0"/>
              <w:rPr>
                <w:sz w:val="15"/>
                <w:szCs w:val="15"/>
                <w:color w:val="auto"/>
              </w:rPr>
            </w:pPr>
          </w:p>
        </w:tc>
        <w:tc>
          <w:tcPr>
            <w:tcW w:w="7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120" w:type="dxa"/>
            <w:vAlign w:val="bottom"/>
            <w:shd w:val="clear" w:color="auto" w:fill="F2F2F2"/>
          </w:tcPr>
          <w:p>
            <w:pPr>
              <w:spacing w:after="0"/>
              <w:rPr>
                <w:sz w:val="22"/>
                <w:szCs w:val="22"/>
                <w:color w:val="auto"/>
              </w:rPr>
            </w:pPr>
          </w:p>
        </w:tc>
        <w:tc>
          <w:tcPr>
            <w:tcW w:w="220" w:type="dxa"/>
            <w:vAlign w:val="bottom"/>
            <w:vMerge w:val="continue"/>
            <w:shd w:val="clear" w:color="auto" w:fill="F2F2F2"/>
          </w:tcPr>
          <w:p>
            <w:pPr>
              <w:spacing w:after="0"/>
              <w:rPr>
                <w:sz w:val="22"/>
                <w:szCs w:val="22"/>
                <w:color w:val="auto"/>
              </w:rPr>
            </w:pPr>
          </w:p>
        </w:tc>
        <w:tc>
          <w:tcPr>
            <w:tcW w:w="2220" w:type="dxa"/>
            <w:vAlign w:val="bottom"/>
            <w:vMerge w:val="continue"/>
            <w:shd w:val="clear" w:color="auto" w:fill="F2F2F2"/>
          </w:tcPr>
          <w:p>
            <w:pPr>
              <w:spacing w:after="0"/>
              <w:rPr>
                <w:sz w:val="22"/>
                <w:szCs w:val="22"/>
                <w:color w:val="auto"/>
              </w:rPr>
            </w:pPr>
          </w:p>
        </w:tc>
        <w:tc>
          <w:tcPr>
            <w:tcW w:w="100" w:type="dxa"/>
            <w:vAlign w:val="bottom"/>
            <w:shd w:val="clear" w:color="auto" w:fill="F2F2F2"/>
          </w:tcPr>
          <w:p>
            <w:pPr>
              <w:spacing w:after="0"/>
              <w:rPr>
                <w:sz w:val="22"/>
                <w:szCs w:val="22"/>
                <w:color w:val="auto"/>
              </w:rPr>
            </w:pPr>
          </w:p>
        </w:tc>
        <w:tc>
          <w:tcPr>
            <w:tcW w:w="7260" w:type="dxa"/>
            <w:vAlign w:val="bottom"/>
          </w:tcPr>
          <w:p>
            <w:pPr>
              <w:ind w:left="560"/>
              <w:spacing w:after="0"/>
              <w:rPr>
                <w:sz w:val="20"/>
                <w:szCs w:val="20"/>
                <w:color w:val="auto"/>
              </w:rPr>
            </w:pPr>
            <w:r>
              <w:rPr>
                <w:rFonts w:ascii="Arial" w:cs="Arial" w:eastAsia="Arial" w:hAnsi="Arial"/>
                <w:sz w:val="18"/>
                <w:szCs w:val="18"/>
                <w:color w:val="auto"/>
              </w:rPr>
              <w:t>(ii)  the qualifications and independence of our independent auditors,</w:t>
            </w:r>
          </w:p>
        </w:tc>
        <w:tc>
          <w:tcPr>
            <w:tcW w:w="0" w:type="dxa"/>
            <w:vAlign w:val="bottom"/>
          </w:tcPr>
          <w:p>
            <w:pPr>
              <w:spacing w:after="0"/>
              <w:rPr>
                <w:sz w:val="1"/>
                <w:szCs w:val="1"/>
                <w:color w:val="auto"/>
              </w:rPr>
            </w:pPr>
          </w:p>
        </w:tc>
      </w:tr>
      <w:tr>
        <w:trPr>
          <w:trHeight w:val="257"/>
        </w:trPr>
        <w:tc>
          <w:tcPr>
            <w:tcW w:w="120" w:type="dxa"/>
            <w:vAlign w:val="bottom"/>
            <w:shd w:val="clear" w:color="auto" w:fill="F2F2F2"/>
          </w:tcPr>
          <w:p>
            <w:pPr>
              <w:spacing w:after="0"/>
              <w:rPr>
                <w:sz w:val="22"/>
                <w:szCs w:val="22"/>
                <w:color w:val="auto"/>
              </w:rPr>
            </w:pPr>
          </w:p>
        </w:tc>
        <w:tc>
          <w:tcPr>
            <w:tcW w:w="220" w:type="dxa"/>
            <w:vAlign w:val="bottom"/>
            <w:vMerge w:val="restart"/>
            <w:shd w:val="clear" w:color="auto" w:fill="F2F2F2"/>
          </w:tcPr>
          <w:p>
            <w:pPr>
              <w:spacing w:after="0"/>
              <w:rPr>
                <w:sz w:val="20"/>
                <w:szCs w:val="20"/>
                <w:color w:val="auto"/>
              </w:rPr>
            </w:pPr>
            <w:r>
              <w:rPr>
                <w:rFonts w:ascii="Times New Roman" w:cs="Times New Roman" w:eastAsia="Times New Roman" w:hAnsi="Times New Roman"/>
                <w:sz w:val="18"/>
                <w:szCs w:val="18"/>
                <w:color w:val="4A7EBB"/>
              </w:rPr>
              <w:t>●</w:t>
            </w:r>
          </w:p>
        </w:tc>
        <w:tc>
          <w:tcPr>
            <w:tcW w:w="2220" w:type="dxa"/>
            <w:vAlign w:val="bottom"/>
            <w:vMerge w:val="restart"/>
            <w:shd w:val="clear" w:color="auto" w:fill="F2F2F2"/>
          </w:tcPr>
          <w:p>
            <w:pPr>
              <w:ind w:left="80"/>
              <w:spacing w:after="0"/>
              <w:rPr>
                <w:sz w:val="20"/>
                <w:szCs w:val="20"/>
                <w:color w:val="auto"/>
              </w:rPr>
            </w:pPr>
            <w:r>
              <w:rPr>
                <w:rFonts w:ascii="Arial" w:cs="Arial" w:eastAsia="Arial" w:hAnsi="Arial"/>
                <w:sz w:val="18"/>
                <w:szCs w:val="18"/>
                <w:color w:val="auto"/>
              </w:rPr>
              <w:t>Andrew Yaeger</w:t>
            </w:r>
          </w:p>
        </w:tc>
        <w:tc>
          <w:tcPr>
            <w:tcW w:w="100" w:type="dxa"/>
            <w:vAlign w:val="bottom"/>
            <w:shd w:val="clear" w:color="auto" w:fill="F2F2F2"/>
          </w:tcPr>
          <w:p>
            <w:pPr>
              <w:spacing w:after="0"/>
              <w:rPr>
                <w:sz w:val="22"/>
                <w:szCs w:val="22"/>
                <w:color w:val="auto"/>
              </w:rPr>
            </w:pPr>
          </w:p>
        </w:tc>
        <w:tc>
          <w:tcPr>
            <w:tcW w:w="7260" w:type="dxa"/>
            <w:vAlign w:val="bottom"/>
          </w:tcPr>
          <w:p>
            <w:pPr>
              <w:ind w:left="560"/>
              <w:spacing w:after="0"/>
              <w:rPr>
                <w:sz w:val="20"/>
                <w:szCs w:val="20"/>
                <w:color w:val="auto"/>
              </w:rPr>
            </w:pPr>
            <w:r>
              <w:rPr>
                <w:rFonts w:ascii="Arial" w:cs="Arial" w:eastAsia="Arial" w:hAnsi="Arial"/>
                <w:sz w:val="18"/>
                <w:szCs w:val="18"/>
                <w:color w:val="auto"/>
              </w:rPr>
              <w:t>(iii)  the performance of our internal audit function and independent auditors, and</w:t>
            </w:r>
          </w:p>
        </w:tc>
        <w:tc>
          <w:tcPr>
            <w:tcW w:w="0" w:type="dxa"/>
            <w:vAlign w:val="bottom"/>
          </w:tcPr>
          <w:p>
            <w:pPr>
              <w:spacing w:after="0"/>
              <w:rPr>
                <w:sz w:val="1"/>
                <w:szCs w:val="1"/>
                <w:color w:val="auto"/>
              </w:rPr>
            </w:pPr>
          </w:p>
        </w:tc>
      </w:tr>
      <w:tr>
        <w:trPr>
          <w:trHeight w:val="121"/>
        </w:trPr>
        <w:tc>
          <w:tcPr>
            <w:tcW w:w="120" w:type="dxa"/>
            <w:vAlign w:val="bottom"/>
            <w:shd w:val="clear" w:color="auto" w:fill="F2F2F2"/>
          </w:tcPr>
          <w:p>
            <w:pPr>
              <w:spacing w:after="0"/>
              <w:rPr>
                <w:sz w:val="10"/>
                <w:szCs w:val="10"/>
                <w:color w:val="auto"/>
              </w:rPr>
            </w:pPr>
          </w:p>
        </w:tc>
        <w:tc>
          <w:tcPr>
            <w:tcW w:w="220" w:type="dxa"/>
            <w:vAlign w:val="bottom"/>
            <w:vMerge w:val="continue"/>
            <w:shd w:val="clear" w:color="auto" w:fill="F2F2F2"/>
          </w:tcPr>
          <w:p>
            <w:pPr>
              <w:spacing w:after="0"/>
              <w:rPr>
                <w:sz w:val="10"/>
                <w:szCs w:val="10"/>
                <w:color w:val="auto"/>
              </w:rPr>
            </w:pPr>
          </w:p>
        </w:tc>
        <w:tc>
          <w:tcPr>
            <w:tcW w:w="2220" w:type="dxa"/>
            <w:vAlign w:val="bottom"/>
            <w:vMerge w:val="continue"/>
            <w:shd w:val="clear" w:color="auto" w:fill="F2F2F2"/>
          </w:tcPr>
          <w:p>
            <w:pPr>
              <w:spacing w:after="0"/>
              <w:rPr>
                <w:sz w:val="10"/>
                <w:szCs w:val="10"/>
                <w:color w:val="auto"/>
              </w:rPr>
            </w:pPr>
          </w:p>
        </w:tc>
        <w:tc>
          <w:tcPr>
            <w:tcW w:w="100" w:type="dxa"/>
            <w:vAlign w:val="bottom"/>
            <w:shd w:val="clear" w:color="auto" w:fill="F2F2F2"/>
          </w:tcPr>
          <w:p>
            <w:pPr>
              <w:spacing w:after="0"/>
              <w:rPr>
                <w:sz w:val="10"/>
                <w:szCs w:val="10"/>
                <w:color w:val="auto"/>
              </w:rPr>
            </w:pPr>
          </w:p>
        </w:tc>
        <w:tc>
          <w:tcPr>
            <w:tcW w:w="7260" w:type="dxa"/>
            <w:vAlign w:val="bottom"/>
            <w:vMerge w:val="restart"/>
          </w:tcPr>
          <w:p>
            <w:pPr>
              <w:ind w:left="560"/>
              <w:spacing w:after="0"/>
              <w:rPr>
                <w:sz w:val="20"/>
                <w:szCs w:val="20"/>
                <w:color w:val="auto"/>
              </w:rPr>
            </w:pPr>
            <w:r>
              <w:rPr>
                <w:rFonts w:ascii="Arial" w:cs="Arial" w:eastAsia="Arial" w:hAnsi="Arial"/>
                <w:sz w:val="18"/>
                <w:szCs w:val="18"/>
                <w:color w:val="auto"/>
              </w:rPr>
              <w:t>(iv)  our compliance with legal and regulatory requirements.</w:t>
            </w:r>
          </w:p>
        </w:tc>
        <w:tc>
          <w:tcPr>
            <w:tcW w:w="0" w:type="dxa"/>
            <w:vAlign w:val="bottom"/>
          </w:tcPr>
          <w:p>
            <w:pPr>
              <w:spacing w:after="0"/>
              <w:rPr>
                <w:sz w:val="1"/>
                <w:szCs w:val="1"/>
                <w:color w:val="auto"/>
              </w:rPr>
            </w:pPr>
          </w:p>
        </w:tc>
      </w:tr>
      <w:tr>
        <w:trPr>
          <w:trHeight w:val="135"/>
        </w:trPr>
        <w:tc>
          <w:tcPr>
            <w:tcW w:w="120" w:type="dxa"/>
            <w:vAlign w:val="bottom"/>
            <w:shd w:val="clear" w:color="auto" w:fill="F2F2F2"/>
          </w:tcPr>
          <w:p>
            <w:pPr>
              <w:spacing w:after="0"/>
              <w:rPr>
                <w:sz w:val="11"/>
                <w:szCs w:val="11"/>
                <w:color w:val="auto"/>
              </w:rPr>
            </w:pPr>
          </w:p>
        </w:tc>
        <w:tc>
          <w:tcPr>
            <w:tcW w:w="220" w:type="dxa"/>
            <w:vAlign w:val="bottom"/>
            <w:shd w:val="clear" w:color="auto" w:fill="F2F2F2"/>
          </w:tcPr>
          <w:p>
            <w:pPr>
              <w:spacing w:after="0"/>
              <w:rPr>
                <w:sz w:val="11"/>
                <w:szCs w:val="11"/>
                <w:color w:val="auto"/>
              </w:rPr>
            </w:pPr>
          </w:p>
        </w:tc>
        <w:tc>
          <w:tcPr>
            <w:tcW w:w="2220" w:type="dxa"/>
            <w:vAlign w:val="bottom"/>
            <w:shd w:val="clear" w:color="auto" w:fill="F2F2F2"/>
          </w:tcPr>
          <w:p>
            <w:pPr>
              <w:spacing w:after="0"/>
              <w:rPr>
                <w:sz w:val="11"/>
                <w:szCs w:val="11"/>
                <w:color w:val="auto"/>
              </w:rPr>
            </w:pPr>
          </w:p>
        </w:tc>
        <w:tc>
          <w:tcPr>
            <w:tcW w:w="100" w:type="dxa"/>
            <w:vAlign w:val="bottom"/>
            <w:shd w:val="clear" w:color="auto" w:fill="F2F2F2"/>
          </w:tcPr>
          <w:p>
            <w:pPr>
              <w:spacing w:after="0"/>
              <w:rPr>
                <w:sz w:val="11"/>
                <w:szCs w:val="11"/>
                <w:color w:val="auto"/>
              </w:rPr>
            </w:pPr>
          </w:p>
        </w:tc>
        <w:tc>
          <w:tcPr>
            <w:tcW w:w="7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0"/>
        </w:trPr>
        <w:tc>
          <w:tcPr>
            <w:tcW w:w="120" w:type="dxa"/>
            <w:vAlign w:val="bottom"/>
            <w:shd w:val="clear" w:color="auto" w:fill="F2F2F2"/>
          </w:tcPr>
          <w:p>
            <w:pPr>
              <w:spacing w:after="0"/>
              <w:rPr>
                <w:sz w:val="19"/>
                <w:szCs w:val="19"/>
                <w:color w:val="auto"/>
              </w:rPr>
            </w:pPr>
          </w:p>
        </w:tc>
        <w:tc>
          <w:tcPr>
            <w:tcW w:w="220" w:type="dxa"/>
            <w:vAlign w:val="bottom"/>
            <w:shd w:val="clear" w:color="auto" w:fill="F2F2F2"/>
          </w:tcPr>
          <w:p>
            <w:pPr>
              <w:spacing w:after="0"/>
              <w:rPr>
                <w:sz w:val="19"/>
                <w:szCs w:val="19"/>
                <w:color w:val="auto"/>
              </w:rPr>
            </w:pPr>
          </w:p>
        </w:tc>
        <w:tc>
          <w:tcPr>
            <w:tcW w:w="2220" w:type="dxa"/>
            <w:vAlign w:val="bottom"/>
            <w:shd w:val="clear" w:color="auto" w:fill="F2F2F2"/>
          </w:tcPr>
          <w:p>
            <w:pPr>
              <w:spacing w:after="0"/>
              <w:rPr>
                <w:sz w:val="19"/>
                <w:szCs w:val="19"/>
                <w:color w:val="auto"/>
              </w:rPr>
            </w:pPr>
          </w:p>
        </w:tc>
        <w:tc>
          <w:tcPr>
            <w:tcW w:w="100" w:type="dxa"/>
            <w:vAlign w:val="bottom"/>
            <w:shd w:val="clear" w:color="auto" w:fill="F2F2F2"/>
          </w:tcPr>
          <w:p>
            <w:pPr>
              <w:spacing w:after="0"/>
              <w:rPr>
                <w:sz w:val="19"/>
                <w:szCs w:val="19"/>
                <w:color w:val="auto"/>
              </w:rPr>
            </w:pPr>
          </w:p>
        </w:tc>
        <w:tc>
          <w:tcPr>
            <w:tcW w:w="7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4A7EBB"/>
              </w:rPr>
              <w:t xml:space="preserve">●   </w:t>
            </w:r>
            <w:r>
              <w:rPr>
                <w:rFonts w:ascii="Arial" w:cs="Arial" w:eastAsia="Arial" w:hAnsi="Arial"/>
                <w:sz w:val="18"/>
                <w:szCs w:val="18"/>
                <w:color w:val="000000"/>
              </w:rPr>
              <w:t>the appointment, compensation and oversight of the work of G-III’s independent</w:t>
            </w:r>
          </w:p>
        </w:tc>
        <w:tc>
          <w:tcPr>
            <w:tcW w:w="0" w:type="dxa"/>
            <w:vAlign w:val="bottom"/>
          </w:tcPr>
          <w:p>
            <w:pPr>
              <w:spacing w:after="0"/>
              <w:rPr>
                <w:sz w:val="1"/>
                <w:szCs w:val="1"/>
                <w:color w:val="auto"/>
              </w:rPr>
            </w:pPr>
          </w:p>
        </w:tc>
      </w:tr>
      <w:tr>
        <w:trPr>
          <w:trHeight w:val="239"/>
        </w:trPr>
        <w:tc>
          <w:tcPr>
            <w:tcW w:w="120" w:type="dxa"/>
            <w:vAlign w:val="bottom"/>
            <w:shd w:val="clear" w:color="auto" w:fill="F2F2F2"/>
          </w:tcPr>
          <w:p>
            <w:pPr>
              <w:spacing w:after="0"/>
              <w:rPr>
                <w:sz w:val="20"/>
                <w:szCs w:val="20"/>
                <w:color w:val="auto"/>
              </w:rPr>
            </w:pPr>
          </w:p>
        </w:tc>
        <w:tc>
          <w:tcPr>
            <w:tcW w:w="220" w:type="dxa"/>
            <w:vAlign w:val="bottom"/>
            <w:shd w:val="clear" w:color="auto" w:fill="F2F2F2"/>
          </w:tcPr>
          <w:p>
            <w:pPr>
              <w:spacing w:after="0"/>
              <w:rPr>
                <w:sz w:val="20"/>
                <w:szCs w:val="20"/>
                <w:color w:val="auto"/>
              </w:rPr>
            </w:pPr>
          </w:p>
        </w:tc>
        <w:tc>
          <w:tcPr>
            <w:tcW w:w="2220" w:type="dxa"/>
            <w:vAlign w:val="bottom"/>
            <w:shd w:val="clear" w:color="auto" w:fill="F2F2F2"/>
          </w:tcPr>
          <w:p>
            <w:pPr>
              <w:spacing w:after="0"/>
              <w:rPr>
                <w:sz w:val="20"/>
                <w:szCs w:val="20"/>
                <w:color w:val="auto"/>
              </w:rPr>
            </w:pPr>
          </w:p>
        </w:tc>
        <w:tc>
          <w:tcPr>
            <w:tcW w:w="100" w:type="dxa"/>
            <w:vAlign w:val="bottom"/>
            <w:shd w:val="clear" w:color="auto" w:fill="F2F2F2"/>
          </w:tcPr>
          <w:p>
            <w:pPr>
              <w:spacing w:after="0"/>
              <w:rPr>
                <w:sz w:val="20"/>
                <w:szCs w:val="20"/>
                <w:color w:val="auto"/>
              </w:rPr>
            </w:pPr>
          </w:p>
        </w:tc>
        <w:tc>
          <w:tcPr>
            <w:tcW w:w="7260" w:type="dxa"/>
            <w:vAlign w:val="bottom"/>
          </w:tcPr>
          <w:p>
            <w:pPr>
              <w:ind w:left="560"/>
              <w:spacing w:after="0"/>
              <w:rPr>
                <w:sz w:val="20"/>
                <w:szCs w:val="20"/>
                <w:color w:val="auto"/>
              </w:rPr>
            </w:pPr>
            <w:r>
              <w:rPr>
                <w:rFonts w:ascii="Arial" w:cs="Arial" w:eastAsia="Arial" w:hAnsi="Arial"/>
                <w:sz w:val="18"/>
                <w:szCs w:val="18"/>
                <w:color w:val="auto"/>
              </w:rPr>
              <w:t>registered public accounting firm.</w:t>
            </w:r>
          </w:p>
        </w:tc>
        <w:tc>
          <w:tcPr>
            <w:tcW w:w="0" w:type="dxa"/>
            <w:vAlign w:val="bottom"/>
          </w:tcPr>
          <w:p>
            <w:pPr>
              <w:spacing w:after="0"/>
              <w:rPr>
                <w:sz w:val="1"/>
                <w:szCs w:val="1"/>
                <w:color w:val="auto"/>
              </w:rPr>
            </w:pPr>
          </w:p>
        </w:tc>
      </w:tr>
      <w:tr>
        <w:trPr>
          <w:trHeight w:val="90"/>
        </w:trPr>
        <w:tc>
          <w:tcPr>
            <w:tcW w:w="120" w:type="dxa"/>
            <w:vAlign w:val="bottom"/>
            <w:tcBorders>
              <w:bottom w:val="single" w:sz="8" w:color="F2F2F2"/>
            </w:tcBorders>
            <w:shd w:val="clear" w:color="auto" w:fill="F2F2F2"/>
          </w:tcPr>
          <w:p>
            <w:pPr>
              <w:spacing w:after="0"/>
              <w:rPr>
                <w:sz w:val="7"/>
                <w:szCs w:val="7"/>
                <w:color w:val="auto"/>
              </w:rPr>
            </w:pPr>
          </w:p>
        </w:tc>
        <w:tc>
          <w:tcPr>
            <w:tcW w:w="220" w:type="dxa"/>
            <w:vAlign w:val="bottom"/>
            <w:tcBorders>
              <w:bottom w:val="single" w:sz="8" w:color="F2F2F2"/>
            </w:tcBorders>
            <w:shd w:val="clear" w:color="auto" w:fill="F2F2F2"/>
          </w:tcPr>
          <w:p>
            <w:pPr>
              <w:spacing w:after="0"/>
              <w:rPr>
                <w:sz w:val="7"/>
                <w:szCs w:val="7"/>
                <w:color w:val="auto"/>
              </w:rPr>
            </w:pPr>
          </w:p>
        </w:tc>
        <w:tc>
          <w:tcPr>
            <w:tcW w:w="2220" w:type="dxa"/>
            <w:vAlign w:val="bottom"/>
            <w:tcBorders>
              <w:bottom w:val="single" w:sz="8" w:color="F2F2F2"/>
            </w:tcBorders>
            <w:shd w:val="clear" w:color="auto" w:fill="F2F2F2"/>
          </w:tcPr>
          <w:p>
            <w:pPr>
              <w:spacing w:after="0"/>
              <w:rPr>
                <w:sz w:val="7"/>
                <w:szCs w:val="7"/>
                <w:color w:val="auto"/>
              </w:rPr>
            </w:pPr>
          </w:p>
        </w:tc>
        <w:tc>
          <w:tcPr>
            <w:tcW w:w="100" w:type="dxa"/>
            <w:vAlign w:val="bottom"/>
            <w:tcBorders>
              <w:bottom w:val="single" w:sz="8" w:color="F2F2F2"/>
            </w:tcBorders>
            <w:shd w:val="clear" w:color="auto" w:fill="F2F2F2"/>
          </w:tcPr>
          <w:p>
            <w:pPr>
              <w:spacing w:after="0"/>
              <w:rPr>
                <w:sz w:val="7"/>
                <w:szCs w:val="7"/>
                <w:color w:val="auto"/>
              </w:rPr>
            </w:pPr>
          </w:p>
        </w:tc>
        <w:tc>
          <w:tcPr>
            <w:tcW w:w="7260" w:type="dxa"/>
            <w:vAlign w:val="bottom"/>
            <w:tcBorders>
              <w:bottom w:val="single" w:sz="8" w:color="4A7EBB"/>
            </w:tcBorders>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120" w:type="dxa"/>
            <w:vAlign w:val="bottom"/>
            <w:shd w:val="clear" w:color="auto" w:fill="F2F2F2"/>
          </w:tcPr>
          <w:p>
            <w:pPr>
              <w:spacing w:after="0"/>
              <w:rPr>
                <w:sz w:val="18"/>
                <w:szCs w:val="18"/>
                <w:color w:val="auto"/>
              </w:rPr>
            </w:pPr>
          </w:p>
        </w:tc>
        <w:tc>
          <w:tcPr>
            <w:tcW w:w="220" w:type="dxa"/>
            <w:vAlign w:val="bottom"/>
            <w:shd w:val="clear" w:color="auto" w:fill="F2F2F2"/>
          </w:tcPr>
          <w:p>
            <w:pPr>
              <w:spacing w:after="0"/>
              <w:rPr>
                <w:sz w:val="18"/>
                <w:szCs w:val="18"/>
                <w:color w:val="auto"/>
              </w:rPr>
            </w:pPr>
          </w:p>
        </w:tc>
        <w:tc>
          <w:tcPr>
            <w:tcW w:w="2320" w:type="dxa"/>
            <w:vAlign w:val="bottom"/>
            <w:gridSpan w:val="2"/>
            <w:vMerge w:val="restart"/>
            <w:shd w:val="clear" w:color="auto" w:fill="F2F2F2"/>
          </w:tcPr>
          <w:p>
            <w:pPr>
              <w:ind w:left="100"/>
              <w:spacing w:after="0"/>
              <w:rPr>
                <w:sz w:val="20"/>
                <w:szCs w:val="20"/>
                <w:color w:val="auto"/>
              </w:rPr>
            </w:pPr>
            <w:r>
              <w:rPr>
                <w:rFonts w:ascii="Arial" w:cs="Arial" w:eastAsia="Arial" w:hAnsi="Arial"/>
                <w:sz w:val="15"/>
                <w:szCs w:val="15"/>
                <w:color w:val="auto"/>
              </w:rPr>
              <w:t>ALL MEMBERS OF THE</w:t>
            </w:r>
          </w:p>
        </w:tc>
        <w:tc>
          <w:tcPr>
            <w:tcW w:w="7260" w:type="dxa"/>
            <w:vAlign w:val="bottom"/>
            <w:shd w:val="clear" w:color="auto" w:fill="F2F2F2"/>
          </w:tcPr>
          <w:p>
            <w:pPr>
              <w:ind w:left="100"/>
              <w:spacing w:after="0"/>
              <w:rPr>
                <w:sz w:val="20"/>
                <w:szCs w:val="20"/>
                <w:color w:val="auto"/>
              </w:rPr>
            </w:pPr>
            <w:r>
              <w:rPr>
                <w:rFonts w:ascii="Arial" w:cs="Arial" w:eastAsia="Arial" w:hAnsi="Arial"/>
                <w:sz w:val="16"/>
                <w:szCs w:val="16"/>
                <w:color w:val="4A7EBB"/>
              </w:rPr>
              <w:t>Qualifications</w:t>
            </w:r>
          </w:p>
        </w:tc>
        <w:tc>
          <w:tcPr>
            <w:tcW w:w="0" w:type="dxa"/>
            <w:vAlign w:val="bottom"/>
          </w:tcPr>
          <w:p>
            <w:pPr>
              <w:spacing w:after="0"/>
              <w:rPr>
                <w:sz w:val="1"/>
                <w:szCs w:val="1"/>
                <w:color w:val="auto"/>
              </w:rPr>
            </w:pPr>
          </w:p>
        </w:tc>
      </w:tr>
      <w:tr>
        <w:trPr>
          <w:trHeight w:val="146"/>
        </w:trPr>
        <w:tc>
          <w:tcPr>
            <w:tcW w:w="120" w:type="dxa"/>
            <w:vAlign w:val="bottom"/>
            <w:shd w:val="clear" w:color="auto" w:fill="F2F2F2"/>
          </w:tcPr>
          <w:p>
            <w:pPr>
              <w:spacing w:after="0"/>
              <w:rPr>
                <w:sz w:val="12"/>
                <w:szCs w:val="12"/>
                <w:color w:val="auto"/>
              </w:rPr>
            </w:pPr>
          </w:p>
        </w:tc>
        <w:tc>
          <w:tcPr>
            <w:tcW w:w="220" w:type="dxa"/>
            <w:vAlign w:val="bottom"/>
            <w:shd w:val="clear" w:color="auto" w:fill="F2F2F2"/>
          </w:tcPr>
          <w:p>
            <w:pPr>
              <w:spacing w:after="0"/>
              <w:rPr>
                <w:sz w:val="12"/>
                <w:szCs w:val="12"/>
                <w:color w:val="auto"/>
              </w:rPr>
            </w:pPr>
          </w:p>
        </w:tc>
        <w:tc>
          <w:tcPr>
            <w:tcW w:w="2320" w:type="dxa"/>
            <w:vAlign w:val="bottom"/>
            <w:gridSpan w:val="2"/>
            <w:vMerge w:val="continue"/>
            <w:shd w:val="clear" w:color="auto" w:fill="F2F2F2"/>
          </w:tcPr>
          <w:p>
            <w:pPr>
              <w:spacing w:after="0"/>
              <w:rPr>
                <w:sz w:val="12"/>
                <w:szCs w:val="12"/>
                <w:color w:val="auto"/>
              </w:rPr>
            </w:pPr>
          </w:p>
        </w:tc>
        <w:tc>
          <w:tcPr>
            <w:tcW w:w="7260" w:type="dxa"/>
            <w:vAlign w:val="bottom"/>
            <w:shd w:val="clear" w:color="auto" w:fill="F2F2F2"/>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20" w:type="dxa"/>
            <w:vAlign w:val="bottom"/>
            <w:shd w:val="clear" w:color="auto" w:fill="F2F2F2"/>
          </w:tcPr>
          <w:p>
            <w:pPr>
              <w:spacing w:after="0"/>
              <w:rPr>
                <w:sz w:val="14"/>
                <w:szCs w:val="14"/>
                <w:color w:val="auto"/>
              </w:rPr>
            </w:pPr>
          </w:p>
        </w:tc>
        <w:tc>
          <w:tcPr>
            <w:tcW w:w="220" w:type="dxa"/>
            <w:vAlign w:val="bottom"/>
            <w:shd w:val="clear" w:color="auto" w:fill="F2F2F2"/>
          </w:tcPr>
          <w:p>
            <w:pPr>
              <w:spacing w:after="0"/>
              <w:rPr>
                <w:sz w:val="14"/>
                <w:szCs w:val="14"/>
                <w:color w:val="auto"/>
              </w:rPr>
            </w:pPr>
          </w:p>
        </w:tc>
        <w:tc>
          <w:tcPr>
            <w:tcW w:w="2320" w:type="dxa"/>
            <w:vAlign w:val="bottom"/>
            <w:gridSpan w:val="2"/>
            <w:shd w:val="clear" w:color="auto" w:fill="F2F2F2"/>
          </w:tcPr>
          <w:p>
            <w:pPr>
              <w:ind w:left="100"/>
              <w:spacing w:after="0" w:line="162" w:lineRule="exact"/>
              <w:rPr>
                <w:sz w:val="20"/>
                <w:szCs w:val="20"/>
                <w:color w:val="auto"/>
              </w:rPr>
            </w:pPr>
            <w:r>
              <w:rPr>
                <w:rFonts w:ascii="Arial" w:cs="Arial" w:eastAsia="Arial" w:hAnsi="Arial"/>
                <w:sz w:val="15"/>
                <w:szCs w:val="15"/>
                <w:color w:val="auto"/>
              </w:rPr>
              <w:t>AUDIT COMMITTEE ARE</w:t>
            </w:r>
          </w:p>
        </w:tc>
        <w:tc>
          <w:tcPr>
            <w:tcW w:w="7260" w:type="dxa"/>
            <w:vAlign w:val="bottom"/>
            <w:vMerge w:val="restart"/>
            <w:shd w:val="clear" w:color="auto" w:fill="F2F2F2"/>
          </w:tcPr>
          <w:p>
            <w:pPr>
              <w:jc w:val="right"/>
              <w:ind w:right="12"/>
              <w:spacing w:after="0"/>
              <w:rPr>
                <w:sz w:val="20"/>
                <w:szCs w:val="20"/>
                <w:color w:val="auto"/>
              </w:rPr>
            </w:pPr>
            <w:r>
              <w:rPr>
                <w:rFonts w:ascii="Arial" w:cs="Arial" w:eastAsia="Arial" w:hAnsi="Arial"/>
                <w:sz w:val="18"/>
                <w:szCs w:val="18"/>
                <w:color w:val="auto"/>
              </w:rPr>
              <w:t>The Board has determined that each of Michael Shaffer, Richard White and Andrew</w:t>
            </w:r>
          </w:p>
        </w:tc>
        <w:tc>
          <w:tcPr>
            <w:tcW w:w="0" w:type="dxa"/>
            <w:vAlign w:val="bottom"/>
          </w:tcPr>
          <w:p>
            <w:pPr>
              <w:spacing w:after="0"/>
              <w:rPr>
                <w:sz w:val="1"/>
                <w:szCs w:val="1"/>
                <w:color w:val="auto"/>
              </w:rPr>
            </w:pPr>
          </w:p>
        </w:tc>
      </w:tr>
      <w:tr>
        <w:trPr>
          <w:trHeight w:val="161"/>
        </w:trPr>
        <w:tc>
          <w:tcPr>
            <w:tcW w:w="120" w:type="dxa"/>
            <w:vAlign w:val="bottom"/>
            <w:shd w:val="clear" w:color="auto" w:fill="F2F2F2"/>
          </w:tcPr>
          <w:p>
            <w:pPr>
              <w:spacing w:after="0"/>
              <w:rPr>
                <w:sz w:val="13"/>
                <w:szCs w:val="13"/>
                <w:color w:val="auto"/>
              </w:rPr>
            </w:pPr>
          </w:p>
        </w:tc>
        <w:tc>
          <w:tcPr>
            <w:tcW w:w="220" w:type="dxa"/>
            <w:vAlign w:val="bottom"/>
            <w:shd w:val="clear" w:color="auto" w:fill="F2F2F2"/>
          </w:tcPr>
          <w:p>
            <w:pPr>
              <w:spacing w:after="0"/>
              <w:rPr>
                <w:sz w:val="13"/>
                <w:szCs w:val="13"/>
                <w:color w:val="auto"/>
              </w:rPr>
            </w:pPr>
          </w:p>
        </w:tc>
        <w:tc>
          <w:tcPr>
            <w:tcW w:w="2320" w:type="dxa"/>
            <w:vAlign w:val="bottom"/>
            <w:gridSpan w:val="2"/>
            <w:shd w:val="clear" w:color="auto" w:fill="F2F2F2"/>
          </w:tcPr>
          <w:p>
            <w:pPr>
              <w:ind w:left="100"/>
              <w:spacing w:after="0" w:line="161" w:lineRule="exact"/>
              <w:rPr>
                <w:sz w:val="20"/>
                <w:szCs w:val="20"/>
                <w:color w:val="auto"/>
              </w:rPr>
            </w:pPr>
            <w:r>
              <w:rPr>
                <w:rFonts w:ascii="Arial" w:cs="Arial" w:eastAsia="Arial" w:hAnsi="Arial"/>
                <w:sz w:val="15"/>
                <w:szCs w:val="15"/>
                <w:color w:val="auto"/>
              </w:rPr>
              <w:t>INDEPENDENT.</w:t>
            </w:r>
          </w:p>
        </w:tc>
        <w:tc>
          <w:tcPr>
            <w:tcW w:w="7260" w:type="dxa"/>
            <w:vAlign w:val="bottom"/>
            <w:vMerge w:val="continue"/>
            <w:shd w:val="clear" w:color="auto" w:fill="F2F2F2"/>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20" w:type="dxa"/>
            <w:vAlign w:val="bottom"/>
            <w:shd w:val="clear" w:color="auto" w:fill="F2F2F2"/>
          </w:tcPr>
          <w:p>
            <w:pPr>
              <w:spacing w:after="0"/>
              <w:rPr>
                <w:sz w:val="17"/>
                <w:szCs w:val="17"/>
                <w:color w:val="auto"/>
              </w:rPr>
            </w:pPr>
          </w:p>
        </w:tc>
        <w:tc>
          <w:tcPr>
            <w:tcW w:w="220" w:type="dxa"/>
            <w:vAlign w:val="bottom"/>
            <w:shd w:val="clear" w:color="auto" w:fill="F2F2F2"/>
          </w:tcPr>
          <w:p>
            <w:pPr>
              <w:spacing w:after="0"/>
              <w:rPr>
                <w:sz w:val="17"/>
                <w:szCs w:val="17"/>
                <w:color w:val="auto"/>
              </w:rPr>
            </w:pPr>
          </w:p>
        </w:tc>
        <w:tc>
          <w:tcPr>
            <w:tcW w:w="2220" w:type="dxa"/>
            <w:vAlign w:val="bottom"/>
            <w:shd w:val="clear" w:color="auto" w:fill="F2F2F2"/>
          </w:tcPr>
          <w:p>
            <w:pPr>
              <w:spacing w:after="0"/>
              <w:rPr>
                <w:sz w:val="17"/>
                <w:szCs w:val="17"/>
                <w:color w:val="auto"/>
              </w:rPr>
            </w:pPr>
          </w:p>
        </w:tc>
        <w:tc>
          <w:tcPr>
            <w:tcW w:w="100" w:type="dxa"/>
            <w:vAlign w:val="bottom"/>
            <w:shd w:val="clear" w:color="auto" w:fill="F2F2F2"/>
          </w:tcPr>
          <w:p>
            <w:pPr>
              <w:spacing w:after="0"/>
              <w:rPr>
                <w:sz w:val="17"/>
                <w:szCs w:val="17"/>
                <w:color w:val="auto"/>
              </w:rPr>
            </w:pPr>
          </w:p>
        </w:tc>
        <w:tc>
          <w:tcPr>
            <w:tcW w:w="7260" w:type="dxa"/>
            <w:vAlign w:val="bottom"/>
            <w:shd w:val="clear" w:color="auto" w:fill="F2F2F2"/>
          </w:tcPr>
          <w:p>
            <w:pPr>
              <w:jc w:val="right"/>
              <w:ind w:right="32"/>
              <w:spacing w:after="0" w:line="202" w:lineRule="exact"/>
              <w:rPr>
                <w:sz w:val="20"/>
                <w:szCs w:val="20"/>
                <w:color w:val="auto"/>
              </w:rPr>
            </w:pPr>
            <w:r>
              <w:rPr>
                <w:rFonts w:ascii="Arial" w:cs="Arial" w:eastAsia="Arial" w:hAnsi="Arial"/>
                <w:sz w:val="18"/>
                <w:szCs w:val="18"/>
                <w:color w:val="auto"/>
              </w:rPr>
              <w:t>Yaeger is an audit committee financial expert as such term is defined in the rules of</w:t>
            </w:r>
          </w:p>
        </w:tc>
        <w:tc>
          <w:tcPr>
            <w:tcW w:w="0" w:type="dxa"/>
            <w:vAlign w:val="bottom"/>
          </w:tcPr>
          <w:p>
            <w:pPr>
              <w:spacing w:after="0"/>
              <w:rPr>
                <w:sz w:val="1"/>
                <w:szCs w:val="1"/>
                <w:color w:val="auto"/>
              </w:rPr>
            </w:pPr>
          </w:p>
        </w:tc>
      </w:tr>
      <w:tr>
        <w:trPr>
          <w:trHeight w:val="280"/>
        </w:trPr>
        <w:tc>
          <w:tcPr>
            <w:tcW w:w="120" w:type="dxa"/>
            <w:vAlign w:val="bottom"/>
            <w:tcBorders>
              <w:bottom w:val="single" w:sz="8" w:color="F2F2F2"/>
            </w:tcBorders>
            <w:shd w:val="clear" w:color="auto" w:fill="F2F2F2"/>
          </w:tcPr>
          <w:p>
            <w:pPr>
              <w:spacing w:after="0"/>
              <w:rPr>
                <w:sz w:val="23"/>
                <w:szCs w:val="23"/>
                <w:color w:val="auto"/>
              </w:rPr>
            </w:pPr>
          </w:p>
        </w:tc>
        <w:tc>
          <w:tcPr>
            <w:tcW w:w="220" w:type="dxa"/>
            <w:vAlign w:val="bottom"/>
            <w:tcBorders>
              <w:bottom w:val="single" w:sz="8" w:color="F2F2F2"/>
            </w:tcBorders>
            <w:shd w:val="clear" w:color="auto" w:fill="F2F2F2"/>
          </w:tcPr>
          <w:p>
            <w:pPr>
              <w:spacing w:after="0"/>
              <w:rPr>
                <w:sz w:val="23"/>
                <w:szCs w:val="23"/>
                <w:color w:val="auto"/>
              </w:rPr>
            </w:pPr>
          </w:p>
        </w:tc>
        <w:tc>
          <w:tcPr>
            <w:tcW w:w="2220" w:type="dxa"/>
            <w:vAlign w:val="bottom"/>
            <w:tcBorders>
              <w:bottom w:val="single" w:sz="8" w:color="F2F2F2"/>
            </w:tcBorders>
            <w:shd w:val="clear" w:color="auto" w:fill="F2F2F2"/>
          </w:tcPr>
          <w:p>
            <w:pPr>
              <w:spacing w:after="0"/>
              <w:rPr>
                <w:sz w:val="23"/>
                <w:szCs w:val="23"/>
                <w:color w:val="auto"/>
              </w:rPr>
            </w:pPr>
          </w:p>
        </w:tc>
        <w:tc>
          <w:tcPr>
            <w:tcW w:w="100" w:type="dxa"/>
            <w:vAlign w:val="bottom"/>
            <w:tcBorders>
              <w:bottom w:val="single" w:sz="8" w:color="F2F2F2"/>
            </w:tcBorders>
            <w:shd w:val="clear" w:color="auto" w:fill="F2F2F2"/>
          </w:tcPr>
          <w:p>
            <w:pPr>
              <w:spacing w:after="0"/>
              <w:rPr>
                <w:sz w:val="23"/>
                <w:szCs w:val="23"/>
                <w:color w:val="auto"/>
              </w:rPr>
            </w:pPr>
          </w:p>
        </w:tc>
        <w:tc>
          <w:tcPr>
            <w:tcW w:w="7260" w:type="dxa"/>
            <w:vAlign w:val="bottom"/>
            <w:tcBorders>
              <w:bottom w:val="single" w:sz="8" w:color="F2F2F2"/>
            </w:tcBorders>
            <w:shd w:val="clear" w:color="auto" w:fill="F2F2F2"/>
          </w:tcPr>
          <w:p>
            <w:pPr>
              <w:ind w:left="460"/>
              <w:spacing w:after="0"/>
              <w:rPr>
                <w:sz w:val="20"/>
                <w:szCs w:val="20"/>
                <w:color w:val="auto"/>
              </w:rPr>
            </w:pPr>
            <w:r>
              <w:rPr>
                <w:rFonts w:ascii="Arial" w:cs="Arial" w:eastAsia="Arial" w:hAnsi="Arial"/>
                <w:sz w:val="18"/>
                <w:szCs w:val="18"/>
                <w:color w:val="auto"/>
              </w:rPr>
              <w:t>the SEC.</w:t>
            </w:r>
          </w:p>
        </w:tc>
        <w:tc>
          <w:tcPr>
            <w:tcW w:w="0" w:type="dxa"/>
            <w:vAlign w:val="bottom"/>
          </w:tcPr>
          <w:p>
            <w:pPr>
              <w:spacing w:after="0"/>
              <w:rPr>
                <w:sz w:val="1"/>
                <w:szCs w:val="1"/>
                <w:color w:val="auto"/>
              </w:rPr>
            </w:pPr>
          </w:p>
        </w:tc>
      </w:tr>
      <w:tr>
        <w:trPr>
          <w:trHeight w:val="208"/>
        </w:trPr>
        <w:tc>
          <w:tcPr>
            <w:tcW w:w="120" w:type="dxa"/>
            <w:vAlign w:val="bottom"/>
            <w:tcBorders>
              <w:top w:val="single" w:sz="8" w:color="F2F2F2"/>
            </w:tcBorders>
            <w:shd w:val="clear" w:color="auto" w:fill="F2F2F2"/>
          </w:tcPr>
          <w:p>
            <w:pPr>
              <w:spacing w:after="0"/>
              <w:rPr>
                <w:sz w:val="18"/>
                <w:szCs w:val="18"/>
                <w:color w:val="auto"/>
              </w:rPr>
            </w:pPr>
          </w:p>
        </w:tc>
        <w:tc>
          <w:tcPr>
            <w:tcW w:w="220" w:type="dxa"/>
            <w:vAlign w:val="bottom"/>
            <w:tcBorders>
              <w:top w:val="single" w:sz="8" w:color="F2F2F2"/>
            </w:tcBorders>
            <w:shd w:val="clear" w:color="auto" w:fill="F2F2F2"/>
          </w:tcPr>
          <w:p>
            <w:pPr>
              <w:spacing w:after="0"/>
              <w:rPr>
                <w:sz w:val="18"/>
                <w:szCs w:val="18"/>
                <w:color w:val="auto"/>
              </w:rPr>
            </w:pPr>
          </w:p>
        </w:tc>
        <w:tc>
          <w:tcPr>
            <w:tcW w:w="2220" w:type="dxa"/>
            <w:vAlign w:val="bottom"/>
            <w:tcBorders>
              <w:top w:val="single" w:sz="8" w:color="F2F2F2"/>
            </w:tcBorders>
            <w:shd w:val="clear" w:color="auto" w:fill="F2F2F2"/>
          </w:tcPr>
          <w:p>
            <w:pPr>
              <w:spacing w:after="0"/>
              <w:rPr>
                <w:sz w:val="18"/>
                <w:szCs w:val="18"/>
                <w:color w:val="auto"/>
              </w:rPr>
            </w:pPr>
          </w:p>
        </w:tc>
        <w:tc>
          <w:tcPr>
            <w:tcW w:w="100" w:type="dxa"/>
            <w:vAlign w:val="bottom"/>
            <w:tcBorders>
              <w:top w:val="single" w:sz="8" w:color="F2F2F2"/>
            </w:tcBorders>
            <w:shd w:val="clear" w:color="auto" w:fill="F2F2F2"/>
          </w:tcPr>
          <w:p>
            <w:pPr>
              <w:spacing w:after="0"/>
              <w:rPr>
                <w:sz w:val="18"/>
                <w:szCs w:val="18"/>
                <w:color w:val="auto"/>
              </w:rPr>
            </w:pPr>
          </w:p>
        </w:tc>
        <w:tc>
          <w:tcPr>
            <w:tcW w:w="7260" w:type="dxa"/>
            <w:vAlign w:val="bottom"/>
            <w:tcBorders>
              <w:top w:val="single" w:sz="8" w:color="4A7EBB"/>
            </w:tcBorders>
          </w:tcPr>
          <w:p>
            <w:pPr>
              <w:ind w:left="100"/>
              <w:spacing w:after="0"/>
              <w:rPr>
                <w:sz w:val="20"/>
                <w:szCs w:val="20"/>
                <w:color w:val="auto"/>
              </w:rPr>
            </w:pPr>
            <w:r>
              <w:rPr>
                <w:rFonts w:ascii="Arial" w:cs="Arial" w:eastAsia="Arial" w:hAnsi="Arial"/>
                <w:sz w:val="16"/>
                <w:szCs w:val="16"/>
                <w:color w:val="4A7EBB"/>
              </w:rPr>
              <w:t>Charter</w:t>
            </w:r>
          </w:p>
        </w:tc>
        <w:tc>
          <w:tcPr>
            <w:tcW w:w="0" w:type="dxa"/>
            <w:vAlign w:val="bottom"/>
          </w:tcPr>
          <w:p>
            <w:pPr>
              <w:spacing w:after="0"/>
              <w:rPr>
                <w:sz w:val="1"/>
                <w:szCs w:val="1"/>
                <w:color w:val="auto"/>
              </w:rPr>
            </w:pPr>
          </w:p>
        </w:tc>
      </w:tr>
      <w:tr>
        <w:trPr>
          <w:trHeight w:val="199"/>
        </w:trPr>
        <w:tc>
          <w:tcPr>
            <w:tcW w:w="120" w:type="dxa"/>
            <w:vAlign w:val="bottom"/>
            <w:shd w:val="clear" w:color="auto" w:fill="F2F2F2"/>
          </w:tcPr>
          <w:p>
            <w:pPr>
              <w:spacing w:after="0"/>
              <w:rPr>
                <w:sz w:val="17"/>
                <w:szCs w:val="17"/>
                <w:color w:val="auto"/>
              </w:rPr>
            </w:pPr>
          </w:p>
        </w:tc>
        <w:tc>
          <w:tcPr>
            <w:tcW w:w="220" w:type="dxa"/>
            <w:vAlign w:val="bottom"/>
            <w:shd w:val="clear" w:color="auto" w:fill="F2F2F2"/>
          </w:tcPr>
          <w:p>
            <w:pPr>
              <w:spacing w:after="0"/>
              <w:rPr>
                <w:sz w:val="17"/>
                <w:szCs w:val="17"/>
                <w:color w:val="auto"/>
              </w:rPr>
            </w:pPr>
          </w:p>
        </w:tc>
        <w:tc>
          <w:tcPr>
            <w:tcW w:w="2220" w:type="dxa"/>
            <w:vAlign w:val="bottom"/>
            <w:shd w:val="clear" w:color="auto" w:fill="F2F2F2"/>
          </w:tcPr>
          <w:p>
            <w:pPr>
              <w:spacing w:after="0"/>
              <w:rPr>
                <w:sz w:val="17"/>
                <w:szCs w:val="17"/>
                <w:color w:val="auto"/>
              </w:rPr>
            </w:pPr>
          </w:p>
        </w:tc>
        <w:tc>
          <w:tcPr>
            <w:tcW w:w="100" w:type="dxa"/>
            <w:vAlign w:val="bottom"/>
            <w:shd w:val="clear" w:color="auto" w:fill="F2F2F2"/>
          </w:tcPr>
          <w:p>
            <w:pPr>
              <w:spacing w:after="0"/>
              <w:rPr>
                <w:sz w:val="17"/>
                <w:szCs w:val="17"/>
                <w:color w:val="auto"/>
              </w:rPr>
            </w:pPr>
          </w:p>
        </w:tc>
        <w:tc>
          <w:tcPr>
            <w:tcW w:w="7260" w:type="dxa"/>
            <w:vAlign w:val="bottom"/>
          </w:tcPr>
          <w:p>
            <w:pPr>
              <w:ind w:left="100"/>
              <w:spacing w:after="0" w:line="199" w:lineRule="exact"/>
              <w:rPr>
                <w:sz w:val="20"/>
                <w:szCs w:val="20"/>
                <w:color w:val="auto"/>
              </w:rPr>
            </w:pPr>
            <w:r>
              <w:rPr>
                <w:rFonts w:ascii="Arial" w:cs="Arial" w:eastAsia="Arial" w:hAnsi="Arial"/>
                <w:sz w:val="18"/>
                <w:szCs w:val="18"/>
                <w:color w:val="auto"/>
              </w:rPr>
              <w:t>A copy of the Audit Committee’s charter is available in the “Investors” section of our</w:t>
            </w:r>
          </w:p>
        </w:tc>
        <w:tc>
          <w:tcPr>
            <w:tcW w:w="0" w:type="dxa"/>
            <w:vAlign w:val="bottom"/>
          </w:tcPr>
          <w:p>
            <w:pPr>
              <w:spacing w:after="0"/>
              <w:rPr>
                <w:sz w:val="1"/>
                <w:szCs w:val="1"/>
                <w:color w:val="auto"/>
              </w:rPr>
            </w:pPr>
          </w:p>
        </w:tc>
      </w:tr>
      <w:tr>
        <w:trPr>
          <w:trHeight w:val="269"/>
        </w:trPr>
        <w:tc>
          <w:tcPr>
            <w:tcW w:w="120" w:type="dxa"/>
            <w:vAlign w:val="bottom"/>
            <w:tcBorders>
              <w:bottom w:val="single" w:sz="8" w:color="F2F2F2"/>
            </w:tcBorders>
            <w:shd w:val="clear" w:color="auto" w:fill="F2F2F2"/>
          </w:tcPr>
          <w:p>
            <w:pPr>
              <w:spacing w:after="0"/>
              <w:rPr>
                <w:sz w:val="23"/>
                <w:szCs w:val="23"/>
                <w:color w:val="auto"/>
              </w:rPr>
            </w:pPr>
          </w:p>
        </w:tc>
        <w:tc>
          <w:tcPr>
            <w:tcW w:w="220" w:type="dxa"/>
            <w:vAlign w:val="bottom"/>
            <w:tcBorders>
              <w:bottom w:val="single" w:sz="8" w:color="F2F2F2"/>
            </w:tcBorders>
            <w:shd w:val="clear" w:color="auto" w:fill="F2F2F2"/>
          </w:tcPr>
          <w:p>
            <w:pPr>
              <w:spacing w:after="0"/>
              <w:rPr>
                <w:sz w:val="23"/>
                <w:szCs w:val="23"/>
                <w:color w:val="auto"/>
              </w:rPr>
            </w:pPr>
          </w:p>
        </w:tc>
        <w:tc>
          <w:tcPr>
            <w:tcW w:w="2220" w:type="dxa"/>
            <w:vAlign w:val="bottom"/>
            <w:tcBorders>
              <w:bottom w:val="single" w:sz="8" w:color="F2F2F2"/>
            </w:tcBorders>
            <w:shd w:val="clear" w:color="auto" w:fill="F2F2F2"/>
          </w:tcPr>
          <w:p>
            <w:pPr>
              <w:spacing w:after="0"/>
              <w:rPr>
                <w:sz w:val="23"/>
                <w:szCs w:val="23"/>
                <w:color w:val="auto"/>
              </w:rPr>
            </w:pPr>
          </w:p>
        </w:tc>
        <w:tc>
          <w:tcPr>
            <w:tcW w:w="100" w:type="dxa"/>
            <w:vAlign w:val="bottom"/>
            <w:tcBorders>
              <w:bottom w:val="single" w:sz="8" w:color="F2F2F2"/>
            </w:tcBorders>
            <w:shd w:val="clear" w:color="auto" w:fill="F2F2F2"/>
          </w:tcPr>
          <w:p>
            <w:pPr>
              <w:spacing w:after="0"/>
              <w:rPr>
                <w:sz w:val="23"/>
                <w:szCs w:val="23"/>
                <w:color w:val="auto"/>
              </w:rPr>
            </w:pPr>
          </w:p>
        </w:tc>
        <w:tc>
          <w:tcPr>
            <w:tcW w:w="7260" w:type="dxa"/>
            <w:vAlign w:val="bottom"/>
          </w:tcPr>
          <w:p>
            <w:pPr>
              <w:ind w:left="100"/>
              <w:spacing w:after="0"/>
              <w:rPr>
                <w:sz w:val="20"/>
                <w:szCs w:val="20"/>
                <w:color w:val="auto"/>
              </w:rPr>
            </w:pPr>
            <w:r>
              <w:rPr>
                <w:rFonts w:ascii="Arial" w:cs="Arial" w:eastAsia="Arial" w:hAnsi="Arial"/>
                <w:sz w:val="18"/>
                <w:szCs w:val="18"/>
                <w:color w:val="auto"/>
              </w:rPr>
              <w:t xml:space="preserve">website at </w:t>
            </w:r>
            <w:r>
              <w:rPr>
                <w:rFonts w:ascii="Arial" w:cs="Arial" w:eastAsia="Arial" w:hAnsi="Arial"/>
                <w:sz w:val="18"/>
                <w:szCs w:val="18"/>
                <w:color w:val="4A7EBB"/>
              </w:rPr>
              <w:t>http://www.giii.com</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20" w:type="dxa"/>
            <w:vAlign w:val="bottom"/>
            <w:shd w:val="clear" w:color="auto" w:fill="808080"/>
          </w:tcPr>
          <w:p>
            <w:pPr>
              <w:spacing w:after="0" w:line="20" w:lineRule="exact"/>
              <w:rPr>
                <w:sz w:val="1"/>
                <w:szCs w:val="1"/>
                <w:color w:val="auto"/>
              </w:rPr>
            </w:pPr>
          </w:p>
        </w:tc>
        <w:tc>
          <w:tcPr>
            <w:tcW w:w="220" w:type="dxa"/>
            <w:vAlign w:val="bottom"/>
            <w:shd w:val="clear" w:color="auto" w:fill="808080"/>
          </w:tcPr>
          <w:p>
            <w:pPr>
              <w:spacing w:after="0" w:line="20" w:lineRule="exact"/>
              <w:rPr>
                <w:sz w:val="1"/>
                <w:szCs w:val="1"/>
                <w:color w:val="auto"/>
              </w:rPr>
            </w:pPr>
          </w:p>
        </w:tc>
        <w:tc>
          <w:tcPr>
            <w:tcW w:w="2220" w:type="dxa"/>
            <w:vAlign w:val="bottom"/>
            <w:shd w:val="clear" w:color="auto" w:fill="808080"/>
          </w:tcPr>
          <w:p>
            <w:pPr>
              <w:spacing w:after="0" w:line="20" w:lineRule="exact"/>
              <w:rPr>
                <w:sz w:val="1"/>
                <w:szCs w:val="1"/>
                <w:color w:val="auto"/>
              </w:rPr>
            </w:pPr>
          </w:p>
        </w:tc>
        <w:tc>
          <w:tcPr>
            <w:tcW w:w="100" w:type="dxa"/>
            <w:vAlign w:val="bottom"/>
            <w:shd w:val="clear" w:color="auto" w:fill="808080"/>
          </w:tcPr>
          <w:p>
            <w:pPr>
              <w:spacing w:after="0" w:line="20" w:lineRule="exact"/>
              <w:rPr>
                <w:sz w:val="1"/>
                <w:szCs w:val="1"/>
                <w:color w:val="auto"/>
              </w:rPr>
            </w:pPr>
          </w:p>
        </w:tc>
        <w:tc>
          <w:tcPr>
            <w:tcW w:w="7260" w:type="dxa"/>
            <w:vAlign w:val="bottom"/>
            <w:shd w:val="clear" w:color="auto" w:fill="80808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548640</wp:posOffset>
            </wp:positionV>
            <wp:extent cx="629221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1685925</wp:posOffset>
            </wp:positionH>
            <wp:positionV relativeFrom="paragraph">
              <wp:posOffset>-2682240</wp:posOffset>
            </wp:positionV>
            <wp:extent cx="8255" cy="26828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255" cy="2682875"/>
                    </a:xfrm>
                    <a:prstGeom prst="rect">
                      <a:avLst/>
                    </a:prstGeom>
                    <a:noFill/>
                  </pic:spPr>
                </pic:pic>
              </a:graphicData>
            </a:graphic>
          </wp:anchor>
        </w:drawing>
        <w:drawing>
          <wp:anchor simplePos="0" relativeHeight="251657728" behindDoc="1" locked="0" layoutInCell="0" allowOverlap="1">
            <wp:simplePos x="0" y="0"/>
            <wp:positionH relativeFrom="column">
              <wp:posOffset>1094740</wp:posOffset>
            </wp:positionH>
            <wp:positionV relativeFrom="paragraph">
              <wp:posOffset>-2614295</wp:posOffset>
            </wp:positionV>
            <wp:extent cx="368300" cy="2146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68300" cy="214630"/>
                    </a:xfrm>
                    <a:prstGeom prst="rect">
                      <a:avLst/>
                    </a:prstGeom>
                    <a:noFill/>
                  </pic:spPr>
                </pic:pic>
              </a:graphicData>
            </a:graphic>
          </wp:anchor>
        </w:drawing>
        <w:drawing>
          <wp:anchor simplePos="0" relativeHeight="251657728" behindDoc="1" locked="0" layoutInCell="0" allowOverlap="1">
            <wp:simplePos x="0" y="0"/>
            <wp:positionH relativeFrom="column">
              <wp:posOffset>1017270</wp:posOffset>
            </wp:positionH>
            <wp:positionV relativeFrom="paragraph">
              <wp:posOffset>-2091055</wp:posOffset>
            </wp:positionV>
            <wp:extent cx="102870" cy="1543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02870" cy="154305"/>
                    </a:xfrm>
                    <a:prstGeom prst="rect">
                      <a:avLst/>
                    </a:prstGeom>
                    <a:noFill/>
                  </pic:spPr>
                </pic:pic>
              </a:graphicData>
            </a:graphic>
          </wp:anchor>
        </w:drawing>
        <w:drawing>
          <wp:anchor simplePos="0" relativeHeight="251657728" behindDoc="1" locked="0" layoutInCell="0" allowOverlap="1">
            <wp:simplePos x="0" y="0"/>
            <wp:positionH relativeFrom="column">
              <wp:posOffset>1077595</wp:posOffset>
            </wp:positionH>
            <wp:positionV relativeFrom="paragraph">
              <wp:posOffset>-1833880</wp:posOffset>
            </wp:positionV>
            <wp:extent cx="111125" cy="1543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11125" cy="154305"/>
                    </a:xfrm>
                    <a:prstGeom prst="rect">
                      <a:avLst/>
                    </a:prstGeom>
                    <a:noFill/>
                  </pic:spPr>
                </pic:pic>
              </a:graphicData>
            </a:graphic>
          </wp:anchor>
        </w:drawing>
        <w:drawing>
          <wp:anchor simplePos="0" relativeHeight="251657728" behindDoc="1" locked="0" layoutInCell="0" allowOverlap="1">
            <wp:simplePos x="0" y="0"/>
            <wp:positionH relativeFrom="column">
              <wp:posOffset>74295</wp:posOffset>
            </wp:positionH>
            <wp:positionV relativeFrom="paragraph">
              <wp:posOffset>-1208405</wp:posOffset>
            </wp:positionV>
            <wp:extent cx="179705" cy="2146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79705" cy="214630"/>
                    </a:xfrm>
                    <a:prstGeom prst="rect">
                      <a:avLst/>
                    </a:prstGeom>
                    <a:noFill/>
                  </pic:spPr>
                </pic:pic>
              </a:graphicData>
            </a:graphic>
          </wp:anchor>
        </w:drawing>
        <w:drawing>
          <wp:anchor simplePos="0" relativeHeight="251657728" behindDoc="1" locked="0" layoutInCell="0" allowOverlap="1">
            <wp:simplePos x="0" y="0"/>
            <wp:positionH relativeFrom="column">
              <wp:posOffset>1754505</wp:posOffset>
            </wp:positionH>
            <wp:positionV relativeFrom="paragraph">
              <wp:posOffset>-951230</wp:posOffset>
            </wp:positionV>
            <wp:extent cx="111125" cy="1543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11125"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7560"/>
        <w:spacing w:after="0"/>
        <w:rPr>
          <w:sz w:val="20"/>
          <w:szCs w:val="20"/>
          <w:color w:val="auto"/>
        </w:rPr>
      </w:pPr>
      <w:r>
        <w:rPr>
          <w:rFonts w:ascii="Arial" w:cs="Arial" w:eastAsia="Arial" w:hAnsi="Arial"/>
          <w:sz w:val="16"/>
          <w:szCs w:val="16"/>
          <w:color w:val="auto"/>
        </w:rPr>
        <w:t xml:space="preserve">2026 PROXY STATEMENT </w:t>
      </w:r>
      <w:r>
        <w:rPr>
          <w:rFonts w:ascii="Arial" w:cs="Arial" w:eastAsia="Arial" w:hAnsi="Arial"/>
          <w:sz w:val="19"/>
          <w:szCs w:val="19"/>
          <w:color w:val="808080"/>
        </w:rPr>
        <w:t>/</w:t>
      </w:r>
      <w:r>
        <w:rPr>
          <w:rFonts w:ascii="Arial" w:cs="Arial" w:eastAsia="Arial" w:hAnsi="Arial"/>
          <w:sz w:val="16"/>
          <w:szCs w:val="16"/>
          <w:color w:val="auto"/>
        </w:rPr>
        <w:t xml:space="preserve"> </w:t>
      </w:r>
      <w:r>
        <w:rPr>
          <w:rFonts w:ascii="Arial" w:cs="Arial" w:eastAsia="Arial" w:hAnsi="Arial"/>
          <w:sz w:val="19"/>
          <w:szCs w:val="19"/>
          <w:b w:val="1"/>
          <w:bCs w:val="1"/>
          <w:color w:val="4A7EBB"/>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365125</wp:posOffset>
            </wp:positionV>
            <wp:extent cx="629221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17780</wp:posOffset>
            </wp:positionV>
            <wp:extent cx="62490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249035" cy="8255"/>
                    </a:xfrm>
                    <a:prstGeom prst="rect">
                      <a:avLst/>
                    </a:prstGeom>
                    <a:noFill/>
                  </pic:spPr>
                </pic:pic>
              </a:graphicData>
            </a:graphic>
          </wp:anchor>
        </w:drawing>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88"/>
        </w:trPr>
        <w:tc>
          <w:tcPr>
            <w:tcW w:w="3620" w:type="dxa"/>
            <w:vAlign w:val="bottom"/>
            <w:tcBorders>
              <w:top w:val="single" w:sz="8" w:color="4A7EBB"/>
            </w:tcBorders>
            <w:shd w:val="clear" w:color="auto" w:fill="DBE5F1"/>
          </w:tcPr>
          <w:p>
            <w:pPr>
              <w:ind w:left="120"/>
              <w:spacing w:after="0"/>
              <w:rPr>
                <w:sz w:val="20"/>
                <w:szCs w:val="20"/>
                <w:color w:val="auto"/>
              </w:rPr>
            </w:pPr>
            <w:r>
              <w:rPr>
                <w:rFonts w:ascii="Arial" w:cs="Arial" w:eastAsia="Arial" w:hAnsi="Arial"/>
                <w:sz w:val="25"/>
                <w:szCs w:val="25"/>
                <w:color w:val="auto"/>
              </w:rPr>
              <w:t>COMPENSATION</w:t>
            </w:r>
          </w:p>
        </w:tc>
        <w:tc>
          <w:tcPr>
            <w:tcW w:w="6300" w:type="dxa"/>
            <w:vAlign w:val="bottom"/>
            <w:tcBorders>
              <w:top w:val="single" w:sz="8" w:color="4A7EBB"/>
            </w:tcBorders>
            <w:shd w:val="clear" w:color="auto" w:fill="DBE5F1"/>
          </w:tcPr>
          <w:p>
            <w:pPr>
              <w:ind w:left="1480"/>
              <w:spacing w:after="0"/>
              <w:rPr>
                <w:sz w:val="20"/>
                <w:szCs w:val="20"/>
                <w:color w:val="auto"/>
              </w:rPr>
            </w:pPr>
            <w:r>
              <w:rPr>
                <w:rFonts w:ascii="Arial" w:cs="Arial" w:eastAsia="Arial" w:hAnsi="Arial"/>
                <w:sz w:val="18"/>
                <w:szCs w:val="18"/>
                <w:color w:val="auto"/>
              </w:rPr>
              <w:t xml:space="preserve">Meetings during the fiscal year ended January 31, 2026: </w:t>
            </w:r>
            <w:r>
              <w:rPr>
                <w:rFonts w:ascii="Arial" w:cs="Arial" w:eastAsia="Arial" w:hAnsi="Arial"/>
                <w:sz w:val="25"/>
                <w:szCs w:val="25"/>
                <w:color w:val="auto"/>
              </w:rPr>
              <w:t>3</w:t>
            </w:r>
          </w:p>
        </w:tc>
      </w:tr>
      <w:tr>
        <w:trPr>
          <w:trHeight w:val="319"/>
        </w:trPr>
        <w:tc>
          <w:tcPr>
            <w:tcW w:w="3620" w:type="dxa"/>
            <w:vAlign w:val="bottom"/>
            <w:tcBorders>
              <w:bottom w:val="single" w:sz="8" w:color="4A7EBB"/>
            </w:tcBorders>
            <w:shd w:val="clear" w:color="auto" w:fill="DBE5F1"/>
          </w:tcPr>
          <w:p>
            <w:pPr>
              <w:ind w:left="120"/>
              <w:spacing w:after="0"/>
              <w:rPr>
                <w:sz w:val="20"/>
                <w:szCs w:val="20"/>
                <w:color w:val="auto"/>
              </w:rPr>
            </w:pPr>
            <w:r>
              <w:rPr>
                <w:rFonts w:ascii="Arial" w:cs="Arial" w:eastAsia="Arial" w:hAnsi="Arial"/>
                <w:sz w:val="25"/>
                <w:szCs w:val="25"/>
                <w:color w:val="auto"/>
              </w:rPr>
              <w:t>COMMITTEE</w:t>
            </w:r>
          </w:p>
        </w:tc>
        <w:tc>
          <w:tcPr>
            <w:tcW w:w="6300" w:type="dxa"/>
            <w:vAlign w:val="bottom"/>
            <w:tcBorders>
              <w:bottom w:val="single" w:sz="8" w:color="4A7EBB"/>
            </w:tcBorders>
            <w:shd w:val="clear" w:color="auto" w:fill="DBE5F1"/>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-7620</wp:posOffset>
            </wp:positionV>
            <wp:extent cx="6292215" cy="533209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292215" cy="533209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p>
      <w:pPr>
        <w:spacing w:after="0" w:line="67" w:lineRule="exact"/>
        <w:rPr>
          <w:sz w:val="20"/>
          <w:szCs w:val="20"/>
          <w:color w:val="auto"/>
        </w:rPr>
      </w:pPr>
    </w:p>
    <w:p>
      <w:pPr>
        <w:ind w:left="420" w:hanging="307"/>
        <w:spacing w:after="0"/>
        <w:tabs>
          <w:tab w:leader="none" w:pos="420" w:val="left"/>
        </w:tabs>
        <w:numPr>
          <w:ilvl w:val="0"/>
          <w:numId w:val="47"/>
        </w:numPr>
        <w:rPr>
          <w:rFonts w:ascii="Times New Roman" w:cs="Times New Roman" w:eastAsia="Times New Roman" w:hAnsi="Times New Roman"/>
          <w:sz w:val="18"/>
          <w:szCs w:val="18"/>
          <w:color w:val="4A7EBB"/>
        </w:rPr>
      </w:pPr>
      <w:r>
        <w:rPr>
          <w:rFonts w:ascii="Arial" w:cs="Arial" w:eastAsia="Arial" w:hAnsi="Arial"/>
          <w:sz w:val="18"/>
          <w:szCs w:val="18"/>
          <w:color w:val="auto"/>
        </w:rPr>
        <w:t xml:space="preserve">Richard White </w:t>
      </w:r>
      <w:r>
        <w:rPr>
          <w:rFonts w:ascii="Times New Roman" w:cs="Times New Roman" w:eastAsia="Times New Roman" w:hAnsi="Times New Roman"/>
          <w:sz w:val="1"/>
          <w:szCs w:val="1"/>
          <w:color w:val="4A7EBB"/>
        </w:rPr>
        <w:drawing>
          <wp:inline distT="0" distB="0" distL="0" distR="0">
            <wp:extent cx="214630" cy="214630"/>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14630" cy="214630"/>
                    </a:xfrm>
                    <a:prstGeom prst="rect">
                      <a:avLst/>
                    </a:prstGeom>
                    <a:noFill/>
                    <a:ln>
                      <a:noFill/>
                    </a:ln>
                  </pic:spPr>
                </pic:pic>
              </a:graphicData>
            </a:graphic>
          </wp:inline>
        </w:drawing>
      </w:r>
    </w:p>
    <w:p>
      <w:pPr>
        <w:spacing w:after="0" w:line="104" w:lineRule="exact"/>
        <w:rPr>
          <w:rFonts w:ascii="Times New Roman" w:cs="Times New Roman" w:eastAsia="Times New Roman" w:hAnsi="Times New Roman"/>
          <w:sz w:val="18"/>
          <w:szCs w:val="18"/>
          <w:color w:val="4A7EBB"/>
        </w:rPr>
      </w:pPr>
    </w:p>
    <w:p>
      <w:pPr>
        <w:ind w:left="420" w:hanging="307"/>
        <w:spacing w:after="0"/>
        <w:tabs>
          <w:tab w:leader="none" w:pos="420" w:val="left"/>
        </w:tabs>
        <w:numPr>
          <w:ilvl w:val="0"/>
          <w:numId w:val="47"/>
        </w:numPr>
        <w:rPr>
          <w:rFonts w:ascii="Times New Roman" w:cs="Times New Roman" w:eastAsia="Times New Roman" w:hAnsi="Times New Roman"/>
          <w:sz w:val="18"/>
          <w:szCs w:val="18"/>
          <w:color w:val="4A7EBB"/>
        </w:rPr>
      </w:pPr>
      <w:r>
        <w:rPr>
          <w:rFonts w:ascii="Arial" w:cs="Arial" w:eastAsia="Arial" w:hAnsi="Arial"/>
          <w:sz w:val="18"/>
          <w:szCs w:val="18"/>
          <w:color w:val="auto"/>
        </w:rPr>
        <w:t>Thomas J. Brosig</w:t>
      </w:r>
    </w:p>
    <w:p>
      <w:pPr>
        <w:spacing w:after="0" w:line="116" w:lineRule="exact"/>
        <w:rPr>
          <w:rFonts w:ascii="Times New Roman" w:cs="Times New Roman" w:eastAsia="Times New Roman" w:hAnsi="Times New Roman"/>
          <w:sz w:val="18"/>
          <w:szCs w:val="18"/>
          <w:color w:val="4A7EBB"/>
        </w:rPr>
      </w:pPr>
    </w:p>
    <w:p>
      <w:pPr>
        <w:ind w:left="420" w:hanging="307"/>
        <w:spacing w:after="0"/>
        <w:tabs>
          <w:tab w:leader="none" w:pos="420" w:val="left"/>
        </w:tabs>
        <w:numPr>
          <w:ilvl w:val="0"/>
          <w:numId w:val="47"/>
        </w:numPr>
        <w:rPr>
          <w:rFonts w:ascii="Times New Roman" w:cs="Times New Roman" w:eastAsia="Times New Roman" w:hAnsi="Times New Roman"/>
          <w:sz w:val="18"/>
          <w:szCs w:val="18"/>
          <w:color w:val="4A7EBB"/>
        </w:rPr>
      </w:pPr>
      <w:r>
        <w:rPr>
          <w:rFonts w:ascii="Arial" w:cs="Arial" w:eastAsia="Arial" w:hAnsi="Arial"/>
          <w:sz w:val="18"/>
          <w:szCs w:val="18"/>
          <w:color w:val="auto"/>
        </w:rPr>
        <w:t>Patti H. Ongman</w:t>
      </w:r>
    </w:p>
    <w:p>
      <w:pPr>
        <w:spacing w:after="0" w:line="116" w:lineRule="exact"/>
        <w:rPr>
          <w:rFonts w:ascii="Times New Roman" w:cs="Times New Roman" w:eastAsia="Times New Roman" w:hAnsi="Times New Roman"/>
          <w:sz w:val="18"/>
          <w:szCs w:val="18"/>
          <w:color w:val="4A7EBB"/>
        </w:rPr>
      </w:pPr>
    </w:p>
    <w:p>
      <w:pPr>
        <w:ind w:left="420" w:hanging="307"/>
        <w:spacing w:after="0"/>
        <w:tabs>
          <w:tab w:leader="none" w:pos="420" w:val="left"/>
        </w:tabs>
        <w:numPr>
          <w:ilvl w:val="0"/>
          <w:numId w:val="47"/>
        </w:numPr>
        <w:rPr>
          <w:rFonts w:ascii="Times New Roman" w:cs="Times New Roman" w:eastAsia="Times New Roman" w:hAnsi="Times New Roman"/>
          <w:sz w:val="18"/>
          <w:szCs w:val="18"/>
          <w:color w:val="4A7EBB"/>
        </w:rPr>
      </w:pPr>
      <w:r>
        <w:rPr>
          <w:rFonts w:ascii="Arial" w:cs="Arial" w:eastAsia="Arial" w:hAnsi="Arial"/>
          <w:sz w:val="18"/>
          <w:szCs w:val="18"/>
          <w:color w:val="auto"/>
        </w:rPr>
        <w:t>Laura Pomerantz</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80" w:hanging="253"/>
        <w:spacing w:after="0"/>
        <w:rPr>
          <w:sz w:val="20"/>
          <w:szCs w:val="20"/>
          <w:color w:val="auto"/>
        </w:rPr>
      </w:pPr>
      <w:r>
        <w:rPr>
          <w:sz w:val="1"/>
          <w:szCs w:val="1"/>
          <w:color w:val="auto"/>
        </w:rPr>
        <w:drawing>
          <wp:inline distT="0" distB="0" distL="0" distR="0">
            <wp:extent cx="145415" cy="179705"/>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45415" cy="179705"/>
                    </a:xfrm>
                    <a:prstGeom prst="rect">
                      <a:avLst/>
                    </a:prstGeom>
                    <a:noFill/>
                    <a:ln>
                      <a:noFill/>
                    </a:ln>
                  </pic:spPr>
                </pic:pic>
              </a:graphicData>
            </a:graphic>
          </wp:inline>
        </w:drawing>
      </w:r>
      <w:r>
        <w:rPr>
          <w:rFonts w:ascii="Arial" w:cs="Arial" w:eastAsia="Arial" w:hAnsi="Arial"/>
          <w:sz w:val="16"/>
          <w:szCs w:val="16"/>
          <w:color w:val="auto"/>
        </w:rPr>
        <w:t>ALL MEMBERS OF THE COMPENSATION COMMITTEE ARE INDEPENDENT.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4A7EBB"/>
        </w:rPr>
        <w:t>Responsibilities</w:t>
      </w:r>
    </w:p>
    <w:p>
      <w:pPr>
        <w:spacing w:after="0" w:line="40" w:lineRule="exact"/>
        <w:rPr>
          <w:sz w:val="20"/>
          <w:szCs w:val="20"/>
          <w:color w:val="auto"/>
        </w:rPr>
      </w:pPr>
    </w:p>
    <w:p>
      <w:pPr>
        <w:jc w:val="both"/>
        <w:ind w:right="100"/>
        <w:spacing w:after="0" w:line="244" w:lineRule="auto"/>
        <w:rPr>
          <w:sz w:val="20"/>
          <w:szCs w:val="20"/>
          <w:color w:val="auto"/>
        </w:rPr>
      </w:pPr>
      <w:r>
        <w:rPr>
          <w:rFonts w:ascii="Arial" w:cs="Arial" w:eastAsia="Arial" w:hAnsi="Arial"/>
          <w:sz w:val="18"/>
          <w:szCs w:val="18"/>
          <w:color w:val="auto"/>
        </w:rPr>
        <w:t>The Compensation Committee discharges the responsibilities of the Board relating to compensation of G-III’s directors and executive officers. The Committee has overall responsibility for approving and evaluating director and executive officer compensation plans, policies and programs of G-III, including establishing and monitoring the basic philosophy and policies governing the compensation of G-III’s directors and officers.</w:t>
      </w:r>
    </w:p>
    <w:p>
      <w:pPr>
        <w:spacing w:after="0" w:line="136" w:lineRule="exact"/>
        <w:rPr>
          <w:sz w:val="20"/>
          <w:szCs w:val="20"/>
          <w:color w:val="auto"/>
        </w:rPr>
      </w:pPr>
    </w:p>
    <w:p>
      <w:pPr>
        <w:jc w:val="both"/>
        <w:ind w:right="120"/>
        <w:spacing w:after="0" w:line="253" w:lineRule="auto"/>
        <w:rPr>
          <w:sz w:val="20"/>
          <w:szCs w:val="20"/>
          <w:color w:val="auto"/>
        </w:rPr>
      </w:pPr>
      <w:r>
        <w:rPr>
          <w:rFonts w:ascii="Arial" w:cs="Arial" w:eastAsia="Arial" w:hAnsi="Arial"/>
          <w:sz w:val="18"/>
          <w:szCs w:val="18"/>
          <w:color w:val="auto"/>
        </w:rPr>
        <w:t>The Compensation Committee is responsible for reviewing and discussing with management and recommending to the Board the inclusion of the Compensation Discussion and Analysis in our annual Proxy Statement.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Specific duties and responsibilities of the Committee include, but are not limited to:</w:t>
      </w:r>
    </w:p>
    <w:p>
      <w:pPr>
        <w:spacing w:after="0" w:line="171" w:lineRule="exact"/>
        <w:rPr>
          <w:sz w:val="20"/>
          <w:szCs w:val="20"/>
          <w:color w:val="auto"/>
        </w:rPr>
      </w:pPr>
    </w:p>
    <w:p>
      <w:pPr>
        <w:jc w:val="both"/>
        <w:ind w:left="720" w:right="100" w:hanging="392"/>
        <w:spacing w:after="0" w:line="253" w:lineRule="auto"/>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reviewing and approving the corporate goals and objectives relevant to the compensation of our executive officers and evaluating their performance in light of those corporate goals and objectives;</w:t>
      </w:r>
    </w:p>
    <w:p>
      <w:pPr>
        <w:spacing w:after="0" w:line="6" w:lineRule="exact"/>
        <w:rPr>
          <w:rFonts w:ascii="Arial" w:cs="Arial" w:eastAsia="Arial" w:hAnsi="Arial"/>
          <w:sz w:val="18"/>
          <w:szCs w:val="18"/>
          <w:color w:val="auto"/>
        </w:rPr>
      </w:pPr>
    </w:p>
    <w:p>
      <w:pPr>
        <w:ind w:left="720" w:right="120" w:hanging="392"/>
        <w:spacing w:after="0" w:line="266" w:lineRule="auto"/>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recommending the compensation of our executive officers, giving consideration to the results of our most recent “Say on Pay” vote;</w:t>
      </w:r>
    </w:p>
    <w:p>
      <w:pPr>
        <w:jc w:val="both"/>
        <w:ind w:left="720" w:right="120" w:hanging="392"/>
        <w:spacing w:after="0" w:line="253" w:lineRule="auto"/>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reviewing and recommending adoption, amendment and termination of employment agreements and severance arrangements or plans for our executive officers;</w:t>
      </w:r>
    </w:p>
    <w:p>
      <w:pPr>
        <w:spacing w:after="0" w:line="6" w:lineRule="exact"/>
        <w:rPr>
          <w:rFonts w:ascii="Arial" w:cs="Arial" w:eastAsia="Arial" w:hAnsi="Arial"/>
          <w:sz w:val="18"/>
          <w:szCs w:val="18"/>
          <w:color w:val="auto"/>
        </w:rPr>
      </w:pPr>
    </w:p>
    <w:p>
      <w:pPr>
        <w:ind w:left="720" w:hanging="392"/>
        <w:spacing w:after="0"/>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reviewing and recommending changes to director compensation;</w:t>
      </w:r>
    </w:p>
    <w:p>
      <w:pPr>
        <w:spacing w:after="0" w:line="49" w:lineRule="exact"/>
        <w:rPr>
          <w:rFonts w:ascii="Arial" w:cs="Arial" w:eastAsia="Arial" w:hAnsi="Arial"/>
          <w:sz w:val="18"/>
          <w:szCs w:val="18"/>
          <w:color w:val="auto"/>
        </w:rPr>
      </w:pPr>
    </w:p>
    <w:p>
      <w:pPr>
        <w:jc w:val="both"/>
        <w:ind w:left="720" w:right="120" w:hanging="392"/>
        <w:spacing w:after="0" w:line="247" w:lineRule="auto"/>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reviewing and recommending adoption, amendment and termination of incentive compensation plans, equity-based plans and other compensation and benefit plans for directors or officers, giving consideration to the results of our most recent “Say on Pay” vote in considering plans for executive officers;</w:t>
      </w:r>
    </w:p>
    <w:p>
      <w:pPr>
        <w:spacing w:after="0" w:line="11" w:lineRule="exact"/>
        <w:rPr>
          <w:rFonts w:ascii="Arial" w:cs="Arial" w:eastAsia="Arial" w:hAnsi="Arial"/>
          <w:sz w:val="18"/>
          <w:szCs w:val="18"/>
          <w:color w:val="auto"/>
        </w:rPr>
      </w:pPr>
    </w:p>
    <w:p>
      <w:pPr>
        <w:ind w:left="720" w:hanging="392"/>
        <w:spacing w:after="0"/>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administering G-III’s stock-based compensation, incentive and benefit plans; and</w:t>
      </w:r>
    </w:p>
    <w:p>
      <w:pPr>
        <w:spacing w:after="0" w:line="49" w:lineRule="exact"/>
        <w:rPr>
          <w:rFonts w:ascii="Arial" w:cs="Arial" w:eastAsia="Arial" w:hAnsi="Arial"/>
          <w:sz w:val="18"/>
          <w:szCs w:val="18"/>
          <w:color w:val="auto"/>
        </w:rPr>
      </w:pPr>
    </w:p>
    <w:p>
      <w:pPr>
        <w:jc w:val="both"/>
        <w:ind w:left="720" w:right="100" w:hanging="392"/>
        <w:spacing w:after="0" w:line="253" w:lineRule="auto"/>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administering, interpreting and carrying out our Stock Ownership Guidelines for directors and executive officers and Executive Incentive Compensation Recoupment Policy for executive officers.</w:t>
      </w:r>
    </w:p>
    <w:p>
      <w:pPr>
        <w:spacing w:after="0" w:line="61" w:lineRule="exact"/>
        <w:rPr>
          <w:sz w:val="20"/>
          <w:szCs w:val="20"/>
          <w:color w:val="auto"/>
        </w:rPr>
      </w:pPr>
    </w:p>
    <w:p>
      <w:pPr>
        <w:jc w:val="both"/>
        <w:ind w:right="100"/>
        <w:spacing w:after="0" w:line="253" w:lineRule="auto"/>
        <w:rPr>
          <w:sz w:val="20"/>
          <w:szCs w:val="20"/>
          <w:color w:val="auto"/>
        </w:rPr>
      </w:pPr>
      <w:r>
        <w:rPr>
          <w:rFonts w:ascii="Arial" w:cs="Arial" w:eastAsia="Arial" w:hAnsi="Arial"/>
          <w:sz w:val="18"/>
          <w:szCs w:val="18"/>
          <w:color w:val="auto"/>
        </w:rPr>
        <w:t>The Compensation Committee also may form and delegate authority to any subcommittee comprised solely of its members who are independent so long as such formation and delegation comply with applicable law and the Nasdaq Listing Rules.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Laura Pomerantz has decided to not stand for reelection at the Annual Meeting.</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4A7EBB"/>
        </w:rPr>
        <w:t>Charter</w:t>
      </w:r>
    </w:p>
    <w:p>
      <w:pPr>
        <w:spacing w:after="0" w:line="54" w:lineRule="exact"/>
        <w:rPr>
          <w:sz w:val="20"/>
          <w:szCs w:val="20"/>
          <w:color w:val="auto"/>
        </w:rPr>
      </w:pPr>
    </w:p>
    <w:p>
      <w:pPr>
        <w:jc w:val="both"/>
        <w:ind w:right="120"/>
        <w:spacing w:after="0" w:line="271" w:lineRule="auto"/>
        <w:rPr>
          <w:sz w:val="20"/>
          <w:szCs w:val="20"/>
          <w:color w:val="auto"/>
        </w:rPr>
      </w:pPr>
      <w:r>
        <w:rPr>
          <w:rFonts w:ascii="Arial" w:cs="Arial" w:eastAsia="Arial" w:hAnsi="Arial"/>
          <w:sz w:val="18"/>
          <w:szCs w:val="18"/>
          <w:color w:val="auto"/>
        </w:rPr>
        <w:t xml:space="preserve">A copy of the Compensation Committee’s charter is available in the “Investors” section of our website at </w:t>
      </w:r>
      <w:r>
        <w:rPr>
          <w:rFonts w:ascii="Arial" w:cs="Arial" w:eastAsia="Arial" w:hAnsi="Arial"/>
          <w:sz w:val="18"/>
          <w:szCs w:val="18"/>
          <w:color w:val="4A7EBB"/>
        </w:rPr>
        <w:t>http://www.giii.com</w:t>
      </w:r>
      <w:r>
        <w:rPr>
          <w:rFonts w:ascii="Arial" w:cs="Arial" w:eastAsia="Arial" w:hAnsi="Arial"/>
          <w:sz w:val="18"/>
          <w:szCs w:val="18"/>
          <w:color w:val="auto"/>
        </w:rPr>
        <w:t>.</w:t>
      </w:r>
    </w:p>
    <w:p>
      <w:pPr>
        <w:spacing w:after="0" w:line="157" w:lineRule="exact"/>
        <w:rPr>
          <w:sz w:val="20"/>
          <w:szCs w:val="20"/>
          <w:color w:val="auto"/>
        </w:rPr>
      </w:pPr>
    </w:p>
    <w:p>
      <w:pPr>
        <w:sectPr>
          <w:pgSz w:w="11900" w:h="16838" w:orient="portrait"/>
          <w:cols w:equalWidth="0" w:num="2">
            <w:col w:w="2140" w:space="460"/>
            <w:col w:w="7320"/>
          </w:cols>
          <w:pgMar w:left="980" w:top="513" w:right="999" w:bottom="1440" w:gutter="0" w:footer="0" w:header="0"/>
          <w:type w:val="continuous"/>
        </w:sectPr>
      </w:pPr>
    </w:p>
    <w:p>
      <w:pPr>
        <w:ind w:left="120"/>
        <w:spacing w:after="0"/>
        <w:rPr>
          <w:sz w:val="20"/>
          <w:szCs w:val="20"/>
          <w:color w:val="auto"/>
        </w:rPr>
      </w:pPr>
      <w:r>
        <w:rPr>
          <w:rFonts w:ascii="Arial" w:cs="Arial" w:eastAsia="Arial" w:hAnsi="Arial"/>
          <w:sz w:val="22"/>
          <w:szCs w:val="22"/>
          <w:b w:val="1"/>
          <w:bCs w:val="1"/>
          <w:color w:val="auto"/>
        </w:rPr>
        <w:t>COMPENSATION COMMITTEE INTERLOCKS AND INSIDER PARTICIPATION</w:t>
      </w:r>
    </w:p>
    <w:p>
      <w:pPr>
        <w:spacing w:after="0" w:line="175" w:lineRule="exact"/>
        <w:rPr>
          <w:sz w:val="20"/>
          <w:szCs w:val="20"/>
          <w:color w:val="auto"/>
        </w:rPr>
      </w:pPr>
    </w:p>
    <w:p>
      <w:pPr>
        <w:jc w:val="both"/>
        <w:ind w:left="120" w:right="100"/>
        <w:spacing w:after="0"/>
        <w:rPr>
          <w:sz w:val="20"/>
          <w:szCs w:val="20"/>
          <w:color w:val="auto"/>
        </w:rPr>
      </w:pPr>
      <w:r>
        <w:rPr>
          <w:rFonts w:ascii="Arial" w:cs="Arial" w:eastAsia="Arial" w:hAnsi="Arial"/>
          <w:sz w:val="18"/>
          <w:szCs w:val="18"/>
          <w:color w:val="auto"/>
        </w:rPr>
        <w:t>During the year ended January 31, 2026, Thomas J. Brosig, Patti H. Ongman, Laura Pomerantz and Richard White served on our Compensation Committee. None of the members of the Compensation Committee (i) has ever been an officer or employee of ours (other than Thomas J. Brosig, who briefly served as our Executive Vice President during the time of our initial public offering in 1989) or (ii) has any relationship requiring disclosure by us under Item 404 of Regulation S-K. None of our executive officers served on the board or compensation committee (or other committee serving an equivalent function) of any other entity, where an executive officer of the other entity served on our Board of Directors or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403225</wp:posOffset>
            </wp:positionV>
            <wp:extent cx="629221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26035</wp:posOffset>
            </wp:positionV>
            <wp:extent cx="629221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288925</wp:posOffset>
            </wp:positionH>
            <wp:positionV relativeFrom="paragraph">
              <wp:posOffset>454660</wp:posOffset>
            </wp:positionV>
            <wp:extent cx="265430" cy="1543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6543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20"/>
          <w:szCs w:val="20"/>
          <w:b w:val="1"/>
          <w:bCs w:val="1"/>
          <w:color w:val="4A7EBB"/>
        </w:rPr>
        <w:t xml:space="preserve">18 </w:t>
      </w:r>
      <w:r>
        <w:rPr>
          <w:rFonts w:ascii="Arial" w:cs="Arial" w:eastAsia="Arial" w:hAnsi="Arial"/>
          <w:sz w:val="20"/>
          <w:szCs w:val="20"/>
          <w:color w:val="80808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700" w:type="dxa"/>
            <w:vAlign w:val="bottom"/>
          </w:tcPr>
          <w:p>
            <w:pPr>
              <w:spacing w:after="0"/>
              <w:rPr>
                <w:sz w:val="20"/>
                <w:szCs w:val="20"/>
                <w:color w:val="auto"/>
              </w:rPr>
            </w:pPr>
          </w:p>
        </w:tc>
        <w:tc>
          <w:tcPr>
            <w:tcW w:w="6240" w:type="dxa"/>
            <w:vAlign w:val="bottom"/>
            <w:gridSpan w:val="3"/>
          </w:tcPr>
          <w:p>
            <w:pPr>
              <w:ind w:left="4380"/>
              <w:spacing w:after="0"/>
              <w:rPr>
                <w:sz w:val="20"/>
                <w:szCs w:val="20"/>
                <w:color w:val="auto"/>
              </w:rPr>
            </w:pPr>
            <w:r>
              <w:rPr>
                <w:rFonts w:ascii="Arial" w:cs="Arial" w:eastAsia="Arial" w:hAnsi="Arial"/>
                <w:sz w:val="18"/>
                <w:szCs w:val="18"/>
                <w:color w:val="auto"/>
              </w:rPr>
              <w:t>Corporate Governance</w:t>
            </w:r>
          </w:p>
        </w:tc>
      </w:tr>
      <w:tr>
        <w:trPr>
          <w:trHeight w:val="237"/>
        </w:trPr>
        <w:tc>
          <w:tcPr>
            <w:tcW w:w="3700" w:type="dxa"/>
            <w:vAlign w:val="bottom"/>
            <w:tcBorders>
              <w:top w:val="single" w:sz="8" w:color="4A7EBB"/>
              <w:bottom w:val="single" w:sz="8" w:color="4A7EBB"/>
            </w:tcBorders>
          </w:tcPr>
          <w:p>
            <w:pPr>
              <w:spacing w:after="0"/>
              <w:rPr>
                <w:sz w:val="20"/>
                <w:szCs w:val="20"/>
                <w:color w:val="auto"/>
              </w:rPr>
            </w:pPr>
          </w:p>
        </w:tc>
        <w:tc>
          <w:tcPr>
            <w:tcW w:w="5980" w:type="dxa"/>
            <w:vAlign w:val="bottom"/>
            <w:tcBorders>
              <w:top w:val="single" w:sz="8" w:color="4A7EBB"/>
              <w:bottom w:val="single" w:sz="8" w:color="4A7EBB"/>
            </w:tcBorders>
          </w:tcPr>
          <w:p>
            <w:pPr>
              <w:spacing w:after="0"/>
              <w:rPr>
                <w:sz w:val="20"/>
                <w:szCs w:val="20"/>
                <w:color w:val="auto"/>
              </w:rPr>
            </w:pPr>
          </w:p>
        </w:tc>
        <w:tc>
          <w:tcPr>
            <w:tcW w:w="240" w:type="dxa"/>
            <w:vAlign w:val="bottom"/>
            <w:tcBorders>
              <w:top w:val="single" w:sz="8" w:color="4A7EBB"/>
              <w:bottom w:val="single" w:sz="8" w:color="4A7EBB"/>
            </w:tcBorders>
          </w:tcPr>
          <w:p>
            <w:pPr>
              <w:spacing w:after="0"/>
              <w:rPr>
                <w:sz w:val="20"/>
                <w:szCs w:val="20"/>
                <w:color w:val="auto"/>
              </w:rPr>
            </w:pPr>
          </w:p>
        </w:tc>
        <w:tc>
          <w:tcPr>
            <w:tcW w:w="20" w:type="dxa"/>
            <w:vAlign w:val="bottom"/>
          </w:tcPr>
          <w:p>
            <w:pPr>
              <w:spacing w:after="0"/>
              <w:rPr>
                <w:sz w:val="20"/>
                <w:szCs w:val="20"/>
                <w:color w:val="auto"/>
              </w:rPr>
            </w:pPr>
          </w:p>
        </w:tc>
      </w:tr>
      <w:tr>
        <w:trPr>
          <w:trHeight w:val="268"/>
        </w:trPr>
        <w:tc>
          <w:tcPr>
            <w:tcW w:w="3700" w:type="dxa"/>
            <w:vAlign w:val="bottom"/>
            <w:shd w:val="clear" w:color="auto" w:fill="DBE5F1"/>
          </w:tcPr>
          <w:p>
            <w:pPr>
              <w:ind w:left="120"/>
              <w:spacing w:after="0" w:line="268" w:lineRule="exact"/>
              <w:rPr>
                <w:sz w:val="20"/>
                <w:szCs w:val="20"/>
                <w:color w:val="auto"/>
              </w:rPr>
            </w:pPr>
            <w:r>
              <w:rPr>
                <w:rFonts w:ascii="Arial" w:cs="Arial" w:eastAsia="Arial" w:hAnsi="Arial"/>
                <w:sz w:val="25"/>
                <w:szCs w:val="25"/>
                <w:color w:val="auto"/>
              </w:rPr>
              <w:t>NOMINATING AND</w:t>
            </w:r>
          </w:p>
        </w:tc>
        <w:tc>
          <w:tcPr>
            <w:tcW w:w="5980" w:type="dxa"/>
            <w:vAlign w:val="bottom"/>
            <w:shd w:val="clear" w:color="auto" w:fill="DBE5F1"/>
          </w:tcPr>
          <w:p>
            <w:pPr>
              <w:ind w:left="1400"/>
              <w:spacing w:after="0"/>
              <w:rPr>
                <w:sz w:val="20"/>
                <w:szCs w:val="20"/>
                <w:color w:val="auto"/>
              </w:rPr>
            </w:pPr>
            <w:r>
              <w:rPr>
                <w:rFonts w:ascii="Arial" w:cs="Arial" w:eastAsia="Arial" w:hAnsi="Arial"/>
                <w:sz w:val="18"/>
                <w:szCs w:val="18"/>
                <w:color w:val="auto"/>
              </w:rPr>
              <w:t>Meetings during the fiscal year ended January 31, 2026:</w:t>
            </w:r>
          </w:p>
        </w:tc>
        <w:tc>
          <w:tcPr>
            <w:tcW w:w="240" w:type="dxa"/>
            <w:vAlign w:val="bottom"/>
            <w:shd w:val="clear" w:color="auto" w:fill="DCE6F2"/>
          </w:tcPr>
          <w:p>
            <w:pPr>
              <w:jc w:val="right"/>
              <w:spacing w:after="0" w:line="268" w:lineRule="exact"/>
              <w:rPr>
                <w:sz w:val="20"/>
                <w:szCs w:val="20"/>
                <w:color w:val="auto"/>
              </w:rPr>
            </w:pPr>
            <w:r>
              <w:rPr>
                <w:rFonts w:ascii="Arial" w:cs="Arial" w:eastAsia="Arial" w:hAnsi="Arial"/>
                <w:sz w:val="25"/>
                <w:szCs w:val="25"/>
                <w:color w:val="auto"/>
                <w:w w:val="85"/>
              </w:rPr>
              <w:t>1</w:t>
            </w:r>
          </w:p>
        </w:tc>
        <w:tc>
          <w:tcPr>
            <w:tcW w:w="20" w:type="dxa"/>
            <w:vAlign w:val="bottom"/>
          </w:tcPr>
          <w:p>
            <w:pPr>
              <w:spacing w:after="0"/>
              <w:rPr>
                <w:sz w:val="23"/>
                <w:szCs w:val="23"/>
                <w:color w:val="auto"/>
              </w:rPr>
            </w:pPr>
          </w:p>
        </w:tc>
      </w:tr>
      <w:tr>
        <w:trPr>
          <w:trHeight w:val="297"/>
        </w:trPr>
        <w:tc>
          <w:tcPr>
            <w:tcW w:w="3700" w:type="dxa"/>
            <w:vAlign w:val="bottom"/>
            <w:shd w:val="clear" w:color="auto" w:fill="DBE5F1"/>
          </w:tcPr>
          <w:p>
            <w:pPr>
              <w:ind w:left="120"/>
              <w:spacing w:after="0"/>
              <w:rPr>
                <w:sz w:val="20"/>
                <w:szCs w:val="20"/>
                <w:color w:val="auto"/>
              </w:rPr>
            </w:pPr>
            <w:r>
              <w:rPr>
                <w:rFonts w:ascii="Arial" w:cs="Arial" w:eastAsia="Arial" w:hAnsi="Arial"/>
                <w:sz w:val="25"/>
                <w:szCs w:val="25"/>
                <w:color w:val="auto"/>
              </w:rPr>
              <w:t>CORPORATE</w:t>
            </w:r>
          </w:p>
        </w:tc>
        <w:tc>
          <w:tcPr>
            <w:tcW w:w="5980" w:type="dxa"/>
            <w:vAlign w:val="bottom"/>
            <w:shd w:val="clear" w:color="auto" w:fill="DBE5F1"/>
          </w:tcPr>
          <w:p>
            <w:pPr>
              <w:spacing w:after="0"/>
              <w:rPr>
                <w:sz w:val="24"/>
                <w:szCs w:val="24"/>
                <w:color w:val="auto"/>
              </w:rPr>
            </w:pPr>
          </w:p>
        </w:tc>
        <w:tc>
          <w:tcPr>
            <w:tcW w:w="240" w:type="dxa"/>
            <w:vAlign w:val="bottom"/>
            <w:shd w:val="clear" w:color="auto" w:fill="DCE6F2"/>
          </w:tcPr>
          <w:p>
            <w:pPr>
              <w:spacing w:after="0"/>
              <w:rPr>
                <w:sz w:val="24"/>
                <w:szCs w:val="24"/>
                <w:color w:val="auto"/>
              </w:rPr>
            </w:pPr>
          </w:p>
        </w:tc>
        <w:tc>
          <w:tcPr>
            <w:tcW w:w="20" w:type="dxa"/>
            <w:vAlign w:val="bottom"/>
          </w:tcPr>
          <w:p>
            <w:pPr>
              <w:spacing w:after="0"/>
              <w:rPr>
                <w:sz w:val="24"/>
                <w:szCs w:val="24"/>
                <w:color w:val="auto"/>
              </w:rPr>
            </w:pPr>
          </w:p>
        </w:tc>
      </w:tr>
      <w:tr>
        <w:trPr>
          <w:trHeight w:val="297"/>
        </w:trPr>
        <w:tc>
          <w:tcPr>
            <w:tcW w:w="3700" w:type="dxa"/>
            <w:vAlign w:val="bottom"/>
            <w:shd w:val="clear" w:color="auto" w:fill="DBE5F1"/>
          </w:tcPr>
          <w:p>
            <w:pPr>
              <w:ind w:left="120"/>
              <w:spacing w:after="0"/>
              <w:rPr>
                <w:sz w:val="20"/>
                <w:szCs w:val="20"/>
                <w:color w:val="auto"/>
              </w:rPr>
            </w:pPr>
            <w:r>
              <w:rPr>
                <w:rFonts w:ascii="Arial" w:cs="Arial" w:eastAsia="Arial" w:hAnsi="Arial"/>
                <w:sz w:val="25"/>
                <w:szCs w:val="25"/>
                <w:color w:val="auto"/>
              </w:rPr>
              <w:t>GOVERNANCE</w:t>
            </w:r>
          </w:p>
        </w:tc>
        <w:tc>
          <w:tcPr>
            <w:tcW w:w="5980" w:type="dxa"/>
            <w:vAlign w:val="bottom"/>
            <w:shd w:val="clear" w:color="auto" w:fill="DBE5F1"/>
          </w:tcPr>
          <w:p>
            <w:pPr>
              <w:spacing w:after="0"/>
              <w:rPr>
                <w:sz w:val="24"/>
                <w:szCs w:val="24"/>
                <w:color w:val="auto"/>
              </w:rPr>
            </w:pPr>
          </w:p>
        </w:tc>
        <w:tc>
          <w:tcPr>
            <w:tcW w:w="240" w:type="dxa"/>
            <w:vAlign w:val="bottom"/>
            <w:shd w:val="clear" w:color="auto" w:fill="DCE6F2"/>
          </w:tcPr>
          <w:p>
            <w:pPr>
              <w:spacing w:after="0"/>
              <w:rPr>
                <w:sz w:val="24"/>
                <w:szCs w:val="24"/>
                <w:color w:val="auto"/>
              </w:rPr>
            </w:pPr>
          </w:p>
        </w:tc>
        <w:tc>
          <w:tcPr>
            <w:tcW w:w="20" w:type="dxa"/>
            <w:vAlign w:val="bottom"/>
          </w:tcPr>
          <w:p>
            <w:pPr>
              <w:spacing w:after="0"/>
              <w:rPr>
                <w:sz w:val="24"/>
                <w:szCs w:val="24"/>
                <w:color w:val="auto"/>
              </w:rPr>
            </w:pPr>
          </w:p>
        </w:tc>
      </w:tr>
      <w:tr>
        <w:trPr>
          <w:trHeight w:val="319"/>
        </w:trPr>
        <w:tc>
          <w:tcPr>
            <w:tcW w:w="3700" w:type="dxa"/>
            <w:vAlign w:val="bottom"/>
            <w:tcBorders>
              <w:bottom w:val="single" w:sz="8" w:color="4A7EBB"/>
            </w:tcBorders>
            <w:shd w:val="clear" w:color="auto" w:fill="DBE5F1"/>
          </w:tcPr>
          <w:p>
            <w:pPr>
              <w:ind w:left="120"/>
              <w:spacing w:after="0"/>
              <w:rPr>
                <w:sz w:val="20"/>
                <w:szCs w:val="20"/>
                <w:color w:val="auto"/>
              </w:rPr>
            </w:pPr>
            <w:r>
              <w:rPr>
                <w:rFonts w:ascii="Arial" w:cs="Arial" w:eastAsia="Arial" w:hAnsi="Arial"/>
                <w:sz w:val="25"/>
                <w:szCs w:val="25"/>
                <w:color w:val="auto"/>
              </w:rPr>
              <w:t>COMMITTEE</w:t>
            </w:r>
          </w:p>
        </w:tc>
        <w:tc>
          <w:tcPr>
            <w:tcW w:w="5980" w:type="dxa"/>
            <w:vAlign w:val="bottom"/>
            <w:tcBorders>
              <w:bottom w:val="single" w:sz="8" w:color="4A7EBB"/>
            </w:tcBorders>
            <w:shd w:val="clear" w:color="auto" w:fill="DBE5F1"/>
          </w:tcPr>
          <w:p>
            <w:pPr>
              <w:spacing w:after="0"/>
              <w:rPr>
                <w:sz w:val="24"/>
                <w:szCs w:val="24"/>
                <w:color w:val="auto"/>
              </w:rPr>
            </w:pPr>
          </w:p>
        </w:tc>
        <w:tc>
          <w:tcPr>
            <w:tcW w:w="240" w:type="dxa"/>
            <w:vAlign w:val="bottom"/>
            <w:tcBorders>
              <w:bottom w:val="single" w:sz="8" w:color="4A7EBB"/>
            </w:tcBorders>
            <w:shd w:val="clear" w:color="auto" w:fill="DCE6F2"/>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-7620</wp:posOffset>
            </wp:positionV>
            <wp:extent cx="6292215" cy="31115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292215" cy="31115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p>
      <w:pPr>
        <w:spacing w:after="0" w:line="40" w:lineRule="exact"/>
        <w:rPr>
          <w:sz w:val="20"/>
          <w:szCs w:val="20"/>
          <w:color w:val="auto"/>
        </w:rPr>
      </w:pPr>
    </w:p>
    <w:p>
      <w:pPr>
        <w:ind w:left="420" w:hanging="307"/>
        <w:spacing w:after="0"/>
        <w:tabs>
          <w:tab w:leader="none" w:pos="420" w:val="left"/>
        </w:tabs>
        <w:numPr>
          <w:ilvl w:val="0"/>
          <w:numId w:val="49"/>
        </w:numPr>
        <w:rPr>
          <w:rFonts w:ascii="Times New Roman" w:cs="Times New Roman" w:eastAsia="Times New Roman" w:hAnsi="Times New Roman"/>
          <w:sz w:val="17"/>
          <w:szCs w:val="17"/>
          <w:color w:val="4A7EBB"/>
        </w:rPr>
      </w:pPr>
      <w:r>
        <w:rPr>
          <w:rFonts w:ascii="Arial" w:cs="Arial" w:eastAsia="Arial" w:hAnsi="Arial"/>
          <w:sz w:val="17"/>
          <w:szCs w:val="17"/>
          <w:color w:val="auto"/>
        </w:rPr>
        <w:t xml:space="preserve">Thomas J. Brosig </w:t>
      </w:r>
      <w:r>
        <w:rPr>
          <w:rFonts w:ascii="Times New Roman" w:cs="Times New Roman" w:eastAsia="Times New Roman" w:hAnsi="Times New Roman"/>
          <w:sz w:val="1"/>
          <w:szCs w:val="1"/>
          <w:color w:val="4A7EBB"/>
        </w:rPr>
        <w:drawing>
          <wp:inline distT="0" distB="0" distL="0" distR="0">
            <wp:extent cx="214630" cy="213995"/>
            <wp:effectExtent l="0" t="0" r="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14630" cy="213995"/>
                    </a:xfrm>
                    <a:prstGeom prst="rect">
                      <a:avLst/>
                    </a:prstGeom>
                    <a:noFill/>
                    <a:ln>
                      <a:noFill/>
                    </a:ln>
                  </pic:spPr>
                </pic:pic>
              </a:graphicData>
            </a:graphic>
          </wp:inline>
        </w:drawing>
      </w:r>
    </w:p>
    <w:p>
      <w:pPr>
        <w:spacing w:after="0" w:line="106" w:lineRule="exact"/>
        <w:rPr>
          <w:rFonts w:ascii="Times New Roman" w:cs="Times New Roman" w:eastAsia="Times New Roman" w:hAnsi="Times New Roman"/>
          <w:sz w:val="17"/>
          <w:szCs w:val="17"/>
          <w:color w:val="4A7EBB"/>
        </w:rPr>
      </w:pPr>
    </w:p>
    <w:p>
      <w:pPr>
        <w:ind w:left="420" w:hanging="307"/>
        <w:spacing w:after="0"/>
        <w:tabs>
          <w:tab w:leader="none" w:pos="420" w:val="left"/>
        </w:tabs>
        <w:numPr>
          <w:ilvl w:val="0"/>
          <w:numId w:val="49"/>
        </w:numPr>
        <w:rPr>
          <w:rFonts w:ascii="Times New Roman" w:cs="Times New Roman" w:eastAsia="Times New Roman" w:hAnsi="Times New Roman"/>
          <w:sz w:val="18"/>
          <w:szCs w:val="18"/>
          <w:color w:val="4A7EBB"/>
        </w:rPr>
      </w:pPr>
      <w:r>
        <w:rPr>
          <w:rFonts w:ascii="Arial" w:cs="Arial" w:eastAsia="Arial" w:hAnsi="Arial"/>
          <w:sz w:val="18"/>
          <w:szCs w:val="18"/>
          <w:color w:val="auto"/>
        </w:rPr>
        <w:t>Dr. Joyce F. Brown</w:t>
      </w:r>
    </w:p>
    <w:p>
      <w:pPr>
        <w:spacing w:after="0" w:line="116" w:lineRule="exact"/>
        <w:rPr>
          <w:rFonts w:ascii="Times New Roman" w:cs="Times New Roman" w:eastAsia="Times New Roman" w:hAnsi="Times New Roman"/>
          <w:sz w:val="18"/>
          <w:szCs w:val="18"/>
          <w:color w:val="4A7EBB"/>
        </w:rPr>
      </w:pPr>
    </w:p>
    <w:p>
      <w:pPr>
        <w:ind w:left="420" w:hanging="307"/>
        <w:spacing w:after="0"/>
        <w:tabs>
          <w:tab w:leader="none" w:pos="420" w:val="left"/>
        </w:tabs>
        <w:numPr>
          <w:ilvl w:val="0"/>
          <w:numId w:val="49"/>
        </w:numPr>
        <w:rPr>
          <w:rFonts w:ascii="Times New Roman" w:cs="Times New Roman" w:eastAsia="Times New Roman" w:hAnsi="Times New Roman"/>
          <w:sz w:val="18"/>
          <w:szCs w:val="18"/>
          <w:color w:val="4A7EBB"/>
        </w:rPr>
      </w:pPr>
      <w:r>
        <w:rPr>
          <w:rFonts w:ascii="Arial" w:cs="Arial" w:eastAsia="Arial" w:hAnsi="Arial"/>
          <w:sz w:val="18"/>
          <w:szCs w:val="18"/>
          <w:color w:val="auto"/>
        </w:rPr>
        <w:t>Robert L. Johnson</w:t>
      </w:r>
    </w:p>
    <w:p>
      <w:pPr>
        <w:spacing w:after="0" w:line="116" w:lineRule="exact"/>
        <w:rPr>
          <w:rFonts w:ascii="Times New Roman" w:cs="Times New Roman" w:eastAsia="Times New Roman" w:hAnsi="Times New Roman"/>
          <w:sz w:val="18"/>
          <w:szCs w:val="18"/>
          <w:color w:val="4A7EBB"/>
        </w:rPr>
      </w:pPr>
    </w:p>
    <w:p>
      <w:pPr>
        <w:ind w:left="420" w:hanging="307"/>
        <w:spacing w:after="0"/>
        <w:tabs>
          <w:tab w:leader="none" w:pos="420" w:val="left"/>
        </w:tabs>
        <w:numPr>
          <w:ilvl w:val="0"/>
          <w:numId w:val="49"/>
        </w:numPr>
        <w:rPr>
          <w:rFonts w:ascii="Times New Roman" w:cs="Times New Roman" w:eastAsia="Times New Roman" w:hAnsi="Times New Roman"/>
          <w:sz w:val="18"/>
          <w:szCs w:val="18"/>
          <w:color w:val="4A7EBB"/>
        </w:rPr>
      </w:pPr>
      <w:r>
        <w:rPr>
          <w:rFonts w:ascii="Arial" w:cs="Arial" w:eastAsia="Arial" w:hAnsi="Arial"/>
          <w:sz w:val="18"/>
          <w:szCs w:val="18"/>
          <w:color w:val="auto"/>
        </w:rPr>
        <w:t>Cheryl Vitali</w:t>
      </w:r>
    </w:p>
    <w:p>
      <w:pPr>
        <w:spacing w:after="0" w:line="116" w:lineRule="exact"/>
        <w:rPr>
          <w:rFonts w:ascii="Times New Roman" w:cs="Times New Roman" w:eastAsia="Times New Roman" w:hAnsi="Times New Roman"/>
          <w:sz w:val="18"/>
          <w:szCs w:val="18"/>
          <w:color w:val="4A7EBB"/>
        </w:rPr>
      </w:pPr>
    </w:p>
    <w:p>
      <w:pPr>
        <w:ind w:left="420" w:hanging="307"/>
        <w:spacing w:after="0"/>
        <w:tabs>
          <w:tab w:leader="none" w:pos="420" w:val="left"/>
        </w:tabs>
        <w:numPr>
          <w:ilvl w:val="0"/>
          <w:numId w:val="49"/>
        </w:numPr>
        <w:rPr>
          <w:rFonts w:ascii="Times New Roman" w:cs="Times New Roman" w:eastAsia="Times New Roman" w:hAnsi="Times New Roman"/>
          <w:sz w:val="18"/>
          <w:szCs w:val="18"/>
          <w:color w:val="4A7EBB"/>
        </w:rPr>
      </w:pPr>
      <w:r>
        <w:rPr>
          <w:rFonts w:ascii="Arial" w:cs="Arial" w:eastAsia="Arial" w:hAnsi="Arial"/>
          <w:sz w:val="18"/>
          <w:szCs w:val="18"/>
          <w:color w:val="auto"/>
        </w:rPr>
        <w:t>Richard White</w:t>
      </w:r>
    </w:p>
    <w:p>
      <w:pPr>
        <w:spacing w:after="0" w:line="324" w:lineRule="exact"/>
        <w:rPr>
          <w:sz w:val="20"/>
          <w:szCs w:val="20"/>
          <w:color w:val="auto"/>
        </w:rPr>
      </w:pPr>
    </w:p>
    <w:p>
      <w:pPr>
        <w:ind w:left="120"/>
        <w:spacing w:after="0"/>
        <w:rPr>
          <w:sz w:val="20"/>
          <w:szCs w:val="20"/>
          <w:color w:val="auto"/>
        </w:rPr>
      </w:pPr>
      <w:r>
        <w:rPr>
          <w:sz w:val="1"/>
          <w:szCs w:val="1"/>
          <w:color w:val="auto"/>
        </w:rPr>
        <w:drawing>
          <wp:inline distT="0" distB="0" distL="0" distR="0">
            <wp:extent cx="145415" cy="179705"/>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45415" cy="179705"/>
                    </a:xfrm>
                    <a:prstGeom prst="rect">
                      <a:avLst/>
                    </a:prstGeom>
                    <a:noFill/>
                    <a:ln>
                      <a:noFill/>
                    </a:ln>
                  </pic:spPr>
                </pic:pic>
              </a:graphicData>
            </a:graphic>
          </wp:inline>
        </w:drawing>
      </w:r>
      <w:r>
        <w:rPr>
          <w:rFonts w:ascii="Arial" w:cs="Arial" w:eastAsia="Arial" w:hAnsi="Arial"/>
          <w:sz w:val="16"/>
          <w:szCs w:val="16"/>
          <w:color w:val="auto"/>
        </w:rPr>
        <w:t>ALL MEMBERS OF THE</w:t>
      </w:r>
    </w:p>
    <w:p>
      <w:pPr>
        <w:spacing w:after="0" w:line="8" w:lineRule="exact"/>
        <w:rPr>
          <w:sz w:val="20"/>
          <w:szCs w:val="20"/>
          <w:color w:val="auto"/>
        </w:rPr>
      </w:pPr>
    </w:p>
    <w:p>
      <w:pPr>
        <w:ind w:left="380" w:right="420"/>
        <w:spacing w:after="0" w:line="251" w:lineRule="auto"/>
        <w:rPr>
          <w:sz w:val="20"/>
          <w:szCs w:val="20"/>
          <w:color w:val="auto"/>
        </w:rPr>
      </w:pPr>
      <w:r>
        <w:rPr>
          <w:rFonts w:ascii="Arial" w:cs="Arial" w:eastAsia="Arial" w:hAnsi="Arial"/>
          <w:sz w:val="16"/>
          <w:szCs w:val="16"/>
          <w:color w:val="auto"/>
        </w:rPr>
        <w:t>NOMINATING AND CORPORATE GOVERNANCE COMMITTEE ARE INDEPENDENT.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4A7EBB"/>
        </w:rPr>
        <w:t>Responsibilities</w:t>
      </w:r>
    </w:p>
    <w:p>
      <w:pPr>
        <w:spacing w:after="0" w:line="40"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color w:val="auto"/>
        </w:rPr>
        <w:t>The Nominating and Corporate Governance Committee is responsible for, among other things:</w:t>
      </w:r>
    </w:p>
    <w:p>
      <w:pPr>
        <w:ind w:left="640" w:hanging="324"/>
        <w:spacing w:after="0"/>
        <w:tabs>
          <w:tab w:leader="none" w:pos="640" w:val="left"/>
        </w:tabs>
        <w:numPr>
          <w:ilvl w:val="0"/>
          <w:numId w:val="50"/>
        </w:numPr>
        <w:rPr>
          <w:rFonts w:ascii="Times New Roman" w:cs="Times New Roman" w:eastAsia="Times New Roman" w:hAnsi="Times New Roman"/>
          <w:sz w:val="18"/>
          <w:szCs w:val="18"/>
          <w:color w:val="4A7EBB"/>
        </w:rPr>
      </w:pPr>
      <w:r>
        <w:rPr>
          <w:rFonts w:ascii="Arial" w:cs="Arial" w:eastAsia="Arial" w:hAnsi="Arial"/>
          <w:sz w:val="18"/>
          <w:szCs w:val="18"/>
          <w:color w:val="auto"/>
        </w:rPr>
        <w:t>assisting the Board in its selection of individuals</w:t>
      </w:r>
    </w:p>
    <w:p>
      <w:pPr>
        <w:spacing w:after="0" w:line="62" w:lineRule="exact"/>
        <w:rPr>
          <w:rFonts w:ascii="Times New Roman" w:cs="Times New Roman" w:eastAsia="Times New Roman" w:hAnsi="Times New Roman"/>
          <w:sz w:val="18"/>
          <w:szCs w:val="18"/>
          <w:color w:val="4A7EBB"/>
        </w:rPr>
      </w:pPr>
    </w:p>
    <w:p>
      <w:pPr>
        <w:ind w:left="860" w:right="120" w:hanging="409"/>
        <w:spacing w:after="0" w:line="266" w:lineRule="auto"/>
        <w:tabs>
          <w:tab w:leader="none" w:pos="8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as nominees for election to the Board at G-III’s annual meeting of the stockholders or</w:t>
      </w:r>
    </w:p>
    <w:p>
      <w:pPr>
        <w:ind w:left="860" w:hanging="409"/>
        <w:spacing w:after="0"/>
        <w:tabs>
          <w:tab w:leader="none" w:pos="8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to fill any vacancies or newly created directorships on the Board and</w:t>
      </w:r>
    </w:p>
    <w:p>
      <w:pPr>
        <w:spacing w:after="0" w:line="49" w:lineRule="exact"/>
        <w:rPr>
          <w:rFonts w:ascii="Arial" w:cs="Arial" w:eastAsia="Arial" w:hAnsi="Arial"/>
          <w:sz w:val="18"/>
          <w:szCs w:val="18"/>
          <w:color w:val="auto"/>
        </w:rPr>
      </w:pPr>
    </w:p>
    <w:p>
      <w:pPr>
        <w:ind w:left="640" w:right="120" w:hanging="324"/>
        <w:spacing w:after="0" w:line="270" w:lineRule="auto"/>
        <w:tabs>
          <w:tab w:leader="none" w:pos="640" w:val="left"/>
        </w:tabs>
        <w:numPr>
          <w:ilvl w:val="0"/>
          <w:numId w:val="50"/>
        </w:numPr>
        <w:rPr>
          <w:rFonts w:ascii="Times New Roman" w:cs="Times New Roman" w:eastAsia="Times New Roman" w:hAnsi="Times New Roman"/>
          <w:sz w:val="18"/>
          <w:szCs w:val="18"/>
          <w:color w:val="4A7EBB"/>
        </w:rPr>
      </w:pPr>
      <w:r>
        <w:rPr>
          <w:rFonts w:ascii="Arial" w:cs="Arial" w:eastAsia="Arial" w:hAnsi="Arial"/>
          <w:sz w:val="18"/>
          <w:szCs w:val="18"/>
          <w:color w:val="auto"/>
        </w:rPr>
        <w:t>developing and maintaining G-III’s corporate governance policies, and any related matters required by the federal securities laws.</w:t>
      </w:r>
    </w:p>
    <w:p>
      <w:pPr>
        <w:spacing w:after="0" w:line="100" w:lineRule="exact"/>
        <w:rPr>
          <w:sz w:val="20"/>
          <w:szCs w:val="20"/>
          <w:color w:val="auto"/>
        </w:rPr>
      </w:pPr>
    </w:p>
    <w:p>
      <w:pPr>
        <w:jc w:val="both"/>
        <w:ind w:right="100"/>
        <w:spacing w:after="0" w:line="242" w:lineRule="auto"/>
        <w:rPr>
          <w:sz w:val="20"/>
          <w:szCs w:val="20"/>
          <w:color w:val="auto"/>
        </w:rPr>
      </w:pPr>
      <w:r>
        <w:rPr>
          <w:rFonts w:ascii="Arial" w:cs="Arial" w:eastAsia="Arial" w:hAnsi="Arial"/>
          <w:sz w:val="18"/>
          <w:szCs w:val="18"/>
          <w:color w:val="auto"/>
        </w:rPr>
        <w:t>The Nominating and Corporate Governance Committee is also responsible for our Director Selection and Qualification Standards and Resignation Policy as described below. The Nominating and Corporate Governance Committee met to review the performance and the experience, qualifications, attributes and skills of the members of the Board and recommended to our Board the persons to be nominated for election as directors at the Annual Meeting.</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Robert L. Johnson has decided to not stand for reelection at the Annual Meeting.</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4A7EBB"/>
        </w:rPr>
        <w:t>Charter</w:t>
      </w:r>
    </w:p>
    <w:p>
      <w:pPr>
        <w:spacing w:after="0" w:line="54" w:lineRule="exact"/>
        <w:rPr>
          <w:sz w:val="20"/>
          <w:szCs w:val="20"/>
          <w:color w:val="auto"/>
        </w:rPr>
      </w:pPr>
    </w:p>
    <w:p>
      <w:pPr>
        <w:jc w:val="both"/>
        <w:ind w:right="120"/>
        <w:spacing w:after="0" w:line="271" w:lineRule="auto"/>
        <w:rPr>
          <w:sz w:val="20"/>
          <w:szCs w:val="20"/>
          <w:color w:val="auto"/>
        </w:rPr>
      </w:pPr>
      <w:r>
        <w:rPr>
          <w:rFonts w:ascii="Arial" w:cs="Arial" w:eastAsia="Arial" w:hAnsi="Arial"/>
          <w:sz w:val="18"/>
          <w:szCs w:val="18"/>
          <w:color w:val="auto"/>
        </w:rPr>
        <w:t xml:space="preserve">A copy of the Nominating and Corporate Governance Committee’s charter is available in the “Investors” section of our website at </w:t>
      </w:r>
      <w:r>
        <w:rPr>
          <w:rFonts w:ascii="Arial" w:cs="Arial" w:eastAsia="Arial" w:hAnsi="Arial"/>
          <w:sz w:val="18"/>
          <w:szCs w:val="18"/>
          <w:color w:val="4A7EBB"/>
        </w:rPr>
        <w:t>http://www.giii.com</w:t>
      </w:r>
      <w:r>
        <w:rPr>
          <w:rFonts w:ascii="Arial" w:cs="Arial" w:eastAsia="Arial" w:hAnsi="Arial"/>
          <w:sz w:val="18"/>
          <w:szCs w:val="18"/>
          <w:color w:val="auto"/>
        </w:rPr>
        <w:t>.</w:t>
      </w:r>
    </w:p>
    <w:p>
      <w:pPr>
        <w:spacing w:after="0" w:line="198" w:lineRule="exact"/>
        <w:rPr>
          <w:sz w:val="20"/>
          <w:szCs w:val="20"/>
          <w:color w:val="auto"/>
        </w:rPr>
      </w:pPr>
    </w:p>
    <w:p>
      <w:pPr>
        <w:sectPr>
          <w:pgSz w:w="11900" w:h="16838" w:orient="portrait"/>
          <w:cols w:equalWidth="0" w:num="2">
            <w:col w:w="2200" w:space="520"/>
            <w:col w:w="7200"/>
          </w:cols>
          <w:pgMar w:left="980" w:top="513" w:right="999" w:bottom="1440" w:gutter="0" w:footer="0" w:header="0"/>
          <w:type w:val="continuous"/>
        </w:sectPr>
      </w:pPr>
    </w:p>
    <w:p>
      <w:pPr>
        <w:spacing w:after="0"/>
        <w:rPr>
          <w:sz w:val="20"/>
          <w:szCs w:val="20"/>
          <w:color w:val="auto"/>
        </w:rPr>
      </w:pPr>
      <w:r>
        <w:rPr>
          <w:rFonts w:ascii="Arial" w:cs="Arial" w:eastAsia="Arial" w:hAnsi="Arial"/>
          <w:sz w:val="22"/>
          <w:szCs w:val="22"/>
          <w:b w:val="1"/>
          <w:bCs w:val="1"/>
          <w:color w:val="auto"/>
        </w:rPr>
        <w:t>NOMINATIONS PROCESS</w:t>
      </w:r>
    </w:p>
    <w:p>
      <w:pPr>
        <w:spacing w:after="0" w:line="17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It is the policy of the Nominating and Corporate Governance Committee to consider candidates for Board membership suggested by Nominating and Corporate Governance Committee members and other Board members, management, our stockholders, third-party search firms and any other appropriate sources. As a stockholder, you may recommend any person for consideration as a nominee for director by writing to the Secretary of G-III, c/o G-III Apparel Group, Ltd., 512 Seventh Avenue, New York, New York 10018. Recommendations must be received by March 13, 2027 to be considered for the 2027 Annual Meeting of Stockholders. Recommendations must include the name and address of the stockholder making the recommendation, a representation setting forth the number of shares of our Common Stock beneficially owned by the recommending stockholder, a statement that the recommended nominee has expressed his or her intent to serve on the Board if elected, biographical information about the recommended nominee, any other information the stockholder believes would be helpful to the Nominating and Corporate Governance Committee in evaluating the individual recommended nominee and a description of all arrangements or understandings between the recommending stockholder and each nominee and any other person concerning the nomination. The dissident stockholder should comply with the additional requirements of a proper notice under Rule 14a-19, which includes the statement that a dissident using the universal proxy rule intends to solicit 67% of the outstanding voting shares entitled to vote on the election of directors. You are also advised to review our Bylaws, which contain detailed requirements about advance notice of stockholder proposals and director nominations.</w:t>
      </w:r>
    </w:p>
    <w:p>
      <w:pPr>
        <w:spacing w:after="0" w:line="186"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Under the Director Selection and Qualification Standards and Resignation Policy (the “Director Policy”), the Nominating and Corporate Governance Committee is responsible for (i) assisting the Board in evaluating the independence of directors,</w:t>
      </w:r>
    </w:p>
    <w:p>
      <w:pPr>
        <w:jc w:val="both"/>
        <w:ind w:firstLine="8"/>
        <w:spacing w:after="0" w:line="242" w:lineRule="auto"/>
        <w:tabs>
          <w:tab w:leader="none" w:pos="251"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developing and revising, as appropriate, for approval by the Board, selection criteria and qualification standards for Board nominees, (iii) identifying individuals believed to be qualified to become Board members consistent with criteria approved by the Board and applicable law and regulations, (iv) recommending candidates or nominees to the Board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280035</wp:posOffset>
            </wp:positionV>
            <wp:extent cx="629221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left="7560"/>
        <w:spacing w:after="0"/>
        <w:rPr>
          <w:sz w:val="20"/>
          <w:szCs w:val="20"/>
          <w:color w:val="auto"/>
        </w:rPr>
      </w:pPr>
      <w:r>
        <w:rPr>
          <w:rFonts w:ascii="Arial" w:cs="Arial" w:eastAsia="Arial" w:hAnsi="Arial"/>
          <w:sz w:val="16"/>
          <w:szCs w:val="16"/>
          <w:color w:val="auto"/>
        </w:rPr>
        <w:t xml:space="preserve">2026 PROXY STATEMENT </w:t>
      </w:r>
      <w:r>
        <w:rPr>
          <w:rFonts w:ascii="Arial" w:cs="Arial" w:eastAsia="Arial" w:hAnsi="Arial"/>
          <w:sz w:val="19"/>
          <w:szCs w:val="19"/>
          <w:color w:val="808080"/>
        </w:rPr>
        <w:t>/</w:t>
      </w:r>
      <w:r>
        <w:rPr>
          <w:rFonts w:ascii="Arial" w:cs="Arial" w:eastAsia="Arial" w:hAnsi="Arial"/>
          <w:sz w:val="16"/>
          <w:szCs w:val="16"/>
          <w:color w:val="auto"/>
        </w:rPr>
        <w:t xml:space="preserve"> </w:t>
      </w:r>
      <w:r>
        <w:rPr>
          <w:rFonts w:ascii="Arial" w:cs="Arial" w:eastAsia="Arial" w:hAnsi="Arial"/>
          <w:sz w:val="19"/>
          <w:szCs w:val="19"/>
          <w:b w:val="1"/>
          <w:bCs w:val="1"/>
          <w:color w:val="4A7EBB"/>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356235</wp:posOffset>
            </wp:positionV>
            <wp:extent cx="629221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17780</wp:posOffset>
            </wp:positionV>
            <wp:extent cx="624903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249035" cy="8255"/>
                    </a:xfrm>
                    <a:prstGeom prst="rect">
                      <a:avLst/>
                    </a:prstGeom>
                    <a:noFill/>
                  </pic:spPr>
                </pic:pic>
              </a:graphicData>
            </a:graphic>
          </wp:anchor>
        </w:drawing>
      </w:r>
    </w:p>
    <w:p>
      <w:pPr>
        <w:spacing w:after="0" w:line="219" w:lineRule="exact"/>
        <w:rPr>
          <w:sz w:val="20"/>
          <w:szCs w:val="20"/>
          <w:color w:val="auto"/>
        </w:rPr>
      </w:pPr>
    </w:p>
    <w:p>
      <w:pPr>
        <w:ind w:firstLine="8"/>
        <w:spacing w:after="0" w:line="271" w:lineRule="auto"/>
        <w:tabs>
          <w:tab w:leader="none" w:pos="262"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recommending to the Board whether or not to accept the resignation of a nominee for Director in an uncontested election who receives more votes “withheld” from his or her election than votes “for” such election.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In evaluating candidates, the Nominating and Corporate Governance Committee considers the following criteria:</w:t>
      </w:r>
    </w:p>
    <w:p>
      <w:pPr>
        <w:sectPr>
          <w:pgSz w:w="11900" w:h="16838" w:orient="portrait"/>
          <w:cols w:equalWidth="0" w:num="1">
            <w:col w:w="9920"/>
          </w:cols>
          <w:pgMar w:left="980" w:top="513" w:right="999" w:bottom="1440" w:gutter="0" w:footer="0" w:header="0"/>
        </w:sectPr>
      </w:pPr>
    </w:p>
    <w:p>
      <w:pPr>
        <w:spacing w:after="0" w:line="351" w:lineRule="exact"/>
        <w:rPr>
          <w:sz w:val="20"/>
          <w:szCs w:val="20"/>
          <w:color w:val="auto"/>
        </w:rPr>
      </w:pPr>
    </w:p>
    <w:p>
      <w:pPr>
        <w:ind w:left="540" w:hanging="301"/>
        <w:spacing w:after="0"/>
        <w:tabs>
          <w:tab w:leader="none" w:pos="540" w:val="left"/>
        </w:tabs>
        <w:numPr>
          <w:ilvl w:val="0"/>
          <w:numId w:val="53"/>
        </w:numPr>
        <w:rPr>
          <w:rFonts w:ascii="Arial" w:cs="Arial" w:eastAsia="Arial" w:hAnsi="Arial"/>
          <w:sz w:val="18"/>
          <w:szCs w:val="18"/>
          <w:color w:val="4A7EBB"/>
        </w:rPr>
      </w:pPr>
      <w:r>
        <w:rPr>
          <w:rFonts w:ascii="Arial" w:cs="Arial" w:eastAsia="Arial" w:hAnsi="Arial"/>
          <w:sz w:val="16"/>
          <w:szCs w:val="16"/>
          <w:color w:val="auto"/>
        </w:rPr>
        <w:t>personal integrity,</w:t>
      </w:r>
    </w:p>
    <w:p>
      <w:pPr>
        <w:spacing w:after="0" w:line="238" w:lineRule="exact"/>
        <w:rPr>
          <w:rFonts w:ascii="Arial" w:cs="Arial" w:eastAsia="Arial" w:hAnsi="Arial"/>
          <w:sz w:val="18"/>
          <w:szCs w:val="18"/>
          <w:color w:val="4A7EBB"/>
        </w:rPr>
      </w:pPr>
    </w:p>
    <w:p>
      <w:pPr>
        <w:ind w:left="540" w:hanging="301"/>
        <w:spacing w:after="0"/>
        <w:tabs>
          <w:tab w:leader="none" w:pos="540" w:val="left"/>
        </w:tabs>
        <w:numPr>
          <w:ilvl w:val="0"/>
          <w:numId w:val="53"/>
        </w:numPr>
        <w:rPr>
          <w:rFonts w:ascii="Arial" w:cs="Arial" w:eastAsia="Arial" w:hAnsi="Arial"/>
          <w:sz w:val="18"/>
          <w:szCs w:val="18"/>
          <w:color w:val="4A7EBB"/>
        </w:rPr>
      </w:pPr>
      <w:r>
        <w:rPr>
          <w:rFonts w:ascii="Arial" w:cs="Arial" w:eastAsia="Arial" w:hAnsi="Arial"/>
          <w:sz w:val="16"/>
          <w:szCs w:val="16"/>
          <w:color w:val="auto"/>
        </w:rPr>
        <w:t>skills,</w:t>
      </w:r>
    </w:p>
    <w:p>
      <w:pPr>
        <w:spacing w:after="0" w:line="238" w:lineRule="exact"/>
        <w:rPr>
          <w:rFonts w:ascii="Arial" w:cs="Arial" w:eastAsia="Arial" w:hAnsi="Arial"/>
          <w:sz w:val="18"/>
          <w:szCs w:val="18"/>
          <w:color w:val="4A7EBB"/>
        </w:rPr>
      </w:pPr>
    </w:p>
    <w:p>
      <w:pPr>
        <w:ind w:left="540" w:hanging="301"/>
        <w:spacing w:after="0"/>
        <w:tabs>
          <w:tab w:leader="none" w:pos="540" w:val="left"/>
        </w:tabs>
        <w:numPr>
          <w:ilvl w:val="0"/>
          <w:numId w:val="53"/>
        </w:numPr>
        <w:rPr>
          <w:rFonts w:ascii="Arial" w:cs="Arial" w:eastAsia="Arial" w:hAnsi="Arial"/>
          <w:sz w:val="18"/>
          <w:szCs w:val="18"/>
          <w:color w:val="4A7EBB"/>
        </w:rPr>
      </w:pPr>
      <w:r>
        <w:rPr>
          <w:rFonts w:ascii="Arial" w:cs="Arial" w:eastAsia="Arial" w:hAnsi="Arial"/>
          <w:sz w:val="16"/>
          <w:szCs w:val="16"/>
          <w:color w:val="auto"/>
        </w:rPr>
        <w:t>sound business judgment,</w:t>
      </w:r>
    </w:p>
    <w:p>
      <w:pPr>
        <w:spacing w:after="0" w:line="225" w:lineRule="exact"/>
        <w:rPr>
          <w:rFonts w:ascii="Arial" w:cs="Arial" w:eastAsia="Arial" w:hAnsi="Arial"/>
          <w:sz w:val="18"/>
          <w:szCs w:val="18"/>
          <w:color w:val="4A7EBB"/>
        </w:rPr>
      </w:pPr>
    </w:p>
    <w:p>
      <w:pPr>
        <w:ind w:left="540" w:hanging="301"/>
        <w:spacing w:after="0"/>
        <w:tabs>
          <w:tab w:leader="none" w:pos="540" w:val="left"/>
        </w:tabs>
        <w:numPr>
          <w:ilvl w:val="0"/>
          <w:numId w:val="53"/>
        </w:numPr>
        <w:rPr>
          <w:rFonts w:ascii="Arial" w:cs="Arial" w:eastAsia="Arial" w:hAnsi="Arial"/>
          <w:sz w:val="18"/>
          <w:szCs w:val="18"/>
          <w:color w:val="4A7EBB"/>
        </w:rPr>
      </w:pPr>
      <w:r>
        <w:rPr>
          <w:rFonts w:ascii="Arial" w:cs="Arial" w:eastAsia="Arial" w:hAnsi="Arial"/>
          <w:sz w:val="16"/>
          <w:szCs w:val="16"/>
          <w:color w:val="auto"/>
        </w:rPr>
        <w:t>diversity,</w:t>
      </w:r>
    </w:p>
    <w:p>
      <w:pPr>
        <w:spacing w:after="0" w:line="225" w:lineRule="exact"/>
        <w:rPr>
          <w:rFonts w:ascii="Arial" w:cs="Arial" w:eastAsia="Arial" w:hAnsi="Arial"/>
          <w:sz w:val="18"/>
          <w:szCs w:val="18"/>
          <w:color w:val="4A7EBB"/>
        </w:rPr>
      </w:pPr>
    </w:p>
    <w:p>
      <w:pPr>
        <w:ind w:left="540" w:hanging="301"/>
        <w:spacing w:after="0"/>
        <w:tabs>
          <w:tab w:leader="none" w:pos="540" w:val="left"/>
        </w:tabs>
        <w:numPr>
          <w:ilvl w:val="0"/>
          <w:numId w:val="53"/>
        </w:numPr>
        <w:rPr>
          <w:rFonts w:ascii="Arial" w:cs="Arial" w:eastAsia="Arial" w:hAnsi="Arial"/>
          <w:sz w:val="18"/>
          <w:szCs w:val="18"/>
          <w:color w:val="4A7EBB"/>
        </w:rPr>
      </w:pPr>
      <w:r>
        <w:rPr>
          <w:rFonts w:ascii="Arial" w:cs="Arial" w:eastAsia="Arial" w:hAnsi="Arial"/>
          <w:sz w:val="16"/>
          <w:szCs w:val="16"/>
          <w:color w:val="auto"/>
        </w:rPr>
        <w:t>business and professional skills and experience,</w:t>
      </w:r>
    </w:p>
    <w:p>
      <w:pPr>
        <w:spacing w:after="0" w:line="144" w:lineRule="exact"/>
        <w:rPr>
          <w:rFonts w:ascii="Arial" w:cs="Arial" w:eastAsia="Arial" w:hAnsi="Arial"/>
          <w:sz w:val="18"/>
          <w:szCs w:val="18"/>
          <w:color w:val="4A7EBB"/>
        </w:rPr>
      </w:pPr>
    </w:p>
    <w:p>
      <w:pPr>
        <w:ind w:left="560" w:hanging="321"/>
        <w:spacing w:after="0" w:line="256" w:lineRule="auto"/>
        <w:tabs>
          <w:tab w:leader="none" w:pos="720" w:val="left"/>
        </w:tabs>
        <w:numPr>
          <w:ilvl w:val="0"/>
          <w:numId w:val="53"/>
        </w:numPr>
        <w:rPr>
          <w:rFonts w:ascii="Arial" w:cs="Arial" w:eastAsia="Arial" w:hAnsi="Arial"/>
          <w:sz w:val="18"/>
          <w:szCs w:val="18"/>
          <w:color w:val="4A7EBB"/>
        </w:rPr>
      </w:pPr>
      <w:r>
        <w:rPr>
          <w:rFonts w:ascii="Arial" w:cs="Arial" w:eastAsia="Arial" w:hAnsi="Arial"/>
          <w:sz w:val="16"/>
          <w:szCs w:val="16"/>
          <w:color w:val="auto"/>
        </w:rPr>
        <w:t>experience with businesses and other organizations of comparable size,</w:t>
      </w:r>
    </w:p>
    <w:p>
      <w:pPr>
        <w:spacing w:after="0" w:line="28" w:lineRule="exact"/>
        <w:rPr>
          <w:rFonts w:ascii="Arial" w:cs="Arial" w:eastAsia="Arial" w:hAnsi="Arial"/>
          <w:sz w:val="18"/>
          <w:szCs w:val="18"/>
          <w:color w:val="4A7EBB"/>
        </w:rPr>
      </w:pPr>
    </w:p>
    <w:p>
      <w:pPr>
        <w:ind w:left="560" w:right="20" w:hanging="318"/>
        <w:spacing w:after="0" w:line="256" w:lineRule="auto"/>
        <w:tabs>
          <w:tab w:leader="none" w:pos="815" w:val="left"/>
        </w:tabs>
        <w:numPr>
          <w:ilvl w:val="0"/>
          <w:numId w:val="53"/>
        </w:numPr>
        <w:rPr>
          <w:rFonts w:ascii="Arial" w:cs="Arial" w:eastAsia="Arial" w:hAnsi="Arial"/>
          <w:sz w:val="18"/>
          <w:szCs w:val="18"/>
          <w:color w:val="4A7EBB"/>
        </w:rPr>
      </w:pPr>
      <w:r>
        <w:rPr>
          <w:rFonts w:ascii="Arial" w:cs="Arial" w:eastAsia="Arial" w:hAnsi="Arial"/>
          <w:sz w:val="16"/>
          <w:szCs w:val="16"/>
          <w:color w:val="auto"/>
        </w:rPr>
        <w:t>the interplay of the candidate’s experience with the experience of other Board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-1661160</wp:posOffset>
            </wp:positionV>
            <wp:extent cx="6292215" cy="28257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292215" cy="28257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-1095375</wp:posOffset>
            </wp:positionV>
            <wp:extent cx="6292215" cy="2654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292215" cy="26543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-546735</wp:posOffset>
            </wp:positionV>
            <wp:extent cx="6292215" cy="28257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292215" cy="28257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18415</wp:posOffset>
            </wp:positionV>
            <wp:extent cx="629221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-1952625</wp:posOffset>
            </wp:positionV>
            <wp:extent cx="629221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ind w:left="327" w:right="120" w:hanging="327"/>
        <w:spacing w:after="0" w:line="256" w:lineRule="auto"/>
        <w:tabs>
          <w:tab w:leader="none" w:pos="500" w:val="left"/>
        </w:tabs>
        <w:numPr>
          <w:ilvl w:val="0"/>
          <w:numId w:val="54"/>
        </w:numPr>
        <w:rPr>
          <w:rFonts w:ascii="Arial" w:cs="Arial" w:eastAsia="Arial" w:hAnsi="Arial"/>
          <w:sz w:val="18"/>
          <w:szCs w:val="18"/>
          <w:color w:val="4A7EBB"/>
        </w:rPr>
      </w:pPr>
      <w:r>
        <w:rPr>
          <w:rFonts w:ascii="Arial" w:cs="Arial" w:eastAsia="Arial" w:hAnsi="Arial"/>
          <w:sz w:val="16"/>
          <w:szCs w:val="16"/>
          <w:color w:val="auto"/>
        </w:rPr>
        <w:t>the extent to which a candidate would be a desirable addition to the Board and any committees of the Board,</w:t>
      </w:r>
    </w:p>
    <w:p>
      <w:pPr>
        <w:spacing w:after="0" w:line="28" w:lineRule="exact"/>
        <w:rPr>
          <w:rFonts w:ascii="Arial" w:cs="Arial" w:eastAsia="Arial" w:hAnsi="Arial"/>
          <w:sz w:val="18"/>
          <w:szCs w:val="18"/>
          <w:color w:val="4A7EBB"/>
        </w:rPr>
      </w:pPr>
    </w:p>
    <w:p>
      <w:pPr>
        <w:ind w:left="327" w:right="120" w:hanging="327"/>
        <w:spacing w:after="0" w:line="256" w:lineRule="auto"/>
        <w:tabs>
          <w:tab w:leader="none" w:pos="311" w:val="left"/>
        </w:tabs>
        <w:numPr>
          <w:ilvl w:val="0"/>
          <w:numId w:val="54"/>
        </w:numPr>
        <w:rPr>
          <w:rFonts w:ascii="Arial" w:cs="Arial" w:eastAsia="Arial" w:hAnsi="Arial"/>
          <w:sz w:val="18"/>
          <w:szCs w:val="18"/>
          <w:color w:val="4A7EBB"/>
        </w:rPr>
      </w:pPr>
      <w:r>
        <w:rPr>
          <w:rFonts w:ascii="Arial" w:cs="Arial" w:eastAsia="Arial" w:hAnsi="Arial"/>
          <w:sz w:val="16"/>
          <w:szCs w:val="16"/>
          <w:color w:val="auto"/>
        </w:rPr>
        <w:t>independence (as that term is defined under the rules of the SEC and the Nasdaq Listing Rules),</w:t>
      </w:r>
    </w:p>
    <w:p>
      <w:pPr>
        <w:spacing w:after="0" w:line="28" w:lineRule="exact"/>
        <w:rPr>
          <w:rFonts w:ascii="Arial" w:cs="Arial" w:eastAsia="Arial" w:hAnsi="Arial"/>
          <w:sz w:val="18"/>
          <w:szCs w:val="18"/>
          <w:color w:val="4A7EBB"/>
        </w:rPr>
      </w:pPr>
    </w:p>
    <w:p>
      <w:pPr>
        <w:ind w:left="327" w:right="120" w:hanging="327"/>
        <w:spacing w:after="0" w:line="256" w:lineRule="auto"/>
        <w:tabs>
          <w:tab w:leader="none" w:pos="352" w:val="left"/>
        </w:tabs>
        <w:numPr>
          <w:ilvl w:val="0"/>
          <w:numId w:val="54"/>
        </w:numPr>
        <w:rPr>
          <w:rFonts w:ascii="Arial" w:cs="Arial" w:eastAsia="Arial" w:hAnsi="Arial"/>
          <w:sz w:val="18"/>
          <w:szCs w:val="18"/>
          <w:color w:val="4A7EBB"/>
        </w:rPr>
      </w:pPr>
      <w:r>
        <w:rPr>
          <w:rFonts w:ascii="Arial" w:cs="Arial" w:eastAsia="Arial" w:hAnsi="Arial"/>
          <w:sz w:val="16"/>
          <w:szCs w:val="16"/>
          <w:color w:val="auto"/>
        </w:rPr>
        <w:t>the requirement to maintain a Board that is composed of a majority of independent directors,</w:t>
      </w:r>
    </w:p>
    <w:p>
      <w:pPr>
        <w:spacing w:after="0" w:line="109" w:lineRule="exact"/>
        <w:rPr>
          <w:rFonts w:ascii="Arial" w:cs="Arial" w:eastAsia="Arial" w:hAnsi="Arial"/>
          <w:sz w:val="18"/>
          <w:szCs w:val="18"/>
          <w:color w:val="4A7EBB"/>
        </w:rPr>
      </w:pPr>
    </w:p>
    <w:p>
      <w:pPr>
        <w:ind w:left="307" w:hanging="307"/>
        <w:spacing w:after="0"/>
        <w:tabs>
          <w:tab w:leader="none" w:pos="307" w:val="left"/>
        </w:tabs>
        <w:numPr>
          <w:ilvl w:val="0"/>
          <w:numId w:val="54"/>
        </w:numPr>
        <w:rPr>
          <w:rFonts w:ascii="Arial" w:cs="Arial" w:eastAsia="Arial" w:hAnsi="Arial"/>
          <w:sz w:val="18"/>
          <w:szCs w:val="18"/>
          <w:color w:val="4A7EBB"/>
        </w:rPr>
      </w:pPr>
      <w:r>
        <w:rPr>
          <w:rFonts w:ascii="Arial" w:cs="Arial" w:eastAsia="Arial" w:hAnsi="Arial"/>
          <w:sz w:val="16"/>
          <w:szCs w:val="16"/>
          <w:color w:val="auto"/>
        </w:rPr>
        <w:t>potential conflicts of interest,</w:t>
      </w:r>
    </w:p>
    <w:p>
      <w:pPr>
        <w:spacing w:after="0" w:line="130" w:lineRule="exact"/>
        <w:rPr>
          <w:rFonts w:ascii="Arial" w:cs="Arial" w:eastAsia="Arial" w:hAnsi="Arial"/>
          <w:sz w:val="18"/>
          <w:szCs w:val="18"/>
          <w:color w:val="4A7EBB"/>
        </w:rPr>
      </w:pPr>
    </w:p>
    <w:p>
      <w:pPr>
        <w:ind w:left="327" w:right="100" w:hanging="327"/>
        <w:spacing w:after="0" w:line="256" w:lineRule="auto"/>
        <w:tabs>
          <w:tab w:leader="none" w:pos="406" w:val="left"/>
        </w:tabs>
        <w:numPr>
          <w:ilvl w:val="0"/>
          <w:numId w:val="54"/>
        </w:numPr>
        <w:rPr>
          <w:rFonts w:ascii="Arial" w:cs="Arial" w:eastAsia="Arial" w:hAnsi="Arial"/>
          <w:sz w:val="18"/>
          <w:szCs w:val="18"/>
          <w:color w:val="4A7EBB"/>
        </w:rPr>
      </w:pPr>
      <w:r>
        <w:rPr>
          <w:rFonts w:ascii="Arial" w:cs="Arial" w:eastAsia="Arial" w:hAnsi="Arial"/>
          <w:sz w:val="16"/>
          <w:szCs w:val="16"/>
          <w:color w:val="auto"/>
        </w:rPr>
        <w:t>the extent to which a candidate would fill a present need and</w:t>
      </w:r>
    </w:p>
    <w:p>
      <w:pPr>
        <w:spacing w:after="0" w:line="122" w:lineRule="exact"/>
        <w:rPr>
          <w:rFonts w:ascii="Arial" w:cs="Arial" w:eastAsia="Arial" w:hAnsi="Arial"/>
          <w:sz w:val="18"/>
          <w:szCs w:val="18"/>
          <w:color w:val="4A7EBB"/>
        </w:rPr>
      </w:pPr>
    </w:p>
    <w:p>
      <w:pPr>
        <w:ind w:left="307" w:hanging="307"/>
        <w:spacing w:after="0"/>
        <w:tabs>
          <w:tab w:leader="none" w:pos="307" w:val="left"/>
        </w:tabs>
        <w:numPr>
          <w:ilvl w:val="0"/>
          <w:numId w:val="54"/>
        </w:numPr>
        <w:rPr>
          <w:rFonts w:ascii="Arial" w:cs="Arial" w:eastAsia="Arial" w:hAnsi="Arial"/>
          <w:sz w:val="18"/>
          <w:szCs w:val="18"/>
          <w:color w:val="4A7EBB"/>
        </w:rPr>
      </w:pPr>
      <w:r>
        <w:rPr>
          <w:rFonts w:ascii="Arial" w:cs="Arial" w:eastAsia="Arial" w:hAnsi="Arial"/>
          <w:sz w:val="16"/>
          <w:szCs w:val="16"/>
          <w:color w:val="auto"/>
        </w:rPr>
        <w:t>concern for the long-term interests of stockholders.</w:t>
      </w:r>
    </w:p>
    <w:p>
      <w:pPr>
        <w:spacing w:after="0" w:line="761" w:lineRule="exact"/>
        <w:rPr>
          <w:sz w:val="20"/>
          <w:szCs w:val="20"/>
          <w:color w:val="auto"/>
        </w:rPr>
      </w:pPr>
    </w:p>
    <w:p>
      <w:pPr>
        <w:sectPr>
          <w:pgSz w:w="11900" w:h="16838" w:orient="portrait"/>
          <w:cols w:equalWidth="0" w:num="2">
            <w:col w:w="4860" w:space="333"/>
            <w:col w:w="4727"/>
          </w:cols>
          <w:pgMar w:left="980" w:top="513" w:right="999" w:bottom="1440" w:gutter="0" w:footer="0" w:header="0"/>
          <w:type w:val="continuous"/>
        </w:sectPr>
      </w:pPr>
    </w:p>
    <w:p>
      <w:pPr>
        <w:spacing w:after="0" w:line="2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any particular situation, the Nominating and Corporate Governance Committee may focus on persons possessing a particular background, experience or qualifications that the Committee believes would be important to enhance the effectiveness of the Board.</w:t>
      </w:r>
    </w:p>
    <w:p>
      <w:pPr>
        <w:spacing w:after="0" w:line="169" w:lineRule="exact"/>
        <w:rPr>
          <w:sz w:val="20"/>
          <w:szCs w:val="20"/>
          <w:color w:val="auto"/>
        </w:rPr>
      </w:pPr>
    </w:p>
    <w:p>
      <w:pPr>
        <w:jc w:val="both"/>
        <w:spacing w:after="0"/>
        <w:rPr>
          <w:sz w:val="20"/>
          <w:szCs w:val="20"/>
          <w:color w:val="auto"/>
        </w:rPr>
      </w:pPr>
      <w:r>
        <w:rPr>
          <w:rFonts w:ascii="Arial" w:cs="Arial" w:eastAsia="Arial" w:hAnsi="Arial"/>
          <w:sz w:val="18"/>
          <w:szCs w:val="18"/>
          <w:color w:val="auto"/>
        </w:rPr>
        <w:t>Although the Nominating and Corporate Governance Committee does not have a formal policy with respect to considering diversity in identifying director nominees, it believes that a diverse Board is of benefit to the Company. The Board and the Nominating and Corporate Governance Committee believe it is important that the Board members represent diverse viewpoints and a variety of skills so that, as a group, the Board will possess the appropriate talent, skills and expertise to oversee our business. The evaluation process for stockholder recommendations is the same as for candidates recommended from any other source. The needs of the Board and the factors that the Nominating and Corporate Governance Committee consider in evaluating candidates are reassessed on an annual basis, when the Committee’s charter is reviewed.</w:t>
      </w:r>
    </w:p>
    <w:p>
      <w:pPr>
        <w:spacing w:after="0" w:line="151" w:lineRule="exact"/>
        <w:rPr>
          <w:sz w:val="20"/>
          <w:szCs w:val="20"/>
          <w:color w:val="auto"/>
        </w:rPr>
      </w:pPr>
    </w:p>
    <w:p>
      <w:pPr>
        <w:spacing w:after="0"/>
        <w:rPr>
          <w:sz w:val="20"/>
          <w:szCs w:val="20"/>
          <w:color w:val="auto"/>
        </w:rPr>
      </w:pPr>
      <w:r>
        <w:rPr>
          <w:rFonts w:ascii="Arial" w:cs="Arial" w:eastAsia="Arial" w:hAnsi="Arial"/>
          <w:sz w:val="29"/>
          <w:szCs w:val="29"/>
          <w:b w:val="1"/>
          <w:bCs w:val="1"/>
          <w:color w:val="4A7EBB"/>
        </w:rPr>
        <w:t>Stockholder Communications</w:t>
      </w:r>
    </w:p>
    <w:p>
      <w:pPr>
        <w:spacing w:after="0" w:line="19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Board of Directors has provided a process for stockholders to send communications to the Board. Stockholders who wish to send communications to the Board of Directors, or any particular director, should address such communications to the Board or such director c/o G-III Apparel Group, Ltd., 512 Seventh Avenue, New York, New York 10018, Attn: Secretary. All such communications should include a representation from the submitting stockholder setting forth the stockholder’s address and the number of shares of our Common Stock beneficially owned by the stockholder. The Board will give appropriate attention to written communications on issues that are submitted by stockholders and will respond as appropriate. Absent unusual circumstances, the Secretary of G-III will (i) be primarily responsible for monitoring communications from stockholders and (ii) provide copies or summaries of such communications to the Board, the Lead Independent Director (who serves as a non-management resource for stockholders seeking to communicate with our Board) or the director to whom such communication is addressed, as the Secretary considers appropriate. Each stockholder communication will be forwarded to all directors, the Lead Independent Director or the director to whom it is addressed, if it relates to a substantive matter and includes suggestions or comments that the Secretary considers to be important for the directors, or director, to know. In general, stockholder communications relating to corporate governance and long-term corporate strategy are more likely to be forwarded than stockholder communications relating to personal grievances and matters as to which we may receive repetitive or duplicative communications.</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Additionally, G-III’s by-laws set forth “advance notice” requirements for stockholders’ meetings consistent with the purpose of establishing an orderly process for stockholders seeking to nominate directors or propose business at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263525</wp:posOffset>
            </wp:positionV>
            <wp:extent cx="629221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288925</wp:posOffset>
            </wp:positionH>
            <wp:positionV relativeFrom="paragraph">
              <wp:posOffset>323850</wp:posOffset>
            </wp:positionV>
            <wp:extent cx="265430" cy="1460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65430" cy="146050"/>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0"/>
          <w:szCs w:val="20"/>
          <w:b w:val="1"/>
          <w:bCs w:val="1"/>
          <w:color w:val="4A7EBB"/>
        </w:rPr>
        <w:t xml:space="preserve">20 </w:t>
      </w:r>
      <w:r>
        <w:rPr>
          <w:rFonts w:ascii="Arial" w:cs="Arial" w:eastAsia="Arial" w:hAnsi="Arial"/>
          <w:sz w:val="20"/>
          <w:szCs w:val="20"/>
          <w:color w:val="80808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17780</wp:posOffset>
            </wp:positionV>
            <wp:extent cx="629221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1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meetings. The advance notice provisions in the by-laws require stockholders to deliver notice to G-III of their intention to make director nominations or bring other business before the meeting not later than the close of business on the 90th day, nor earlier than the close of business on the 120th day, in advance of the anniversary of the previous year’s annual meeting if the meeting is to be held on a day which is not more than 30 days in advance of the anniversary of the previous year’s annual meeting or not later than 70 days after the anniversary of the previous year’s annual meeting. The advance notice provisions of the by-laws prescribe information that the stockholder’s notice must contain, both as to itself and its proposed director nominee, if the stockholder wishes to nominate a candidate for the annual meeting director election, prescribe information that the stockholder’s notice must contain if the stockholder wishes to bring business other than a director nomination before the annual meeting, and set forth rules and procedures relating to special meetings of stockholders.</w:t>
      </w:r>
    </w:p>
    <w:p>
      <w:pPr>
        <w:spacing w:after="0" w:line="168" w:lineRule="exact"/>
        <w:rPr>
          <w:sz w:val="20"/>
          <w:szCs w:val="20"/>
          <w:color w:val="auto"/>
        </w:rPr>
      </w:pPr>
    </w:p>
    <w:p>
      <w:pPr>
        <w:spacing w:after="0"/>
        <w:rPr>
          <w:sz w:val="20"/>
          <w:szCs w:val="20"/>
          <w:color w:val="auto"/>
        </w:rPr>
      </w:pPr>
      <w:r>
        <w:rPr>
          <w:rFonts w:ascii="Arial" w:cs="Arial" w:eastAsia="Arial" w:hAnsi="Arial"/>
          <w:sz w:val="29"/>
          <w:szCs w:val="29"/>
          <w:b w:val="1"/>
          <w:bCs w:val="1"/>
          <w:color w:val="4A7EBB"/>
        </w:rPr>
        <w:t>Risk Oversight</w:t>
      </w:r>
    </w:p>
    <w:p>
      <w:pPr>
        <w:spacing w:after="0" w:line="19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risk oversight function of our Board of Directors is carried out by both the Board and the Audit Committee. A fundamental part of risk oversight is not only understanding the material risks a company faces and the steps management is taking to manage those risks, but also understanding what level of risk is appropriate for the company. The Board focuses on our general risk management strategy and the most significant risks facing us and ensures that management implements appropriate risk mitigation strategies. Management also apprises the Board of particular risk management matters in connection with its general oversight and approval of corporate matters.</w:t>
      </w:r>
    </w:p>
    <w:p>
      <w:pPr>
        <w:spacing w:after="0" w:line="179" w:lineRule="exact"/>
        <w:rPr>
          <w:sz w:val="20"/>
          <w:szCs w:val="20"/>
          <w:color w:val="auto"/>
        </w:rPr>
      </w:pPr>
    </w:p>
    <w:p>
      <w:pPr>
        <w:jc w:val="both"/>
        <w:spacing w:after="0"/>
        <w:rPr>
          <w:sz w:val="20"/>
          <w:szCs w:val="20"/>
          <w:color w:val="auto"/>
        </w:rPr>
      </w:pPr>
      <w:r>
        <w:rPr>
          <w:rFonts w:ascii="Arial" w:cs="Arial" w:eastAsia="Arial" w:hAnsi="Arial"/>
          <w:sz w:val="18"/>
          <w:szCs w:val="18"/>
          <w:color w:val="auto"/>
        </w:rPr>
        <w:t>While the full Board has overall responsibility for risk oversight, the Board has delegated oversight related to certain risks to the Audit Committee. The Audit Committee is responsible for reviewing and discussing with management our major and emerging risk exposures, including financial, operational, technology, privacy, data security, disaster recovery and ethics and compliance. The Audit Committee meets periodically with management and our internal audit department to discuss our major financial and operating risks and the steps, guidelines and policies management and our internal audit team have taken to monitor and control exposures to risk, including G-III’s risk assessment and risk management policies. The Chair of the Audit Committee regularly reports to the Board the substance of such reviews and discussions. Both the Board and the Audit Committee regularly review cybersecurity and data privacy risk matters.</w:t>
      </w:r>
    </w:p>
    <w:p>
      <w:pPr>
        <w:spacing w:after="0" w:line="18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Compensation Committee incorporates considerations of risk into its deliberations of our executive compensation program. The Compensation Committee believes that G-III’s compensation policies and practices do not create risks that are reasonably likely to have a material adverse effect on G-III. In addition, our internal disclosure committee reviews with management the “risk factors” that appear in our Annual Report on Form 10-K prior to its filing with the SEC, as well as prior to the filing of our Quarterly Reports on Form 10-Q.</w:t>
      </w:r>
    </w:p>
    <w:p>
      <w:pPr>
        <w:spacing w:after="0" w:line="176"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management is responsible for day-to-day risk management. Our risk management and internal audit areas serve as the primary monitoring and testing function for company-wide policies and procedures and manage the day-to-day oversight of the risk management strategy for our ongoing business. This oversight includes identifying, evaluating, and addressing potential risks that may exist at the enterprise, strategic, financial, operational, and compliance and reporting levels. The Board encourages management to promote a corporate culture that incorporates risk management into our corporate strategy and day-to-day business operations. The Board continually works, with input from our executive officers, to assess and analyze the most likely areas of future risk for us and our business.</w:t>
      </w:r>
    </w:p>
    <w:p>
      <w:pPr>
        <w:spacing w:after="0" w:line="169" w:lineRule="exact"/>
        <w:rPr>
          <w:sz w:val="20"/>
          <w:szCs w:val="20"/>
          <w:color w:val="auto"/>
        </w:rPr>
      </w:pPr>
    </w:p>
    <w:p>
      <w:pPr>
        <w:spacing w:after="0"/>
        <w:rPr>
          <w:sz w:val="20"/>
          <w:szCs w:val="20"/>
          <w:color w:val="auto"/>
        </w:rPr>
      </w:pPr>
      <w:r>
        <w:rPr>
          <w:rFonts w:ascii="Arial" w:cs="Arial" w:eastAsia="Arial" w:hAnsi="Arial"/>
          <w:sz w:val="29"/>
          <w:szCs w:val="29"/>
          <w:b w:val="1"/>
          <w:bCs w:val="1"/>
          <w:color w:val="4A7EBB"/>
        </w:rPr>
        <w:t>Leadership Structure of the Board</w:t>
      </w:r>
    </w:p>
    <w:p>
      <w:pPr>
        <w:spacing w:after="0" w:line="208"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Board of Directors believes that Morris Goldfarb’s service in the dual roles of Chairman of the Board and Chief Executive Officer is in our best interest, as well as the best interest of our stockholders. Morris Goldfarb is the director most familiar with our business and industry and possesses detailed and in-depth knowledge of the issues, opportunities and challenges facing us and our business. Thus, he is in the best position to develop agendas and plans that ensure that the Board’s time and attention are focused on the most critical matters. We believe that Morris Goldfarb is viewed by our customers, suppliers, business partners, investors and other stakeholders as providing strong leadership for our company in the marketplace and in our industry. This approach is often utilized by other public companies in the United States and we believe it has been effective for our company as 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280670</wp:posOffset>
            </wp:positionV>
            <wp:extent cx="629221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7560"/>
        <w:spacing w:after="0"/>
        <w:rPr>
          <w:sz w:val="20"/>
          <w:szCs w:val="20"/>
          <w:color w:val="auto"/>
        </w:rPr>
      </w:pPr>
      <w:r>
        <w:rPr>
          <w:rFonts w:ascii="Arial" w:cs="Arial" w:eastAsia="Arial" w:hAnsi="Arial"/>
          <w:sz w:val="16"/>
          <w:szCs w:val="16"/>
          <w:color w:val="auto"/>
        </w:rPr>
        <w:t xml:space="preserve">2026 PROXY STATEMENT </w:t>
      </w:r>
      <w:r>
        <w:rPr>
          <w:rFonts w:ascii="Arial" w:cs="Arial" w:eastAsia="Arial" w:hAnsi="Arial"/>
          <w:sz w:val="19"/>
          <w:szCs w:val="19"/>
          <w:color w:val="808080"/>
        </w:rPr>
        <w:t>/</w:t>
      </w:r>
      <w:r>
        <w:rPr>
          <w:rFonts w:ascii="Arial" w:cs="Arial" w:eastAsia="Arial" w:hAnsi="Arial"/>
          <w:sz w:val="16"/>
          <w:szCs w:val="16"/>
          <w:color w:val="auto"/>
        </w:rPr>
        <w:t xml:space="preserve"> </w:t>
      </w:r>
      <w:r>
        <w:rPr>
          <w:rFonts w:ascii="Arial" w:cs="Arial" w:eastAsia="Arial" w:hAnsi="Arial"/>
          <w:sz w:val="19"/>
          <w:szCs w:val="19"/>
          <w:b w:val="1"/>
          <w:bCs w:val="1"/>
          <w:color w:val="4A7EBB"/>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365125</wp:posOffset>
            </wp:positionV>
            <wp:extent cx="629221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17780</wp:posOffset>
            </wp:positionV>
            <wp:extent cx="624903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249035" cy="8255"/>
                    </a:xfrm>
                    <a:prstGeom prst="rect">
                      <a:avLst/>
                    </a:prstGeom>
                    <a:noFill/>
                  </pic:spPr>
                </pic:pic>
              </a:graphicData>
            </a:graphic>
          </wp:anchor>
        </w:drawing>
      </w:r>
    </w:p>
    <w:p>
      <w:pPr>
        <w:spacing w:after="0" w:line="21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Although the Board believes that the combination of the Chairman of the Board and Chief Executive Officer roles is appropriate for us in the current circumstances, our Board does not have a specific policy as to whether or not these roles should be combined or separated.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4A7EBB"/>
        </w:rPr>
        <w:t>LEAD INDEPENDENT DIRECTOR</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order to promote independent leadership on our Board and help ensure that the Board operates in a cohesive manner, the Board established the position of Lead Independent Director and elected Richard White as the Lead Independent Director. The responsibilities of the Lead Independent Director include:</w:t>
      </w:r>
    </w:p>
    <w:p>
      <w:pPr>
        <w:spacing w:after="0" w:line="169" w:lineRule="exact"/>
        <w:rPr>
          <w:sz w:val="20"/>
          <w:szCs w:val="20"/>
          <w:color w:val="auto"/>
        </w:rPr>
      </w:pPr>
    </w:p>
    <w:p>
      <w:pPr>
        <w:ind w:left="800" w:hanging="441"/>
        <w:spacing w:after="0"/>
        <w:tabs>
          <w:tab w:leader="none" w:pos="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advising the Chairman of the Board on Board meeting agendas and materials sent to the Board;</w:t>
      </w:r>
    </w:p>
    <w:p>
      <w:pPr>
        <w:spacing w:after="0" w:line="49" w:lineRule="exact"/>
        <w:rPr>
          <w:rFonts w:ascii="Arial" w:cs="Arial" w:eastAsia="Arial" w:hAnsi="Arial"/>
          <w:sz w:val="18"/>
          <w:szCs w:val="18"/>
          <w:color w:val="auto"/>
        </w:rPr>
      </w:pPr>
    </w:p>
    <w:p>
      <w:pPr>
        <w:ind w:left="800" w:hanging="441"/>
        <w:spacing w:after="0"/>
        <w:tabs>
          <w:tab w:leader="none" w:pos="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serving as a liaison between non-management directors and the Chairman of the Board;</w:t>
      </w:r>
    </w:p>
    <w:p>
      <w:pPr>
        <w:spacing w:after="0" w:line="49" w:lineRule="exact"/>
        <w:rPr>
          <w:rFonts w:ascii="Arial" w:cs="Arial" w:eastAsia="Arial" w:hAnsi="Arial"/>
          <w:sz w:val="18"/>
          <w:szCs w:val="18"/>
          <w:color w:val="auto"/>
        </w:rPr>
      </w:pPr>
    </w:p>
    <w:p>
      <w:pPr>
        <w:ind w:left="800" w:hanging="441"/>
        <w:spacing w:after="0"/>
        <w:tabs>
          <w:tab w:leader="none" w:pos="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calling and presiding over executive sessions of the non-management directors;</w:t>
      </w:r>
    </w:p>
    <w:p>
      <w:pPr>
        <w:spacing w:after="0" w:line="49" w:lineRule="exact"/>
        <w:rPr>
          <w:rFonts w:ascii="Arial" w:cs="Arial" w:eastAsia="Arial" w:hAnsi="Arial"/>
          <w:sz w:val="18"/>
          <w:szCs w:val="18"/>
          <w:color w:val="auto"/>
        </w:rPr>
      </w:pPr>
    </w:p>
    <w:p>
      <w:pPr>
        <w:ind w:left="800" w:hanging="441"/>
        <w:spacing w:after="0"/>
        <w:tabs>
          <w:tab w:leader="none" w:pos="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presiding over Board meetings in the absence of the Chairman of the Board;</w:t>
      </w:r>
    </w:p>
    <w:p>
      <w:pPr>
        <w:spacing w:after="0" w:line="49" w:lineRule="exact"/>
        <w:rPr>
          <w:rFonts w:ascii="Arial" w:cs="Arial" w:eastAsia="Arial" w:hAnsi="Arial"/>
          <w:sz w:val="18"/>
          <w:szCs w:val="18"/>
          <w:color w:val="auto"/>
        </w:rPr>
      </w:pPr>
    </w:p>
    <w:p>
      <w:pPr>
        <w:ind w:left="800" w:right="20" w:hanging="441"/>
        <w:spacing w:after="0" w:line="266" w:lineRule="auto"/>
        <w:tabs>
          <w:tab w:leader="none" w:pos="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serving as a non-management resource for stockholders and other external constituencies seeking to communicate with our Board;</w:t>
      </w:r>
    </w:p>
    <w:p>
      <w:pPr>
        <w:ind w:left="800" w:hanging="441"/>
        <w:spacing w:after="0"/>
        <w:tabs>
          <w:tab w:leader="none" w:pos="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oversight of the Board’s annual assessment of the performance of our Chairman and Chief Executive Officer; and</w:t>
      </w:r>
    </w:p>
    <w:p>
      <w:pPr>
        <w:spacing w:after="0" w:line="49" w:lineRule="exact"/>
        <w:rPr>
          <w:rFonts w:ascii="Arial" w:cs="Arial" w:eastAsia="Arial" w:hAnsi="Arial"/>
          <w:sz w:val="18"/>
          <w:szCs w:val="18"/>
          <w:color w:val="auto"/>
        </w:rPr>
      </w:pPr>
    </w:p>
    <w:p>
      <w:pPr>
        <w:ind w:left="800" w:right="20" w:hanging="441"/>
        <w:spacing w:after="0" w:line="271" w:lineRule="auto"/>
        <w:tabs>
          <w:tab w:leader="none" w:pos="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oversight of the Board’s annual self-assessment of its own performance, along with the Chairman of the Nominating and Corporate Governance Committee.</w:t>
      </w:r>
    </w:p>
    <w:p>
      <w:pPr>
        <w:spacing w:after="0" w:line="15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recent years, our stockholder outreach program has been led by our Lead Independent Director. Along with certain members of management, Richard White has been at the forefront of communicating to our significant stockholders updates on corporate strategy, governance matters, including diversity and Board composition, and compensation programs as well as responding to their questions and concerns.</w:t>
      </w:r>
    </w:p>
    <w:p>
      <w:pPr>
        <w:spacing w:after="0" w:line="159" w:lineRule="exact"/>
        <w:rPr>
          <w:sz w:val="20"/>
          <w:szCs w:val="20"/>
          <w:color w:val="auto"/>
        </w:rPr>
      </w:pPr>
    </w:p>
    <w:p>
      <w:pPr>
        <w:spacing w:after="0"/>
        <w:rPr>
          <w:sz w:val="20"/>
          <w:szCs w:val="20"/>
          <w:color w:val="auto"/>
        </w:rPr>
      </w:pPr>
      <w:r>
        <w:rPr>
          <w:rFonts w:ascii="Arial" w:cs="Arial" w:eastAsia="Arial" w:hAnsi="Arial"/>
          <w:sz w:val="29"/>
          <w:szCs w:val="29"/>
          <w:b w:val="1"/>
          <w:bCs w:val="1"/>
          <w:color w:val="4A7EBB"/>
        </w:rPr>
        <w:t>Additional Corporate Governance Policies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We also maintain the following corporate governance policies: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CODE OF ETHICS AND CONDUCT</w:t>
      </w:r>
    </w:p>
    <w:p>
      <w:pPr>
        <w:spacing w:after="0" w:line="175"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All of our employees and employees of our subsidiaries (“Company Personnel”), officers and directors must adhere to our Code of Ethics and Conduct. It codifies those standards that we believe are reasonably designed to deter wrong-doing and to promote, among other things, adherence to the following principles:</w:t>
      </w:r>
    </w:p>
    <w:p>
      <w:pPr>
        <w:spacing w:after="0" w:line="169" w:lineRule="exact"/>
        <w:rPr>
          <w:sz w:val="20"/>
          <w:szCs w:val="20"/>
          <w:color w:val="auto"/>
        </w:rPr>
      </w:pPr>
    </w:p>
    <w:p>
      <w:pPr>
        <w:ind w:left="800" w:right="20" w:hanging="441"/>
        <w:spacing w:after="0" w:line="266" w:lineRule="auto"/>
        <w:tabs>
          <w:tab w:leader="none" w:pos="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honest and ethical conduct, including the ethical handling of actual or apparent conflicts of interest between personal and professional relationships;</w:t>
      </w:r>
    </w:p>
    <w:p>
      <w:pPr>
        <w:ind w:left="800" w:hanging="441"/>
        <w:spacing w:after="0" w:line="266" w:lineRule="auto"/>
        <w:tabs>
          <w:tab w:leader="none" w:pos="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full, fair, accurate, timely and understandable disclosure in reports and documents that we file with, or submit to, the SEC and in other public communications made by G-III;</w:t>
      </w:r>
    </w:p>
    <w:p>
      <w:pPr>
        <w:ind w:left="800" w:hanging="441"/>
        <w:spacing w:after="0"/>
        <w:tabs>
          <w:tab w:leader="none" w:pos="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compliance with applicable governmental laws, rules and regulations;</w:t>
      </w:r>
    </w:p>
    <w:p>
      <w:pPr>
        <w:spacing w:after="0" w:line="49" w:lineRule="exact"/>
        <w:rPr>
          <w:rFonts w:ascii="Arial" w:cs="Arial" w:eastAsia="Arial" w:hAnsi="Arial"/>
          <w:sz w:val="18"/>
          <w:szCs w:val="18"/>
          <w:color w:val="auto"/>
        </w:rPr>
      </w:pPr>
    </w:p>
    <w:p>
      <w:pPr>
        <w:ind w:left="800" w:hanging="441"/>
        <w:spacing w:after="0"/>
        <w:tabs>
          <w:tab w:leader="none" w:pos="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prompt internal reporting of violations of the Code of Ethics and Conduct; and</w:t>
      </w:r>
    </w:p>
    <w:p>
      <w:pPr>
        <w:spacing w:after="0" w:line="49" w:lineRule="exact"/>
        <w:rPr>
          <w:rFonts w:ascii="Arial" w:cs="Arial" w:eastAsia="Arial" w:hAnsi="Arial"/>
          <w:sz w:val="18"/>
          <w:szCs w:val="18"/>
          <w:color w:val="auto"/>
        </w:rPr>
      </w:pPr>
    </w:p>
    <w:p>
      <w:pPr>
        <w:ind w:left="800" w:hanging="441"/>
        <w:spacing w:after="0"/>
        <w:tabs>
          <w:tab w:leader="none" w:pos="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accountability for adherence to the Code of Ethics and Conduct.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 copy of the Code of Ethics and Conduct is available in the “Investors” section of our website at http://www.giii.com.</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WHISTLEBLOWER POLICY</w:t>
      </w:r>
    </w:p>
    <w:p>
      <w:pPr>
        <w:spacing w:after="0" w:line="17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Whistleblower Policy protects all of our Company Personnel, officers and directors if they raise concerns regarding G-III, such as concerns regarding incorrect financial reporting including questionable accounting, internal controls or auditing matters; unlawful activities; activities that are not in line with G-III policies, including the Code of Ethics and Conduct; or activities which otherwise amount to serious improper conduct. A copy of the Whistleblower Policy is available in the “Investors” section of our website at http://www.giii.com.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278130</wp:posOffset>
            </wp:positionV>
            <wp:extent cx="629221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288925</wp:posOffset>
            </wp:positionH>
            <wp:positionV relativeFrom="paragraph">
              <wp:posOffset>338455</wp:posOffset>
            </wp:positionV>
            <wp:extent cx="265430" cy="1454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65430" cy="14541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280" w:hanging="271"/>
        <w:spacing w:after="0"/>
        <w:tabs>
          <w:tab w:leader="none" w:pos="280" w:val="left"/>
        </w:tabs>
        <w:numPr>
          <w:ilvl w:val="0"/>
          <w:numId w:val="57"/>
        </w:numPr>
        <w:rPr>
          <w:rFonts w:ascii="Arial" w:cs="Arial" w:eastAsia="Arial" w:hAnsi="Arial"/>
          <w:sz w:val="20"/>
          <w:szCs w:val="20"/>
          <w:b w:val="1"/>
          <w:bCs w:val="1"/>
          <w:color w:val="4A7EBB"/>
        </w:rPr>
      </w:pPr>
      <w:r>
        <w:rPr>
          <w:rFonts w:ascii="Arial" w:cs="Arial" w:eastAsia="Arial" w:hAnsi="Arial"/>
          <w:sz w:val="20"/>
          <w:szCs w:val="20"/>
          <w:color w:val="80808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347980</wp:posOffset>
            </wp:positionV>
            <wp:extent cx="629221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17780</wp:posOffset>
            </wp:positionV>
            <wp:extent cx="629221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INSIDER TRADING, HEDGING AND PLEDGING POLICY</w:t>
      </w:r>
    </w:p>
    <w:p>
      <w:pPr>
        <w:spacing w:after="0" w:line="20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Insider Trading, Hedging and Pledging Policy (the “Trading Policy”) applies to all of our Company Personnel, directors and officers, and prohibits trading or causing trading of our securities while the applicable person is in possession of material non-public information. The Trading Policy, as well as recent amendments to SEC rules, prohibits directors, executive officers and other Company Personnel specified by us, from time to time, from trading in G-III securities during our established blackout periods, except (i) pursuant to a written trading plan approved by our designated compliance officer that are adopted in accordance with Rule 10b5-1 under the Exchange Act, (ii) stock option exercises for cash with no associated open market transaction and (iii) the surrender of shares to us or the retention and withholding of shares by us in satisfaction of tax withholding obligations with respect to stock-settled incentive compensation awards with no associated open market transaction. The Trading Policy provides that no approved plan may be adopted during a blackout period and no trades may occur after adoption until expiration of the applicable cooling-off period specified in Rule 10b5-1. The appropriate cooling-off period will vary based on the status of the person covered by the Trading Policy. For directors and Section 16 officers, the cooling-off period ends on the later of (x) ninety days after adoption or certain modifications of an approved d plan; or (y) two business days following disclosure of the Company's financial results in a Form 10-Q or Form 10-K for the quarter in which the approved plan was adopted, up to a maximum of 120 days. For all other covered persons, the cooling-off period ends 30 days after adoption or modification of the approved plan. This required cooling-off period will apply to the entry into a new approved plan and any revision or modification of any trading plan under Rule 10b5-1, The Trading Policy also prohibits company personnel from entering into hedging transactions with respect to our securities, pledging our securities as collateral for a loan or holding our securities in a margin account. The Board may, in limited circumstances, permit a share pledge by a director or executive officer after giving consideration to the number of shares to be pledged as a percentage of his or her total shares held and G-III’s total shares outstanding. A copy of the Insider Trading, Hedging and Pledging Policy is available in the “Investors” section of our website at http://www.giii.com and is included as Exhibit 19.1 to our Annual Report on Form 10-K for the fiscal year ended January 31, 2026.</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STOCK OWNERSHIP GUIDELINES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Stock Ownership Guidelines require:</w:t>
      </w:r>
    </w:p>
    <w:p>
      <w:pPr>
        <w:spacing w:after="0" w:line="210" w:lineRule="exact"/>
        <w:rPr>
          <w:sz w:val="20"/>
          <w:szCs w:val="20"/>
          <w:color w:val="auto"/>
        </w:rPr>
      </w:pPr>
    </w:p>
    <w:tbl>
      <w:tblPr>
        <w:tblLayout w:type="fixed"/>
        <w:tblInd w:w="980" w:type="dxa"/>
        <w:tblCellMar>
          <w:top w:w="0" w:type="dxa"/>
          <w:left w:w="0" w:type="dxa"/>
          <w:bottom w:w="0" w:type="dxa"/>
          <w:right w:w="0" w:type="dxa"/>
        </w:tblCellMar>
      </w:tblPr>
      <w:tr>
        <w:trPr>
          <w:trHeight w:val="203"/>
        </w:trPr>
        <w:tc>
          <w:tcPr>
            <w:tcW w:w="4140" w:type="dxa"/>
            <w:vAlign w:val="bottom"/>
            <w:tcBorders>
              <w:top w:val="single" w:sz="8" w:color="4A7EBB"/>
              <w:bottom w:val="single" w:sz="8" w:color="4A7EBB"/>
            </w:tcBorders>
            <w:shd w:val="clear" w:color="auto" w:fill="DBE5F1"/>
          </w:tcPr>
          <w:p>
            <w:pPr>
              <w:spacing w:after="0"/>
              <w:rPr>
                <w:sz w:val="20"/>
                <w:szCs w:val="20"/>
                <w:color w:val="auto"/>
              </w:rPr>
            </w:pPr>
            <w:r>
              <w:rPr>
                <w:rFonts w:ascii="Arial" w:cs="Arial" w:eastAsia="Arial" w:hAnsi="Arial"/>
                <w:sz w:val="16"/>
                <w:szCs w:val="16"/>
                <w:b w:val="1"/>
                <w:bCs w:val="1"/>
                <w:color w:val="auto"/>
              </w:rPr>
              <w:t>Position</w:t>
            </w:r>
          </w:p>
        </w:tc>
        <w:tc>
          <w:tcPr>
            <w:tcW w:w="3040" w:type="dxa"/>
            <w:vAlign w:val="bottom"/>
            <w:tcBorders>
              <w:top w:val="single" w:sz="8" w:color="4A7EBB"/>
              <w:bottom w:val="single" w:sz="8" w:color="4A7EBB"/>
            </w:tcBorders>
            <w:shd w:val="clear" w:color="auto" w:fill="DBE5F1"/>
          </w:tcPr>
          <w:p>
            <w:pPr>
              <w:ind w:left="940"/>
              <w:spacing w:after="0"/>
              <w:rPr>
                <w:sz w:val="20"/>
                <w:szCs w:val="20"/>
                <w:color w:val="auto"/>
              </w:rPr>
            </w:pPr>
            <w:r>
              <w:rPr>
                <w:rFonts w:ascii="Arial" w:cs="Arial" w:eastAsia="Arial" w:hAnsi="Arial"/>
                <w:sz w:val="16"/>
                <w:szCs w:val="16"/>
                <w:b w:val="1"/>
                <w:bCs w:val="1"/>
                <w:color w:val="auto"/>
              </w:rPr>
              <w:t>​​​Value of Stock Ownership</w:t>
            </w:r>
          </w:p>
        </w:tc>
      </w:tr>
      <w:tr>
        <w:trPr>
          <w:trHeight w:val="183"/>
        </w:trPr>
        <w:tc>
          <w:tcPr>
            <w:tcW w:w="4140" w:type="dxa"/>
            <w:vAlign w:val="bottom"/>
            <w:tcBorders>
              <w:bottom w:val="single" w:sz="8" w:color="4A7EBB"/>
            </w:tcBorders>
          </w:tcPr>
          <w:p>
            <w:pPr>
              <w:spacing w:after="0" w:line="183" w:lineRule="exact"/>
              <w:rPr>
                <w:sz w:val="20"/>
                <w:szCs w:val="20"/>
                <w:color w:val="auto"/>
              </w:rPr>
            </w:pPr>
            <w:r>
              <w:rPr>
                <w:rFonts w:ascii="Arial" w:cs="Arial" w:eastAsia="Arial" w:hAnsi="Arial"/>
                <w:sz w:val="16"/>
                <w:szCs w:val="16"/>
                <w:color w:val="auto"/>
              </w:rPr>
              <w:t>Chief Executive Officer</w:t>
            </w:r>
          </w:p>
        </w:tc>
        <w:tc>
          <w:tcPr>
            <w:tcW w:w="3040" w:type="dxa"/>
            <w:vAlign w:val="bottom"/>
            <w:tcBorders>
              <w:bottom w:val="single" w:sz="8" w:color="4A7EBB"/>
            </w:tcBorders>
          </w:tcPr>
          <w:p>
            <w:pPr>
              <w:jc w:val="center"/>
              <w:ind w:left="979"/>
              <w:spacing w:after="0" w:line="183" w:lineRule="exact"/>
              <w:rPr>
                <w:sz w:val="20"/>
                <w:szCs w:val="20"/>
                <w:color w:val="auto"/>
              </w:rPr>
            </w:pPr>
            <w:r>
              <w:rPr>
                <w:rFonts w:ascii="Arial" w:cs="Arial" w:eastAsia="Arial" w:hAnsi="Arial"/>
                <w:sz w:val="16"/>
                <w:szCs w:val="16"/>
                <w:color w:val="auto"/>
              </w:rPr>
              <w:t>6x annual base salary</w:t>
            </w:r>
          </w:p>
        </w:tc>
      </w:tr>
      <w:tr>
        <w:trPr>
          <w:trHeight w:val="183"/>
        </w:trPr>
        <w:tc>
          <w:tcPr>
            <w:tcW w:w="4140" w:type="dxa"/>
            <w:vAlign w:val="bottom"/>
            <w:tcBorders>
              <w:bottom w:val="single" w:sz="8" w:color="4A7EBB"/>
            </w:tcBorders>
            <w:shd w:val="clear" w:color="auto" w:fill="F2F2F2"/>
          </w:tcPr>
          <w:p>
            <w:pPr>
              <w:spacing w:after="0" w:line="183" w:lineRule="exact"/>
              <w:rPr>
                <w:sz w:val="20"/>
                <w:szCs w:val="20"/>
                <w:color w:val="auto"/>
              </w:rPr>
            </w:pPr>
            <w:r>
              <w:rPr>
                <w:rFonts w:ascii="Arial" w:cs="Arial" w:eastAsia="Arial" w:hAnsi="Arial"/>
                <w:sz w:val="16"/>
                <w:szCs w:val="16"/>
                <w:color w:val="auto"/>
              </w:rPr>
              <w:t>Vice Chairman and President</w:t>
            </w:r>
          </w:p>
        </w:tc>
        <w:tc>
          <w:tcPr>
            <w:tcW w:w="3040" w:type="dxa"/>
            <w:vAlign w:val="bottom"/>
            <w:tcBorders>
              <w:bottom w:val="single" w:sz="8" w:color="4A7EBB"/>
            </w:tcBorders>
            <w:shd w:val="clear" w:color="auto" w:fill="F2F2F2"/>
          </w:tcPr>
          <w:p>
            <w:pPr>
              <w:jc w:val="center"/>
              <w:ind w:left="979"/>
              <w:spacing w:after="0" w:line="183" w:lineRule="exact"/>
              <w:rPr>
                <w:sz w:val="20"/>
                <w:szCs w:val="20"/>
                <w:color w:val="auto"/>
              </w:rPr>
            </w:pPr>
            <w:r>
              <w:rPr>
                <w:rFonts w:ascii="Arial" w:cs="Arial" w:eastAsia="Arial" w:hAnsi="Arial"/>
                <w:sz w:val="16"/>
                <w:szCs w:val="16"/>
                <w:color w:val="auto"/>
              </w:rPr>
              <w:t>2x annual base salary</w:t>
            </w:r>
          </w:p>
        </w:tc>
      </w:tr>
      <w:tr>
        <w:trPr>
          <w:trHeight w:val="183"/>
        </w:trPr>
        <w:tc>
          <w:tcPr>
            <w:tcW w:w="4140" w:type="dxa"/>
            <w:vAlign w:val="bottom"/>
            <w:tcBorders>
              <w:bottom w:val="single" w:sz="8" w:color="4A7EBB"/>
            </w:tcBorders>
          </w:tcPr>
          <w:p>
            <w:pPr>
              <w:spacing w:after="0" w:line="183" w:lineRule="exact"/>
              <w:rPr>
                <w:sz w:val="20"/>
                <w:szCs w:val="20"/>
                <w:color w:val="auto"/>
              </w:rPr>
            </w:pPr>
            <w:r>
              <w:rPr>
                <w:rFonts w:ascii="Arial" w:cs="Arial" w:eastAsia="Arial" w:hAnsi="Arial"/>
                <w:sz w:val="16"/>
                <w:szCs w:val="16"/>
                <w:color w:val="auto"/>
              </w:rPr>
              <w:t>Named Executive Officers who are Directors</w:t>
            </w:r>
          </w:p>
        </w:tc>
        <w:tc>
          <w:tcPr>
            <w:tcW w:w="3040" w:type="dxa"/>
            <w:vAlign w:val="bottom"/>
            <w:tcBorders>
              <w:bottom w:val="single" w:sz="8" w:color="4A7EBB"/>
            </w:tcBorders>
          </w:tcPr>
          <w:p>
            <w:pPr>
              <w:jc w:val="center"/>
              <w:ind w:left="979"/>
              <w:spacing w:after="0" w:line="183" w:lineRule="exact"/>
              <w:rPr>
                <w:sz w:val="20"/>
                <w:szCs w:val="20"/>
                <w:color w:val="auto"/>
              </w:rPr>
            </w:pPr>
            <w:r>
              <w:rPr>
                <w:rFonts w:ascii="Arial" w:cs="Arial" w:eastAsia="Arial" w:hAnsi="Arial"/>
                <w:sz w:val="16"/>
                <w:szCs w:val="16"/>
                <w:color w:val="auto"/>
              </w:rPr>
              <w:t>2x annual base salary</w:t>
            </w:r>
          </w:p>
        </w:tc>
      </w:tr>
      <w:tr>
        <w:trPr>
          <w:trHeight w:val="183"/>
        </w:trPr>
        <w:tc>
          <w:tcPr>
            <w:tcW w:w="4140" w:type="dxa"/>
            <w:vAlign w:val="bottom"/>
            <w:tcBorders>
              <w:bottom w:val="single" w:sz="8" w:color="4A7EBB"/>
            </w:tcBorders>
            <w:shd w:val="clear" w:color="auto" w:fill="F2F2F2"/>
          </w:tcPr>
          <w:p>
            <w:pPr>
              <w:spacing w:after="0" w:line="183" w:lineRule="exact"/>
              <w:rPr>
                <w:sz w:val="20"/>
                <w:szCs w:val="20"/>
                <w:color w:val="auto"/>
              </w:rPr>
            </w:pPr>
            <w:r>
              <w:rPr>
                <w:rFonts w:ascii="Arial" w:cs="Arial" w:eastAsia="Arial" w:hAnsi="Arial"/>
                <w:sz w:val="16"/>
                <w:szCs w:val="16"/>
                <w:color w:val="auto"/>
              </w:rPr>
              <w:t>All Other Named Executive Officers</w:t>
            </w:r>
          </w:p>
        </w:tc>
        <w:tc>
          <w:tcPr>
            <w:tcW w:w="3040" w:type="dxa"/>
            <w:vAlign w:val="bottom"/>
            <w:tcBorders>
              <w:bottom w:val="single" w:sz="8" w:color="4A7EBB"/>
            </w:tcBorders>
            <w:shd w:val="clear" w:color="auto" w:fill="F2F2F2"/>
          </w:tcPr>
          <w:p>
            <w:pPr>
              <w:jc w:val="center"/>
              <w:ind w:left="979"/>
              <w:spacing w:after="0" w:line="183" w:lineRule="exact"/>
              <w:rPr>
                <w:sz w:val="20"/>
                <w:szCs w:val="20"/>
                <w:color w:val="auto"/>
              </w:rPr>
            </w:pPr>
            <w:r>
              <w:rPr>
                <w:rFonts w:ascii="Arial" w:cs="Arial" w:eastAsia="Arial" w:hAnsi="Arial"/>
                <w:sz w:val="16"/>
                <w:szCs w:val="16"/>
                <w:color w:val="auto"/>
              </w:rPr>
              <w:t>1x annual base salary</w:t>
            </w:r>
          </w:p>
        </w:tc>
      </w:tr>
      <w:tr>
        <w:trPr>
          <w:trHeight w:val="183"/>
        </w:trPr>
        <w:tc>
          <w:tcPr>
            <w:tcW w:w="4140" w:type="dxa"/>
            <w:vAlign w:val="bottom"/>
            <w:tcBorders>
              <w:bottom w:val="single" w:sz="8" w:color="4A7EBB"/>
            </w:tcBorders>
          </w:tcPr>
          <w:p>
            <w:pPr>
              <w:spacing w:after="0" w:line="183" w:lineRule="exact"/>
              <w:rPr>
                <w:sz w:val="20"/>
                <w:szCs w:val="20"/>
                <w:color w:val="auto"/>
              </w:rPr>
            </w:pPr>
            <w:r>
              <w:rPr>
                <w:rFonts w:ascii="Arial" w:cs="Arial" w:eastAsia="Arial" w:hAnsi="Arial"/>
                <w:sz w:val="16"/>
                <w:szCs w:val="16"/>
                <w:color w:val="auto"/>
              </w:rPr>
              <w:t>Non-Employee Directors</w:t>
            </w:r>
          </w:p>
        </w:tc>
        <w:tc>
          <w:tcPr>
            <w:tcW w:w="3040" w:type="dxa"/>
            <w:vAlign w:val="bottom"/>
            <w:tcBorders>
              <w:bottom w:val="single" w:sz="8" w:color="4A7EBB"/>
            </w:tcBorders>
          </w:tcPr>
          <w:p>
            <w:pPr>
              <w:jc w:val="center"/>
              <w:ind w:left="959"/>
              <w:spacing w:after="0" w:line="183" w:lineRule="exact"/>
              <w:rPr>
                <w:sz w:val="20"/>
                <w:szCs w:val="20"/>
                <w:color w:val="auto"/>
              </w:rPr>
            </w:pPr>
            <w:r>
              <w:rPr>
                <w:rFonts w:ascii="Arial" w:cs="Arial" w:eastAsia="Arial" w:hAnsi="Arial"/>
                <w:sz w:val="16"/>
                <w:szCs w:val="16"/>
                <w:color w:val="auto"/>
              </w:rPr>
              <w:t>5x annual cash retainer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3794760</wp:posOffset>
            </wp:positionH>
            <wp:positionV relativeFrom="paragraph">
              <wp:posOffset>-136525</wp:posOffset>
            </wp:positionV>
            <wp:extent cx="8890" cy="1371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890" cy="137160"/>
                    </a:xfrm>
                    <a:prstGeom prst="rect">
                      <a:avLst/>
                    </a:prstGeom>
                    <a:noFill/>
                  </pic:spPr>
                </pic:pic>
              </a:graphicData>
            </a:graphic>
          </wp:anchor>
        </w:drawing>
        <w:drawing>
          <wp:anchor simplePos="0" relativeHeight="251657728" behindDoc="1" locked="0" layoutInCell="0" allowOverlap="1">
            <wp:simplePos x="0" y="0"/>
            <wp:positionH relativeFrom="column">
              <wp:posOffset>3794760</wp:posOffset>
            </wp:positionH>
            <wp:positionV relativeFrom="paragraph">
              <wp:posOffset>-393700</wp:posOffset>
            </wp:positionV>
            <wp:extent cx="8890" cy="1371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890" cy="137160"/>
                    </a:xfrm>
                    <a:prstGeom prst="rect">
                      <a:avLst/>
                    </a:prstGeom>
                    <a:noFill/>
                  </pic:spPr>
                </pic:pic>
              </a:graphicData>
            </a:graphic>
          </wp:anchor>
        </w:drawing>
        <w:drawing>
          <wp:anchor simplePos="0" relativeHeight="251657728" behindDoc="1" locked="0" layoutInCell="0" allowOverlap="1">
            <wp:simplePos x="0" y="0"/>
            <wp:positionH relativeFrom="column">
              <wp:posOffset>3794760</wp:posOffset>
            </wp:positionH>
            <wp:positionV relativeFrom="paragraph">
              <wp:posOffset>-650875</wp:posOffset>
            </wp:positionV>
            <wp:extent cx="8890" cy="1371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pacing w:after="0" w:line="15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Until these share ownership levels are achieved, our executive officers and directors are required to retain 50% of any net, after-tax, shares received upon exercise or vesting of our equity grants. All of our officers and directors are in compliance with our Stock Ownership Guidelines. A copy of the Stock Ownership Guidelines is available in the “Investors” section of our website at http://www.giii.com.</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EXECUTIVE INCENTIVE COMPENSATION RECOUPMENT POLICY</w:t>
      </w:r>
    </w:p>
    <w:p>
      <w:pPr>
        <w:spacing w:after="0" w:line="20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Pursuant to the Executive Incentive Compensation Recoupment Policy, or “Clawback Policy,” in the event that we are required to restate our financial statements for any financial year, the Compensation Committee will recoup from the affected executive officers all or part of any annual performance-based bonus or long-term incentive awards that were predicated upon the achievement of financial results that were subsequently restated, subject to a 3-year lookback period. The incentive compensation subject to recoupment will consist of performance-based bonuses (including bonuses paid pursuant to employment agreements) and long-term incentive awards or equity grants, to the extent that such bonuses, awards or grants were predicated upon achievement of financial results that are subsequently restated. A copy of the Executive Incentive Compensation Recoupment Policy is included as Exhibit 97 to our Annual Report on Form 10-K for the fiscal year ended January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617220</wp:posOffset>
            </wp:positionV>
            <wp:extent cx="629221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7560"/>
        <w:spacing w:after="0"/>
        <w:rPr>
          <w:sz w:val="20"/>
          <w:szCs w:val="20"/>
          <w:color w:val="auto"/>
        </w:rPr>
      </w:pPr>
      <w:r>
        <w:rPr>
          <w:rFonts w:ascii="Arial" w:cs="Arial" w:eastAsia="Arial" w:hAnsi="Arial"/>
          <w:sz w:val="16"/>
          <w:szCs w:val="16"/>
          <w:color w:val="auto"/>
        </w:rPr>
        <w:t xml:space="preserve">2026 PROXY STATEMENT </w:t>
      </w:r>
      <w:r>
        <w:rPr>
          <w:rFonts w:ascii="Arial" w:cs="Arial" w:eastAsia="Arial" w:hAnsi="Arial"/>
          <w:sz w:val="19"/>
          <w:szCs w:val="19"/>
          <w:color w:val="808080"/>
        </w:rPr>
        <w:t>/</w:t>
      </w:r>
      <w:r>
        <w:rPr>
          <w:rFonts w:ascii="Arial" w:cs="Arial" w:eastAsia="Arial" w:hAnsi="Arial"/>
          <w:sz w:val="16"/>
          <w:szCs w:val="16"/>
          <w:color w:val="auto"/>
        </w:rPr>
        <w:t xml:space="preserve"> </w:t>
      </w:r>
      <w:r>
        <w:rPr>
          <w:rFonts w:ascii="Arial" w:cs="Arial" w:eastAsia="Arial" w:hAnsi="Arial"/>
          <w:sz w:val="19"/>
          <w:szCs w:val="19"/>
          <w:b w:val="1"/>
          <w:bCs w:val="1"/>
          <w:color w:val="4A7EBB"/>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365125</wp:posOffset>
            </wp:positionV>
            <wp:extent cx="629221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17780</wp:posOffset>
            </wp:positionV>
            <wp:extent cx="624903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249035"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 SELECTION AND QUALIFICATION STANDARDS AND RESIGNATION POLICY</w:t>
      </w:r>
    </w:p>
    <w:p>
      <w:pPr>
        <w:spacing w:after="0" w:line="16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Director Policy describes the Board’s criteria for selecting director nominees and the roles of the Board and the Nominating and Corporate Governance Committee in evaluating director independence and qualifications and also includes an overboarding policy. The Director Policy provides that any nominee for director in an uncontested election who receives a greater number of votes “withheld” from his or her election than votes “for” his or her election must tender a written resignation to the Board. The Nominating and Corporate Governance Committee will consider the resignation and make a recommendation to the Board as to whether to accept or reject the resignation. Thereafter, the Board will deliberate and determine the action to be taken with respect to the tendered resignation. Following the Board’s determination, G-III will publicly disclose the Board’s decision and the reasons for the decision. A copy of the Director Policy is available in the “Investors” section of our website at http://www.giii.com.</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DELINQUENT SECTION 16(A) REPORTS</w:t>
      </w:r>
    </w:p>
    <w:p>
      <w:pPr>
        <w:spacing w:after="0" w:line="202"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Section 16(a) of the Exchange Act requires our directors, officers and beneficial holders of more than 10% of a registered class of our equity securities to file with the SEC initial reports of ownership and reports of changes in such ownership.</w:t>
      </w:r>
    </w:p>
    <w:p>
      <w:pPr>
        <w:spacing w:after="0" w:line="14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To our knowledge, based solely on a review of the copies of such reports furnished to us and written representations from our executive officers and directors that no other reports were required, all required reports under Section 16(a) of the Exchange Act of our directors, officers and beneficial holders of more than 10% of our Common Stock were timely filed since the beginning of fiscal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499745</wp:posOffset>
            </wp:positionV>
            <wp:extent cx="629221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288925</wp:posOffset>
            </wp:positionH>
            <wp:positionV relativeFrom="paragraph">
              <wp:posOffset>551180</wp:posOffset>
            </wp:positionV>
            <wp:extent cx="265430" cy="1543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6543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0"/>
          <w:szCs w:val="20"/>
          <w:b w:val="1"/>
          <w:bCs w:val="1"/>
          <w:color w:val="4A7EBB"/>
        </w:rPr>
        <w:t xml:space="preserve">24 </w:t>
      </w:r>
      <w:r>
        <w:rPr>
          <w:rFonts w:ascii="Arial" w:cs="Arial" w:eastAsia="Arial" w:hAnsi="Arial"/>
          <w:sz w:val="20"/>
          <w:szCs w:val="20"/>
          <w:color w:val="80808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24130</wp:posOffset>
            </wp:positionV>
            <wp:extent cx="6292215"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4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i w:val="1"/>
          <w:iCs w:val="1"/>
          <w:color w:val="auto"/>
        </w:rPr>
        <w:t>Our Compensation Discussion and Analysis (CD&amp;A) presents our executive compensation for fiscal 2026, describing how different components of compensation support our business objectives and how we determined the amounts of each component of compensation paid to our Named Executive Officers, or NEOs. In this Proxy Statement, references to a fiscal year refers to the year ended January 31 of that year.</w:t>
      </w:r>
    </w:p>
    <w:p>
      <w:pPr>
        <w:spacing w:after="0" w:line="160" w:lineRule="exact"/>
        <w:rPr>
          <w:sz w:val="20"/>
          <w:szCs w:val="20"/>
          <w:color w:val="auto"/>
        </w:rPr>
      </w:pPr>
    </w:p>
    <w:p>
      <w:pPr>
        <w:spacing w:after="0"/>
        <w:rPr>
          <w:sz w:val="20"/>
          <w:szCs w:val="20"/>
          <w:color w:val="auto"/>
        </w:rPr>
      </w:pPr>
      <w:r>
        <w:rPr>
          <w:rFonts w:ascii="Arial" w:cs="Arial" w:eastAsia="Arial" w:hAnsi="Arial"/>
          <w:sz w:val="29"/>
          <w:szCs w:val="29"/>
          <w:b w:val="1"/>
          <w:bCs w:val="1"/>
          <w:color w:val="4A7EBB"/>
        </w:rPr>
        <w:t>CD&amp;A 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161290</wp:posOffset>
            </wp:positionV>
            <wp:extent cx="3848735" cy="28200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848735" cy="2820035"/>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000" w:type="dxa"/>
            <w:vAlign w:val="bottom"/>
            <w:tcBorders>
              <w:top w:val="single" w:sz="8" w:color="4A7EBB"/>
            </w:tcBorders>
            <w:shd w:val="clear" w:color="auto" w:fill="F2F2F2"/>
          </w:tcPr>
          <w:p>
            <w:pPr>
              <w:jc w:val="right"/>
              <w:ind w:right="15"/>
              <w:spacing w:after="0" w:line="189" w:lineRule="exact"/>
              <w:rPr>
                <w:sz w:val="20"/>
                <w:szCs w:val="20"/>
                <w:color w:val="auto"/>
              </w:rPr>
            </w:pPr>
            <w:r>
              <w:rPr>
                <w:rFonts w:ascii="Arial" w:cs="Arial" w:eastAsia="Arial" w:hAnsi="Arial"/>
                <w:sz w:val="21"/>
                <w:szCs w:val="21"/>
                <w:b w:val="1"/>
                <w:bCs w:val="1"/>
                <w:color w:val="4A7EBB"/>
              </w:rPr>
              <w:t>26</w:t>
            </w:r>
          </w:p>
        </w:tc>
        <w:tc>
          <w:tcPr>
            <w:tcW w:w="3940" w:type="dxa"/>
            <w:vAlign w:val="bottom"/>
            <w:tcBorders>
              <w:top w:val="single" w:sz="8" w:color="4A7EBB"/>
              <w:left w:val="single" w:sz="8" w:color="F2F2F2"/>
            </w:tcBorders>
            <w:gridSpan w:val="13"/>
            <w:shd w:val="clear" w:color="auto" w:fill="F2F2F2"/>
          </w:tcPr>
          <w:p>
            <w:pPr>
              <w:spacing w:after="0"/>
              <w:rPr>
                <w:sz w:val="20"/>
                <w:szCs w:val="20"/>
                <w:color w:val="auto"/>
              </w:rPr>
            </w:pPr>
            <w:r>
              <w:rPr>
                <w:rFonts w:ascii="Arial" w:cs="Arial" w:eastAsia="Arial" w:hAnsi="Arial"/>
                <w:sz w:val="16"/>
                <w:szCs w:val="16"/>
                <w:b w:val="1"/>
                <w:bCs w:val="1"/>
                <w:color w:val="4A7EBB"/>
              </w:rPr>
              <w:t>EXECUTIVE SUMMARY</w:t>
            </w:r>
          </w:p>
        </w:tc>
        <w:tc>
          <w:tcPr>
            <w:tcW w:w="480" w:type="dxa"/>
            <w:vAlign w:val="bottom"/>
            <w:tcBorders>
              <w:top w:val="single" w:sz="8" w:color="4A7EBB"/>
            </w:tcBorders>
            <w:gridSpan w:val="2"/>
            <w:shd w:val="clear" w:color="auto" w:fill="F2F2F2"/>
          </w:tcPr>
          <w:p>
            <w:pPr>
              <w:ind w:left="80"/>
              <w:spacing w:after="0"/>
              <w:rPr>
                <w:sz w:val="20"/>
                <w:szCs w:val="20"/>
                <w:color w:val="auto"/>
              </w:rPr>
            </w:pPr>
            <w:r>
              <w:rPr>
                <w:rFonts w:ascii="Arial" w:cs="Arial" w:eastAsia="Arial" w:hAnsi="Arial"/>
                <w:sz w:val="16"/>
                <w:szCs w:val="16"/>
                <w:b w:val="1"/>
                <w:bCs w:val="1"/>
                <w:color w:val="auto"/>
              </w:rPr>
              <w:t>​​</w:t>
            </w:r>
          </w:p>
        </w:tc>
        <w:tc>
          <w:tcPr>
            <w:tcW w:w="640" w:type="dxa"/>
            <w:vAlign w:val="bottom"/>
            <w:tcBorders>
              <w:top w:val="single" w:sz="8" w:color="4A7EBB"/>
              <w:right w:val="single" w:sz="8" w:color="F2F2F2"/>
            </w:tcBorders>
            <w:shd w:val="clear" w:color="auto" w:fill="F2F2F2"/>
          </w:tcPr>
          <w:p>
            <w:pPr>
              <w:jc w:val="right"/>
              <w:ind w:right="16"/>
              <w:spacing w:after="0"/>
              <w:rPr>
                <w:sz w:val="20"/>
                <w:szCs w:val="20"/>
                <w:color w:val="auto"/>
              </w:rPr>
            </w:pPr>
            <w:r>
              <w:rPr>
                <w:rFonts w:ascii="Arial" w:cs="Arial" w:eastAsia="Arial" w:hAnsi="Arial"/>
                <w:sz w:val="16"/>
                <w:szCs w:val="16"/>
                <w:color w:val="auto"/>
              </w:rPr>
              <w:t>35</w:t>
            </w:r>
          </w:p>
        </w:tc>
        <w:tc>
          <w:tcPr>
            <w:tcW w:w="3860" w:type="dxa"/>
            <w:vAlign w:val="bottom"/>
            <w:tcBorders>
              <w:top w:val="single" w:sz="8" w:color="4A7EBB"/>
            </w:tcBorders>
            <w:gridSpan w:val="14"/>
            <w:shd w:val="clear" w:color="auto" w:fill="F2F2F2"/>
          </w:tcPr>
          <w:p>
            <w:pPr>
              <w:spacing w:after="0"/>
              <w:rPr>
                <w:sz w:val="20"/>
                <w:szCs w:val="20"/>
                <w:color w:val="auto"/>
              </w:rPr>
            </w:pPr>
            <w:r>
              <w:rPr>
                <w:rFonts w:ascii="Arial" w:cs="Arial" w:eastAsia="Arial" w:hAnsi="Arial"/>
                <w:sz w:val="16"/>
                <w:szCs w:val="16"/>
                <w:color w:val="0000EE"/>
              </w:rPr>
              <w:t>Other Compensation Elements</w:t>
            </w:r>
          </w:p>
        </w:tc>
        <w:tc>
          <w:tcPr>
            <w:tcW w:w="0" w:type="dxa"/>
            <w:vAlign w:val="bottom"/>
          </w:tcPr>
          <w:p>
            <w:pPr>
              <w:spacing w:after="0"/>
              <w:rPr>
                <w:sz w:val="1"/>
                <w:szCs w:val="1"/>
                <w:color w:val="auto"/>
              </w:rPr>
            </w:pPr>
          </w:p>
        </w:tc>
      </w:tr>
      <w:tr>
        <w:trPr>
          <w:trHeight w:val="20"/>
        </w:trPr>
        <w:tc>
          <w:tcPr>
            <w:tcW w:w="1000" w:type="dxa"/>
            <w:vAlign w:val="bottom"/>
            <w:shd w:val="clear" w:color="auto" w:fill="F2F2F2"/>
          </w:tcPr>
          <w:p>
            <w:pPr>
              <w:spacing w:after="0" w:line="20" w:lineRule="exact"/>
              <w:rPr>
                <w:sz w:val="1"/>
                <w:szCs w:val="1"/>
                <w:color w:val="auto"/>
              </w:rPr>
            </w:pPr>
          </w:p>
        </w:tc>
        <w:tc>
          <w:tcPr>
            <w:tcW w:w="740" w:type="dxa"/>
            <w:vAlign w:val="bottom"/>
            <w:tcBorders>
              <w:left w:val="single" w:sz="8" w:color="F2F2F2"/>
            </w:tcBorders>
            <w:shd w:val="clear" w:color="auto" w:fill="4A7EBB"/>
          </w:tcPr>
          <w:p>
            <w:pPr>
              <w:spacing w:after="0" w:line="20" w:lineRule="exact"/>
              <w:rPr>
                <w:sz w:val="1"/>
                <w:szCs w:val="1"/>
                <w:color w:val="auto"/>
              </w:rPr>
            </w:pPr>
          </w:p>
        </w:tc>
        <w:tc>
          <w:tcPr>
            <w:tcW w:w="140" w:type="dxa"/>
            <w:vAlign w:val="bottom"/>
            <w:shd w:val="clear" w:color="auto" w:fill="4A7EBB"/>
          </w:tcPr>
          <w:p>
            <w:pPr>
              <w:spacing w:after="0" w:line="20" w:lineRule="exact"/>
              <w:rPr>
                <w:sz w:val="1"/>
                <w:szCs w:val="1"/>
                <w:color w:val="auto"/>
              </w:rPr>
            </w:pPr>
          </w:p>
        </w:tc>
        <w:tc>
          <w:tcPr>
            <w:tcW w:w="420" w:type="dxa"/>
            <w:vAlign w:val="bottom"/>
            <w:tcBorders>
              <w:right w:val="single" w:sz="8" w:color="4A7EBB"/>
            </w:tcBorders>
            <w:shd w:val="clear" w:color="auto" w:fill="4A7EBB"/>
          </w:tcPr>
          <w:p>
            <w:pPr>
              <w:spacing w:after="0" w:line="20" w:lineRule="exact"/>
              <w:rPr>
                <w:sz w:val="1"/>
                <w:szCs w:val="1"/>
                <w:color w:val="auto"/>
              </w:rPr>
            </w:pPr>
          </w:p>
        </w:tc>
        <w:tc>
          <w:tcPr>
            <w:tcW w:w="280" w:type="dxa"/>
            <w:vAlign w:val="bottom"/>
            <w:tcBorders>
              <w:right w:val="single" w:sz="8" w:color="4A7EBB"/>
            </w:tcBorders>
            <w:shd w:val="clear" w:color="auto" w:fill="4A7EBB"/>
          </w:tcPr>
          <w:p>
            <w:pPr>
              <w:spacing w:after="0" w:line="20" w:lineRule="exact"/>
              <w:rPr>
                <w:sz w:val="1"/>
                <w:szCs w:val="1"/>
                <w:color w:val="auto"/>
              </w:rPr>
            </w:pPr>
          </w:p>
        </w:tc>
        <w:tc>
          <w:tcPr>
            <w:tcW w:w="220" w:type="dxa"/>
            <w:vAlign w:val="bottom"/>
            <w:tcBorders>
              <w:right w:val="single" w:sz="8" w:color="4A7EBB"/>
            </w:tcBorders>
            <w:shd w:val="clear" w:color="auto" w:fill="4A7EBB"/>
          </w:tcPr>
          <w:p>
            <w:pPr>
              <w:spacing w:after="0" w:line="20" w:lineRule="exact"/>
              <w:rPr>
                <w:sz w:val="1"/>
                <w:szCs w:val="1"/>
                <w:color w:val="auto"/>
              </w:rPr>
            </w:pPr>
          </w:p>
        </w:tc>
        <w:tc>
          <w:tcPr>
            <w:tcW w:w="400" w:type="dxa"/>
            <w:vAlign w:val="bottom"/>
            <w:shd w:val="clear" w:color="auto" w:fill="F2F2F2"/>
          </w:tcPr>
          <w:p>
            <w:pPr>
              <w:spacing w:after="0" w:line="20" w:lineRule="exact"/>
              <w:rPr>
                <w:sz w:val="1"/>
                <w:szCs w:val="1"/>
                <w:color w:val="auto"/>
              </w:rPr>
            </w:pPr>
          </w:p>
        </w:tc>
        <w:tc>
          <w:tcPr>
            <w:tcW w:w="320" w:type="dxa"/>
            <w:vAlign w:val="bottom"/>
            <w:shd w:val="clear" w:color="auto" w:fill="F2F2F2"/>
          </w:tcPr>
          <w:p>
            <w:pPr>
              <w:spacing w:after="0" w:line="20" w:lineRule="exact"/>
              <w:rPr>
                <w:sz w:val="1"/>
                <w:szCs w:val="1"/>
                <w:color w:val="auto"/>
              </w:rPr>
            </w:pPr>
          </w:p>
        </w:tc>
        <w:tc>
          <w:tcPr>
            <w:tcW w:w="480" w:type="dxa"/>
            <w:vAlign w:val="bottom"/>
            <w:tcBorders>
              <w:right w:val="single" w:sz="8" w:color="F2F2F2"/>
            </w:tcBorders>
            <w:shd w:val="clear" w:color="auto" w:fill="F2F2F2"/>
          </w:tcPr>
          <w:p>
            <w:pPr>
              <w:spacing w:after="0" w:line="20" w:lineRule="exact"/>
              <w:rPr>
                <w:sz w:val="1"/>
                <w:szCs w:val="1"/>
                <w:color w:val="auto"/>
              </w:rPr>
            </w:pPr>
          </w:p>
        </w:tc>
        <w:tc>
          <w:tcPr>
            <w:tcW w:w="200" w:type="dxa"/>
            <w:vAlign w:val="bottom"/>
            <w:shd w:val="clear" w:color="auto" w:fill="F2F2F2"/>
          </w:tcPr>
          <w:p>
            <w:pPr>
              <w:spacing w:after="0" w:line="20" w:lineRule="exact"/>
              <w:rPr>
                <w:sz w:val="1"/>
                <w:szCs w:val="1"/>
                <w:color w:val="auto"/>
              </w:rPr>
            </w:pPr>
          </w:p>
        </w:tc>
        <w:tc>
          <w:tcPr>
            <w:tcW w:w="80" w:type="dxa"/>
            <w:vAlign w:val="bottom"/>
            <w:shd w:val="clear" w:color="auto" w:fill="F2F2F2"/>
          </w:tcPr>
          <w:p>
            <w:pPr>
              <w:spacing w:after="0" w:line="20" w:lineRule="exact"/>
              <w:rPr>
                <w:sz w:val="1"/>
                <w:szCs w:val="1"/>
                <w:color w:val="auto"/>
              </w:rPr>
            </w:pPr>
          </w:p>
        </w:tc>
        <w:tc>
          <w:tcPr>
            <w:tcW w:w="460" w:type="dxa"/>
            <w:vAlign w:val="bottom"/>
            <w:shd w:val="clear" w:color="auto" w:fill="F2F2F2"/>
          </w:tcPr>
          <w:p>
            <w:pPr>
              <w:spacing w:after="0" w:line="20" w:lineRule="exact"/>
              <w:rPr>
                <w:sz w:val="1"/>
                <w:szCs w:val="1"/>
                <w:color w:val="auto"/>
              </w:rPr>
            </w:pPr>
          </w:p>
        </w:tc>
        <w:tc>
          <w:tcPr>
            <w:tcW w:w="20" w:type="dxa"/>
            <w:vAlign w:val="bottom"/>
            <w:shd w:val="clear" w:color="auto" w:fill="F2F2F2"/>
          </w:tcPr>
          <w:p>
            <w:pPr>
              <w:spacing w:after="0" w:line="20" w:lineRule="exact"/>
              <w:rPr>
                <w:sz w:val="1"/>
                <w:szCs w:val="1"/>
                <w:color w:val="auto"/>
              </w:rPr>
            </w:pPr>
          </w:p>
        </w:tc>
        <w:tc>
          <w:tcPr>
            <w:tcW w:w="180" w:type="dxa"/>
            <w:vAlign w:val="bottom"/>
            <w:shd w:val="clear" w:color="auto" w:fill="F2F2F2"/>
          </w:tcPr>
          <w:p>
            <w:pPr>
              <w:spacing w:after="0" w:line="20" w:lineRule="exact"/>
              <w:rPr>
                <w:sz w:val="1"/>
                <w:szCs w:val="1"/>
                <w:color w:val="auto"/>
              </w:rPr>
            </w:pPr>
          </w:p>
        </w:tc>
        <w:tc>
          <w:tcPr>
            <w:tcW w:w="140" w:type="dxa"/>
            <w:vAlign w:val="bottom"/>
            <w:shd w:val="clear" w:color="auto" w:fill="F2F2F2"/>
          </w:tcPr>
          <w:p>
            <w:pPr>
              <w:spacing w:after="0" w:line="20" w:lineRule="exact"/>
              <w:rPr>
                <w:sz w:val="1"/>
                <w:szCs w:val="1"/>
                <w:color w:val="auto"/>
              </w:rPr>
            </w:pPr>
          </w:p>
        </w:tc>
        <w:tc>
          <w:tcPr>
            <w:tcW w:w="340" w:type="dxa"/>
            <w:vAlign w:val="bottom"/>
            <w:shd w:val="clear" w:color="auto" w:fill="F2F2F2"/>
          </w:tcPr>
          <w:p>
            <w:pPr>
              <w:spacing w:after="0" w:line="20" w:lineRule="exact"/>
              <w:rPr>
                <w:sz w:val="1"/>
                <w:szCs w:val="1"/>
                <w:color w:val="auto"/>
              </w:rPr>
            </w:pPr>
          </w:p>
        </w:tc>
        <w:tc>
          <w:tcPr>
            <w:tcW w:w="640" w:type="dxa"/>
            <w:vAlign w:val="bottom"/>
            <w:tcBorders>
              <w:right w:val="single" w:sz="8" w:color="F2F2F2"/>
            </w:tcBorders>
            <w:shd w:val="clear" w:color="auto" w:fill="F2F2F2"/>
          </w:tcPr>
          <w:p>
            <w:pPr>
              <w:spacing w:after="0" w:line="20" w:lineRule="exact"/>
              <w:rPr>
                <w:sz w:val="1"/>
                <w:szCs w:val="1"/>
                <w:color w:val="auto"/>
              </w:rPr>
            </w:pPr>
          </w:p>
        </w:tc>
        <w:tc>
          <w:tcPr>
            <w:tcW w:w="146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20" w:type="dxa"/>
            <w:vAlign w:val="bottom"/>
            <w:shd w:val="clear" w:color="auto" w:fill="F2F2F2"/>
          </w:tcPr>
          <w:p>
            <w:pPr>
              <w:spacing w:after="0" w:line="20" w:lineRule="exact"/>
              <w:rPr>
                <w:sz w:val="1"/>
                <w:szCs w:val="1"/>
                <w:color w:val="auto"/>
              </w:rPr>
            </w:pPr>
          </w:p>
        </w:tc>
        <w:tc>
          <w:tcPr>
            <w:tcW w:w="200" w:type="dxa"/>
            <w:vAlign w:val="bottom"/>
            <w:shd w:val="clear" w:color="auto" w:fill="F2F2F2"/>
          </w:tcPr>
          <w:p>
            <w:pPr>
              <w:spacing w:after="0" w:line="20" w:lineRule="exact"/>
              <w:rPr>
                <w:sz w:val="1"/>
                <w:szCs w:val="1"/>
                <w:color w:val="auto"/>
              </w:rPr>
            </w:pPr>
          </w:p>
        </w:tc>
        <w:tc>
          <w:tcPr>
            <w:tcW w:w="60" w:type="dxa"/>
            <w:vAlign w:val="bottom"/>
            <w:shd w:val="clear" w:color="auto" w:fill="F2F2F2"/>
          </w:tcPr>
          <w:p>
            <w:pPr>
              <w:spacing w:after="0" w:line="20" w:lineRule="exact"/>
              <w:rPr>
                <w:sz w:val="1"/>
                <w:szCs w:val="1"/>
                <w:color w:val="auto"/>
              </w:rPr>
            </w:pPr>
          </w:p>
        </w:tc>
        <w:tc>
          <w:tcPr>
            <w:tcW w:w="220" w:type="dxa"/>
            <w:vAlign w:val="bottom"/>
            <w:shd w:val="clear" w:color="auto" w:fill="F2F2F2"/>
          </w:tcPr>
          <w:p>
            <w:pPr>
              <w:spacing w:after="0" w:line="20" w:lineRule="exact"/>
              <w:rPr>
                <w:sz w:val="1"/>
                <w:szCs w:val="1"/>
                <w:color w:val="auto"/>
              </w:rPr>
            </w:pPr>
          </w:p>
        </w:tc>
        <w:tc>
          <w:tcPr>
            <w:tcW w:w="20" w:type="dxa"/>
            <w:vAlign w:val="bottom"/>
            <w:shd w:val="clear" w:color="auto" w:fill="F2F2F2"/>
          </w:tcPr>
          <w:p>
            <w:pPr>
              <w:spacing w:after="0" w:line="20" w:lineRule="exact"/>
              <w:rPr>
                <w:sz w:val="1"/>
                <w:szCs w:val="1"/>
                <w:color w:val="auto"/>
              </w:rPr>
            </w:pPr>
          </w:p>
        </w:tc>
        <w:tc>
          <w:tcPr>
            <w:tcW w:w="160" w:type="dxa"/>
            <w:vAlign w:val="bottom"/>
            <w:shd w:val="clear" w:color="auto" w:fill="F2F2F2"/>
          </w:tcPr>
          <w:p>
            <w:pPr>
              <w:spacing w:after="0" w:line="20" w:lineRule="exact"/>
              <w:rPr>
                <w:sz w:val="1"/>
                <w:szCs w:val="1"/>
                <w:color w:val="auto"/>
              </w:rPr>
            </w:pPr>
          </w:p>
        </w:tc>
        <w:tc>
          <w:tcPr>
            <w:tcW w:w="80" w:type="dxa"/>
            <w:vAlign w:val="bottom"/>
            <w:shd w:val="clear" w:color="auto" w:fill="F2F2F2"/>
          </w:tcPr>
          <w:p>
            <w:pPr>
              <w:spacing w:after="0" w:line="20" w:lineRule="exact"/>
              <w:rPr>
                <w:sz w:val="1"/>
                <w:szCs w:val="1"/>
                <w:color w:val="auto"/>
              </w:rPr>
            </w:pPr>
          </w:p>
        </w:tc>
        <w:tc>
          <w:tcPr>
            <w:tcW w:w="80" w:type="dxa"/>
            <w:vAlign w:val="bottom"/>
            <w:shd w:val="clear" w:color="auto" w:fill="F2F2F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00" w:type="dxa"/>
            <w:vAlign w:val="bottom"/>
            <w:shd w:val="clear" w:color="auto" w:fill="F2F2F2"/>
          </w:tcPr>
          <w:p>
            <w:pPr>
              <w:jc w:val="right"/>
              <w:ind w:right="15"/>
              <w:spacing w:after="0"/>
              <w:rPr>
                <w:sz w:val="20"/>
                <w:szCs w:val="20"/>
                <w:color w:val="auto"/>
              </w:rPr>
            </w:pPr>
            <w:r>
              <w:rPr>
                <w:rFonts w:ascii="Arial" w:cs="Arial" w:eastAsia="Arial" w:hAnsi="Arial"/>
                <w:sz w:val="16"/>
                <w:szCs w:val="16"/>
                <w:color w:val="auto"/>
              </w:rPr>
              <w:t>26</w:t>
            </w:r>
          </w:p>
        </w:tc>
        <w:tc>
          <w:tcPr>
            <w:tcW w:w="3940" w:type="dxa"/>
            <w:vAlign w:val="bottom"/>
            <w:tcBorders>
              <w:left w:val="single" w:sz="8" w:color="F2F2F2"/>
            </w:tcBorders>
            <w:gridSpan w:val="13"/>
            <w:shd w:val="clear" w:color="auto" w:fill="F2F2F2"/>
          </w:tcPr>
          <w:p>
            <w:pPr>
              <w:spacing w:after="0"/>
              <w:rPr>
                <w:sz w:val="20"/>
                <w:szCs w:val="20"/>
                <w:color w:val="auto"/>
              </w:rPr>
            </w:pPr>
            <w:r>
              <w:rPr>
                <w:rFonts w:ascii="Arial" w:cs="Arial" w:eastAsia="Arial" w:hAnsi="Arial"/>
                <w:sz w:val="16"/>
                <w:szCs w:val="16"/>
                <w:color w:val="0000EE"/>
              </w:rPr>
              <w:t>Our Business Performance in Fiscal 2026</w:t>
            </w:r>
          </w:p>
        </w:tc>
        <w:tc>
          <w:tcPr>
            <w:tcW w:w="140" w:type="dxa"/>
            <w:vAlign w:val="bottom"/>
            <w:shd w:val="clear" w:color="auto" w:fill="F2F2F2"/>
          </w:tcPr>
          <w:p>
            <w:pPr>
              <w:spacing w:after="0"/>
              <w:rPr>
                <w:sz w:val="22"/>
                <w:szCs w:val="22"/>
                <w:color w:val="auto"/>
              </w:rPr>
            </w:pPr>
          </w:p>
        </w:tc>
        <w:tc>
          <w:tcPr>
            <w:tcW w:w="340" w:type="dxa"/>
            <w:vAlign w:val="bottom"/>
            <w:shd w:val="clear" w:color="auto" w:fill="F2F2F2"/>
          </w:tcPr>
          <w:p>
            <w:pPr>
              <w:spacing w:after="0"/>
              <w:rPr>
                <w:sz w:val="22"/>
                <w:szCs w:val="22"/>
                <w:color w:val="auto"/>
              </w:rPr>
            </w:pPr>
          </w:p>
        </w:tc>
        <w:tc>
          <w:tcPr>
            <w:tcW w:w="640" w:type="dxa"/>
            <w:vAlign w:val="bottom"/>
            <w:tcBorders>
              <w:right w:val="single" w:sz="8" w:color="F2F2F2"/>
            </w:tcBorders>
            <w:shd w:val="clear" w:color="auto" w:fill="F2F2F2"/>
          </w:tcPr>
          <w:p>
            <w:pPr>
              <w:jc w:val="right"/>
              <w:ind w:right="16"/>
              <w:spacing w:after="0"/>
              <w:rPr>
                <w:sz w:val="20"/>
                <w:szCs w:val="20"/>
                <w:color w:val="auto"/>
              </w:rPr>
            </w:pPr>
            <w:r>
              <w:rPr>
                <w:rFonts w:ascii="Arial" w:cs="Arial" w:eastAsia="Arial" w:hAnsi="Arial"/>
                <w:sz w:val="16"/>
                <w:szCs w:val="16"/>
                <w:color w:val="auto"/>
              </w:rPr>
              <w:t>35</w:t>
            </w:r>
          </w:p>
        </w:tc>
        <w:tc>
          <w:tcPr>
            <w:tcW w:w="3860" w:type="dxa"/>
            <w:vAlign w:val="bottom"/>
            <w:gridSpan w:val="14"/>
            <w:shd w:val="clear" w:color="auto" w:fill="F2F2F2"/>
          </w:tcPr>
          <w:p>
            <w:pPr>
              <w:spacing w:after="0"/>
              <w:rPr>
                <w:sz w:val="20"/>
                <w:szCs w:val="20"/>
                <w:color w:val="auto"/>
              </w:rPr>
            </w:pPr>
            <w:r>
              <w:rPr>
                <w:rFonts w:ascii="Arial" w:cs="Arial" w:eastAsia="Arial" w:hAnsi="Arial"/>
                <w:sz w:val="16"/>
                <w:szCs w:val="16"/>
                <w:color w:val="0000EE"/>
              </w:rPr>
              <w:t>Employment Agreements</w:t>
            </w:r>
          </w:p>
        </w:tc>
        <w:tc>
          <w:tcPr>
            <w:tcW w:w="0" w:type="dxa"/>
            <w:vAlign w:val="bottom"/>
          </w:tcPr>
          <w:p>
            <w:pPr>
              <w:spacing w:after="0"/>
              <w:rPr>
                <w:sz w:val="1"/>
                <w:szCs w:val="1"/>
                <w:color w:val="auto"/>
              </w:rPr>
            </w:pPr>
          </w:p>
        </w:tc>
      </w:tr>
      <w:tr>
        <w:trPr>
          <w:trHeight w:val="74"/>
        </w:trPr>
        <w:tc>
          <w:tcPr>
            <w:tcW w:w="1000" w:type="dxa"/>
            <w:vAlign w:val="bottom"/>
            <w:tcBorders>
              <w:top w:val="single" w:sz="8" w:color="F2F2F2"/>
              <w:bottom w:val="single" w:sz="8" w:color="F2F2F2"/>
            </w:tcBorders>
            <w:shd w:val="clear" w:color="auto" w:fill="F2F2F2"/>
          </w:tcPr>
          <w:p>
            <w:pPr>
              <w:spacing w:after="0"/>
              <w:rPr>
                <w:sz w:val="6"/>
                <w:szCs w:val="6"/>
                <w:color w:val="auto"/>
              </w:rPr>
            </w:pPr>
          </w:p>
        </w:tc>
        <w:tc>
          <w:tcPr>
            <w:tcW w:w="740" w:type="dxa"/>
            <w:vAlign w:val="bottom"/>
            <w:tcBorders>
              <w:top w:val="single" w:sz="8" w:color="0000EE"/>
              <w:left w:val="single" w:sz="8" w:color="F2F2F2"/>
              <w:bottom w:val="single" w:sz="8" w:color="F2F2F2"/>
            </w:tcBorders>
            <w:shd w:val="clear" w:color="auto" w:fill="F2F2F2"/>
          </w:tcPr>
          <w:p>
            <w:pPr>
              <w:spacing w:after="0"/>
              <w:rPr>
                <w:sz w:val="6"/>
                <w:szCs w:val="6"/>
                <w:color w:val="auto"/>
              </w:rPr>
            </w:pPr>
          </w:p>
        </w:tc>
        <w:tc>
          <w:tcPr>
            <w:tcW w:w="140" w:type="dxa"/>
            <w:vAlign w:val="bottom"/>
            <w:tcBorders>
              <w:top w:val="single" w:sz="8" w:color="0000EE"/>
              <w:bottom w:val="single" w:sz="8" w:color="F2F2F2"/>
            </w:tcBorders>
            <w:shd w:val="clear" w:color="auto" w:fill="F2F2F2"/>
          </w:tcPr>
          <w:p>
            <w:pPr>
              <w:spacing w:after="0"/>
              <w:rPr>
                <w:sz w:val="6"/>
                <w:szCs w:val="6"/>
                <w:color w:val="auto"/>
              </w:rPr>
            </w:pPr>
          </w:p>
        </w:tc>
        <w:tc>
          <w:tcPr>
            <w:tcW w:w="420" w:type="dxa"/>
            <w:vAlign w:val="bottom"/>
            <w:tcBorders>
              <w:top w:val="single" w:sz="8" w:color="0000EE"/>
              <w:bottom w:val="single" w:sz="8" w:color="F2F2F2"/>
              <w:right w:val="single" w:sz="8" w:color="F2F2F2"/>
            </w:tcBorders>
            <w:shd w:val="clear" w:color="auto" w:fill="F2F2F2"/>
          </w:tcPr>
          <w:p>
            <w:pPr>
              <w:spacing w:after="0"/>
              <w:rPr>
                <w:sz w:val="6"/>
                <w:szCs w:val="6"/>
                <w:color w:val="auto"/>
              </w:rPr>
            </w:pPr>
          </w:p>
        </w:tc>
        <w:tc>
          <w:tcPr>
            <w:tcW w:w="280" w:type="dxa"/>
            <w:vAlign w:val="bottom"/>
            <w:tcBorders>
              <w:top w:val="single" w:sz="8" w:color="0000EE"/>
              <w:bottom w:val="single" w:sz="8" w:color="F2F2F2"/>
              <w:right w:val="single" w:sz="8" w:color="F2F2F2"/>
            </w:tcBorders>
            <w:shd w:val="clear" w:color="auto" w:fill="F2F2F2"/>
          </w:tcPr>
          <w:p>
            <w:pPr>
              <w:spacing w:after="0"/>
              <w:rPr>
                <w:sz w:val="6"/>
                <w:szCs w:val="6"/>
                <w:color w:val="auto"/>
              </w:rPr>
            </w:pPr>
          </w:p>
        </w:tc>
        <w:tc>
          <w:tcPr>
            <w:tcW w:w="220" w:type="dxa"/>
            <w:vAlign w:val="bottom"/>
            <w:tcBorders>
              <w:top w:val="single" w:sz="8" w:color="0000EE"/>
              <w:bottom w:val="single" w:sz="8" w:color="F2F2F2"/>
              <w:right w:val="single" w:sz="8" w:color="F2F2F2"/>
            </w:tcBorders>
            <w:shd w:val="clear" w:color="auto" w:fill="F2F2F2"/>
          </w:tcPr>
          <w:p>
            <w:pPr>
              <w:spacing w:after="0"/>
              <w:rPr>
                <w:sz w:val="6"/>
                <w:szCs w:val="6"/>
                <w:color w:val="auto"/>
              </w:rPr>
            </w:pPr>
          </w:p>
        </w:tc>
        <w:tc>
          <w:tcPr>
            <w:tcW w:w="400" w:type="dxa"/>
            <w:vAlign w:val="bottom"/>
            <w:tcBorders>
              <w:top w:val="single" w:sz="8" w:color="0000EE"/>
              <w:bottom w:val="single" w:sz="8" w:color="F2F2F2"/>
            </w:tcBorders>
            <w:shd w:val="clear" w:color="auto" w:fill="F2F2F2"/>
          </w:tcPr>
          <w:p>
            <w:pPr>
              <w:spacing w:after="0"/>
              <w:rPr>
                <w:sz w:val="6"/>
                <w:szCs w:val="6"/>
                <w:color w:val="auto"/>
              </w:rPr>
            </w:pPr>
          </w:p>
        </w:tc>
        <w:tc>
          <w:tcPr>
            <w:tcW w:w="320" w:type="dxa"/>
            <w:vAlign w:val="bottom"/>
            <w:tcBorders>
              <w:top w:val="single" w:sz="8" w:color="0000EE"/>
              <w:bottom w:val="single" w:sz="8" w:color="F2F2F2"/>
            </w:tcBorders>
            <w:shd w:val="clear" w:color="auto" w:fill="F2F2F2"/>
          </w:tcPr>
          <w:p>
            <w:pPr>
              <w:spacing w:after="0"/>
              <w:rPr>
                <w:sz w:val="6"/>
                <w:szCs w:val="6"/>
                <w:color w:val="auto"/>
              </w:rPr>
            </w:pPr>
          </w:p>
        </w:tc>
        <w:tc>
          <w:tcPr>
            <w:tcW w:w="480" w:type="dxa"/>
            <w:vAlign w:val="bottom"/>
            <w:tcBorders>
              <w:top w:val="single" w:sz="8" w:color="0000EE"/>
              <w:bottom w:val="single" w:sz="8" w:color="F2F2F2"/>
              <w:right w:val="single" w:sz="8" w:color="F2F2F2"/>
            </w:tcBorders>
            <w:shd w:val="clear" w:color="auto" w:fill="F2F2F2"/>
          </w:tcPr>
          <w:p>
            <w:pPr>
              <w:spacing w:after="0"/>
              <w:rPr>
                <w:sz w:val="6"/>
                <w:szCs w:val="6"/>
                <w:color w:val="auto"/>
              </w:rPr>
            </w:pPr>
          </w:p>
        </w:tc>
        <w:tc>
          <w:tcPr>
            <w:tcW w:w="200" w:type="dxa"/>
            <w:vAlign w:val="bottom"/>
            <w:tcBorders>
              <w:top w:val="single" w:sz="8" w:color="F2F2F2"/>
              <w:bottom w:val="single" w:sz="8" w:color="F2F2F2"/>
            </w:tcBorders>
            <w:shd w:val="clear" w:color="auto" w:fill="F2F2F2"/>
          </w:tcPr>
          <w:p>
            <w:pPr>
              <w:spacing w:after="0"/>
              <w:rPr>
                <w:sz w:val="6"/>
                <w:szCs w:val="6"/>
                <w:color w:val="auto"/>
              </w:rPr>
            </w:pPr>
          </w:p>
        </w:tc>
        <w:tc>
          <w:tcPr>
            <w:tcW w:w="80" w:type="dxa"/>
            <w:vAlign w:val="bottom"/>
            <w:tcBorders>
              <w:top w:val="single" w:sz="8" w:color="F2F2F2"/>
              <w:bottom w:val="single" w:sz="8" w:color="F2F2F2"/>
            </w:tcBorders>
            <w:shd w:val="clear" w:color="auto" w:fill="F2F2F2"/>
          </w:tcPr>
          <w:p>
            <w:pPr>
              <w:spacing w:after="0"/>
              <w:rPr>
                <w:sz w:val="6"/>
                <w:szCs w:val="6"/>
                <w:color w:val="auto"/>
              </w:rPr>
            </w:pPr>
          </w:p>
        </w:tc>
        <w:tc>
          <w:tcPr>
            <w:tcW w:w="460" w:type="dxa"/>
            <w:vAlign w:val="bottom"/>
            <w:tcBorders>
              <w:top w:val="single" w:sz="8" w:color="F2F2F2"/>
              <w:bottom w:val="single" w:sz="8" w:color="F2F2F2"/>
            </w:tcBorders>
            <w:shd w:val="clear" w:color="auto" w:fill="F2F2F2"/>
          </w:tcPr>
          <w:p>
            <w:pPr>
              <w:spacing w:after="0"/>
              <w:rPr>
                <w:sz w:val="6"/>
                <w:szCs w:val="6"/>
                <w:color w:val="auto"/>
              </w:rPr>
            </w:pPr>
          </w:p>
        </w:tc>
        <w:tc>
          <w:tcPr>
            <w:tcW w:w="20" w:type="dxa"/>
            <w:vAlign w:val="bottom"/>
            <w:tcBorders>
              <w:top w:val="single" w:sz="8" w:color="F2F2F2"/>
              <w:bottom w:val="single" w:sz="8" w:color="F2F2F2"/>
            </w:tcBorders>
            <w:shd w:val="clear" w:color="auto" w:fill="F2F2F2"/>
          </w:tcPr>
          <w:p>
            <w:pPr>
              <w:spacing w:after="0"/>
              <w:rPr>
                <w:sz w:val="6"/>
                <w:szCs w:val="6"/>
                <w:color w:val="auto"/>
              </w:rPr>
            </w:pPr>
          </w:p>
        </w:tc>
        <w:tc>
          <w:tcPr>
            <w:tcW w:w="180" w:type="dxa"/>
            <w:vAlign w:val="bottom"/>
            <w:tcBorders>
              <w:top w:val="single" w:sz="8" w:color="F2F2F2"/>
              <w:bottom w:val="single" w:sz="8" w:color="F2F2F2"/>
            </w:tcBorders>
            <w:shd w:val="clear" w:color="auto" w:fill="F2F2F2"/>
          </w:tcPr>
          <w:p>
            <w:pPr>
              <w:spacing w:after="0"/>
              <w:rPr>
                <w:sz w:val="6"/>
                <w:szCs w:val="6"/>
                <w:color w:val="auto"/>
              </w:rPr>
            </w:pPr>
          </w:p>
        </w:tc>
        <w:tc>
          <w:tcPr>
            <w:tcW w:w="140" w:type="dxa"/>
            <w:vAlign w:val="bottom"/>
            <w:tcBorders>
              <w:top w:val="single" w:sz="8" w:color="F2F2F2"/>
              <w:bottom w:val="single" w:sz="8" w:color="F2F2F2"/>
            </w:tcBorders>
            <w:shd w:val="clear" w:color="auto" w:fill="F2F2F2"/>
          </w:tcPr>
          <w:p>
            <w:pPr>
              <w:spacing w:after="0"/>
              <w:rPr>
                <w:sz w:val="6"/>
                <w:szCs w:val="6"/>
                <w:color w:val="auto"/>
              </w:rPr>
            </w:pPr>
          </w:p>
        </w:tc>
        <w:tc>
          <w:tcPr>
            <w:tcW w:w="340" w:type="dxa"/>
            <w:vAlign w:val="bottom"/>
            <w:tcBorders>
              <w:top w:val="single" w:sz="8" w:color="F2F2F2"/>
              <w:bottom w:val="single" w:sz="8" w:color="558ED5"/>
            </w:tcBorders>
            <w:shd w:val="clear" w:color="auto" w:fill="F2F2F2"/>
          </w:tcPr>
          <w:p>
            <w:pPr>
              <w:spacing w:after="0"/>
              <w:rPr>
                <w:sz w:val="6"/>
                <w:szCs w:val="6"/>
                <w:color w:val="auto"/>
              </w:rPr>
            </w:pPr>
          </w:p>
        </w:tc>
        <w:tc>
          <w:tcPr>
            <w:tcW w:w="640" w:type="dxa"/>
            <w:vAlign w:val="bottom"/>
            <w:tcBorders>
              <w:top w:val="single" w:sz="8" w:color="F2F2F2"/>
              <w:bottom w:val="single" w:sz="8" w:color="558ED5"/>
              <w:right w:val="single" w:sz="8" w:color="F2F2F2"/>
            </w:tcBorders>
            <w:shd w:val="clear" w:color="auto" w:fill="F2F2F2"/>
          </w:tcPr>
          <w:p>
            <w:pPr>
              <w:spacing w:after="0"/>
              <w:rPr>
                <w:sz w:val="6"/>
                <w:szCs w:val="6"/>
                <w:color w:val="auto"/>
              </w:rPr>
            </w:pPr>
          </w:p>
        </w:tc>
        <w:tc>
          <w:tcPr>
            <w:tcW w:w="1460" w:type="dxa"/>
            <w:vAlign w:val="bottom"/>
            <w:tcBorders>
              <w:top w:val="single" w:sz="8" w:color="0000EE"/>
              <w:bottom w:val="single" w:sz="8" w:color="558ED5"/>
              <w:right w:val="single" w:sz="8" w:color="F2F2F2"/>
            </w:tcBorders>
            <w:shd w:val="clear" w:color="auto" w:fill="F2F2F2"/>
          </w:tcPr>
          <w:p>
            <w:pPr>
              <w:spacing w:after="0"/>
              <w:rPr>
                <w:sz w:val="6"/>
                <w:szCs w:val="6"/>
                <w:color w:val="auto"/>
              </w:rPr>
            </w:pPr>
          </w:p>
        </w:tc>
        <w:tc>
          <w:tcPr>
            <w:tcW w:w="360" w:type="dxa"/>
            <w:vAlign w:val="bottom"/>
            <w:tcBorders>
              <w:top w:val="single" w:sz="8" w:color="0000EE"/>
              <w:bottom w:val="single" w:sz="8" w:color="558ED5"/>
            </w:tcBorders>
            <w:shd w:val="clear" w:color="auto" w:fill="F2F2F2"/>
          </w:tcPr>
          <w:p>
            <w:pPr>
              <w:spacing w:after="0"/>
              <w:rPr>
                <w:sz w:val="6"/>
                <w:szCs w:val="6"/>
                <w:color w:val="auto"/>
              </w:rPr>
            </w:pPr>
          </w:p>
        </w:tc>
        <w:tc>
          <w:tcPr>
            <w:tcW w:w="20" w:type="dxa"/>
            <w:vAlign w:val="bottom"/>
            <w:tcBorders>
              <w:top w:val="single" w:sz="8" w:color="F2F2F2"/>
              <w:bottom w:val="single" w:sz="8" w:color="558ED5"/>
            </w:tcBorders>
            <w:shd w:val="clear" w:color="auto" w:fill="F2F2F2"/>
          </w:tcPr>
          <w:p>
            <w:pPr>
              <w:spacing w:after="0"/>
              <w:rPr>
                <w:sz w:val="6"/>
                <w:szCs w:val="6"/>
                <w:color w:val="auto"/>
              </w:rPr>
            </w:pPr>
          </w:p>
        </w:tc>
        <w:tc>
          <w:tcPr>
            <w:tcW w:w="40" w:type="dxa"/>
            <w:vAlign w:val="bottom"/>
            <w:tcBorders>
              <w:top w:val="single" w:sz="8" w:color="F2F2F2"/>
              <w:bottom w:val="single" w:sz="8" w:color="558ED5"/>
            </w:tcBorders>
            <w:shd w:val="clear" w:color="auto" w:fill="F2F2F2"/>
          </w:tcPr>
          <w:p>
            <w:pPr>
              <w:spacing w:after="0"/>
              <w:rPr>
                <w:sz w:val="6"/>
                <w:szCs w:val="6"/>
                <w:color w:val="auto"/>
              </w:rPr>
            </w:pPr>
          </w:p>
        </w:tc>
        <w:tc>
          <w:tcPr>
            <w:tcW w:w="160" w:type="dxa"/>
            <w:vAlign w:val="bottom"/>
            <w:tcBorders>
              <w:top w:val="single" w:sz="8" w:color="F2F2F2"/>
              <w:bottom w:val="single" w:sz="8" w:color="558ED5"/>
            </w:tcBorders>
            <w:shd w:val="clear" w:color="auto" w:fill="F2F2F2"/>
          </w:tcPr>
          <w:p>
            <w:pPr>
              <w:spacing w:after="0"/>
              <w:rPr>
                <w:sz w:val="6"/>
                <w:szCs w:val="6"/>
                <w:color w:val="auto"/>
              </w:rPr>
            </w:pPr>
          </w:p>
        </w:tc>
        <w:tc>
          <w:tcPr>
            <w:tcW w:w="180" w:type="dxa"/>
            <w:vAlign w:val="bottom"/>
            <w:tcBorders>
              <w:top w:val="single" w:sz="8" w:color="F2F2F2"/>
              <w:bottom w:val="single" w:sz="8" w:color="558ED5"/>
            </w:tcBorders>
            <w:shd w:val="clear" w:color="auto" w:fill="F2F2F2"/>
          </w:tcPr>
          <w:p>
            <w:pPr>
              <w:spacing w:after="0"/>
              <w:rPr>
                <w:sz w:val="6"/>
                <w:szCs w:val="6"/>
                <w:color w:val="auto"/>
              </w:rPr>
            </w:pPr>
          </w:p>
        </w:tc>
        <w:tc>
          <w:tcPr>
            <w:tcW w:w="820" w:type="dxa"/>
            <w:vAlign w:val="bottom"/>
            <w:tcBorders>
              <w:top w:val="single" w:sz="8" w:color="F2F2F2"/>
              <w:bottom w:val="single" w:sz="8" w:color="558ED5"/>
            </w:tcBorders>
            <w:shd w:val="clear" w:color="auto" w:fill="F2F2F2"/>
          </w:tcPr>
          <w:p>
            <w:pPr>
              <w:spacing w:after="0"/>
              <w:rPr>
                <w:sz w:val="6"/>
                <w:szCs w:val="6"/>
                <w:color w:val="auto"/>
              </w:rPr>
            </w:pPr>
          </w:p>
        </w:tc>
        <w:tc>
          <w:tcPr>
            <w:tcW w:w="200" w:type="dxa"/>
            <w:vAlign w:val="bottom"/>
            <w:tcBorders>
              <w:top w:val="single" w:sz="8" w:color="F2F2F2"/>
              <w:bottom w:val="single" w:sz="8" w:color="558ED5"/>
            </w:tcBorders>
            <w:shd w:val="clear" w:color="auto" w:fill="F2F2F2"/>
          </w:tcPr>
          <w:p>
            <w:pPr>
              <w:spacing w:after="0"/>
              <w:rPr>
                <w:sz w:val="6"/>
                <w:szCs w:val="6"/>
                <w:color w:val="auto"/>
              </w:rPr>
            </w:pPr>
          </w:p>
        </w:tc>
        <w:tc>
          <w:tcPr>
            <w:tcW w:w="60" w:type="dxa"/>
            <w:vAlign w:val="bottom"/>
            <w:tcBorders>
              <w:top w:val="single" w:sz="8" w:color="F2F2F2"/>
              <w:bottom w:val="single" w:sz="8" w:color="558ED5"/>
            </w:tcBorders>
            <w:shd w:val="clear" w:color="auto" w:fill="F2F2F2"/>
          </w:tcPr>
          <w:p>
            <w:pPr>
              <w:spacing w:after="0"/>
              <w:rPr>
                <w:sz w:val="6"/>
                <w:szCs w:val="6"/>
                <w:color w:val="auto"/>
              </w:rPr>
            </w:pPr>
          </w:p>
        </w:tc>
        <w:tc>
          <w:tcPr>
            <w:tcW w:w="220" w:type="dxa"/>
            <w:vAlign w:val="bottom"/>
            <w:tcBorders>
              <w:top w:val="single" w:sz="8" w:color="F2F2F2"/>
              <w:bottom w:val="single" w:sz="8" w:color="558ED5"/>
            </w:tcBorders>
            <w:shd w:val="clear" w:color="auto" w:fill="F2F2F2"/>
          </w:tcPr>
          <w:p>
            <w:pPr>
              <w:spacing w:after="0"/>
              <w:rPr>
                <w:sz w:val="6"/>
                <w:szCs w:val="6"/>
                <w:color w:val="auto"/>
              </w:rPr>
            </w:pPr>
          </w:p>
        </w:tc>
        <w:tc>
          <w:tcPr>
            <w:tcW w:w="20" w:type="dxa"/>
            <w:vAlign w:val="bottom"/>
            <w:tcBorders>
              <w:top w:val="single" w:sz="8" w:color="F2F2F2"/>
              <w:bottom w:val="single" w:sz="8" w:color="558ED5"/>
            </w:tcBorders>
            <w:shd w:val="clear" w:color="auto" w:fill="F2F2F2"/>
          </w:tcPr>
          <w:p>
            <w:pPr>
              <w:spacing w:after="0"/>
              <w:rPr>
                <w:sz w:val="6"/>
                <w:szCs w:val="6"/>
                <w:color w:val="auto"/>
              </w:rPr>
            </w:pPr>
          </w:p>
        </w:tc>
        <w:tc>
          <w:tcPr>
            <w:tcW w:w="160" w:type="dxa"/>
            <w:vAlign w:val="bottom"/>
            <w:tcBorders>
              <w:top w:val="single" w:sz="8" w:color="F2F2F2"/>
              <w:bottom w:val="single" w:sz="8" w:color="558ED5"/>
            </w:tcBorders>
            <w:shd w:val="clear" w:color="auto" w:fill="F2F2F2"/>
          </w:tcPr>
          <w:p>
            <w:pPr>
              <w:spacing w:after="0"/>
              <w:rPr>
                <w:sz w:val="6"/>
                <w:szCs w:val="6"/>
                <w:color w:val="auto"/>
              </w:rPr>
            </w:pPr>
          </w:p>
        </w:tc>
        <w:tc>
          <w:tcPr>
            <w:tcW w:w="80" w:type="dxa"/>
            <w:vAlign w:val="bottom"/>
            <w:tcBorders>
              <w:top w:val="single" w:sz="8" w:color="F2F2F2"/>
              <w:bottom w:val="single" w:sz="8" w:color="558ED5"/>
            </w:tcBorders>
            <w:shd w:val="clear" w:color="auto" w:fill="F2F2F2"/>
          </w:tcPr>
          <w:p>
            <w:pPr>
              <w:spacing w:after="0"/>
              <w:rPr>
                <w:sz w:val="6"/>
                <w:szCs w:val="6"/>
                <w:color w:val="auto"/>
              </w:rPr>
            </w:pPr>
          </w:p>
        </w:tc>
        <w:tc>
          <w:tcPr>
            <w:tcW w:w="80" w:type="dxa"/>
            <w:vAlign w:val="bottom"/>
            <w:tcBorders>
              <w:top w:val="single" w:sz="8" w:color="F2F2F2"/>
              <w:bottom w:val="single" w:sz="8" w:color="558ED5"/>
            </w:tcBorders>
            <w:shd w:val="clear" w:color="auto" w:fill="F2F2F2"/>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1000" w:type="dxa"/>
            <w:vAlign w:val="bottom"/>
            <w:tcBorders>
              <w:bottom w:val="single" w:sz="8" w:color="F2F2F2"/>
            </w:tcBorders>
            <w:vMerge w:val="restart"/>
            <w:shd w:val="clear" w:color="auto" w:fill="F2F2F2"/>
          </w:tcPr>
          <w:p>
            <w:pPr>
              <w:jc w:val="right"/>
              <w:ind w:right="15"/>
              <w:spacing w:after="0"/>
              <w:rPr>
                <w:sz w:val="20"/>
                <w:szCs w:val="20"/>
                <w:color w:val="auto"/>
              </w:rPr>
            </w:pPr>
            <w:r>
              <w:rPr>
                <w:rFonts w:ascii="Arial" w:cs="Arial" w:eastAsia="Arial" w:hAnsi="Arial"/>
                <w:sz w:val="16"/>
                <w:szCs w:val="16"/>
                <w:color w:val="auto"/>
              </w:rPr>
              <w:t>29</w:t>
            </w:r>
          </w:p>
        </w:tc>
        <w:tc>
          <w:tcPr>
            <w:tcW w:w="3940" w:type="dxa"/>
            <w:vAlign w:val="bottom"/>
            <w:tcBorders>
              <w:left w:val="single" w:sz="8" w:color="F2F2F2"/>
              <w:bottom w:val="single" w:sz="8" w:color="F2F2F2"/>
            </w:tcBorders>
            <w:gridSpan w:val="13"/>
            <w:vMerge w:val="restart"/>
            <w:shd w:val="clear" w:color="auto" w:fill="F2F2F2"/>
          </w:tcPr>
          <w:p>
            <w:pPr>
              <w:spacing w:after="0"/>
              <w:rPr>
                <w:sz w:val="20"/>
                <w:szCs w:val="20"/>
                <w:color w:val="auto"/>
              </w:rPr>
            </w:pPr>
            <w:r>
              <w:rPr>
                <w:rFonts w:ascii="Arial" w:cs="Arial" w:eastAsia="Arial" w:hAnsi="Arial"/>
                <w:sz w:val="16"/>
                <w:szCs w:val="16"/>
                <w:color w:val="0000EE"/>
              </w:rPr>
              <w:t>Our Stockholder Outreach Initiative</w:t>
            </w:r>
          </w:p>
        </w:tc>
        <w:tc>
          <w:tcPr>
            <w:tcW w:w="140" w:type="dxa"/>
            <w:vAlign w:val="bottom"/>
            <w:tcBorders>
              <w:bottom w:val="single" w:sz="8" w:color="F2F2F2"/>
            </w:tcBorders>
            <w:shd w:val="clear" w:color="auto" w:fill="F2F2F2"/>
          </w:tcPr>
          <w:p>
            <w:pPr>
              <w:spacing w:after="0"/>
              <w:rPr>
                <w:sz w:val="13"/>
                <w:szCs w:val="13"/>
                <w:color w:val="auto"/>
              </w:rPr>
            </w:pPr>
          </w:p>
        </w:tc>
        <w:tc>
          <w:tcPr>
            <w:tcW w:w="340" w:type="dxa"/>
            <w:vAlign w:val="bottom"/>
            <w:tcBorders>
              <w:bottom w:val="single" w:sz="8" w:color="F2F2F2"/>
            </w:tcBorders>
            <w:shd w:val="clear" w:color="auto" w:fill="F2F2F2"/>
          </w:tcPr>
          <w:p>
            <w:pPr>
              <w:spacing w:after="0"/>
              <w:rPr>
                <w:sz w:val="13"/>
                <w:szCs w:val="13"/>
                <w:color w:val="auto"/>
              </w:rPr>
            </w:pPr>
          </w:p>
        </w:tc>
        <w:tc>
          <w:tcPr>
            <w:tcW w:w="640" w:type="dxa"/>
            <w:vAlign w:val="bottom"/>
            <w:tcBorders>
              <w:bottom w:val="single" w:sz="8" w:color="F2F2F2"/>
              <w:right w:val="single" w:sz="8" w:color="F2F2F2"/>
            </w:tcBorders>
            <w:vMerge w:val="restart"/>
            <w:shd w:val="clear" w:color="auto" w:fill="F2F2F2"/>
          </w:tcPr>
          <w:p>
            <w:pPr>
              <w:jc w:val="right"/>
              <w:ind w:right="16"/>
              <w:spacing w:after="0"/>
              <w:rPr>
                <w:sz w:val="20"/>
                <w:szCs w:val="20"/>
                <w:color w:val="auto"/>
              </w:rPr>
            </w:pPr>
            <w:r>
              <w:rPr>
                <w:rFonts w:ascii="Arial" w:cs="Arial" w:eastAsia="Arial" w:hAnsi="Arial"/>
                <w:sz w:val="22"/>
                <w:szCs w:val="22"/>
                <w:b w:val="1"/>
                <w:bCs w:val="1"/>
                <w:color w:val="4A7EBB"/>
              </w:rPr>
              <w:t>36</w:t>
            </w:r>
          </w:p>
        </w:tc>
        <w:tc>
          <w:tcPr>
            <w:tcW w:w="3540" w:type="dxa"/>
            <w:vAlign w:val="bottom"/>
            <w:tcBorders>
              <w:bottom w:val="single" w:sz="8" w:color="4A7EBB"/>
            </w:tcBorders>
            <w:gridSpan w:val="11"/>
            <w:shd w:val="clear" w:color="auto" w:fill="F2F2F2"/>
          </w:tcPr>
          <w:p>
            <w:pPr>
              <w:spacing w:after="0" w:line="155" w:lineRule="exact"/>
              <w:rPr>
                <w:sz w:val="20"/>
                <w:szCs w:val="20"/>
                <w:color w:val="auto"/>
              </w:rPr>
            </w:pPr>
            <w:r>
              <w:rPr>
                <w:rFonts w:ascii="Arial" w:cs="Arial" w:eastAsia="Arial" w:hAnsi="Arial"/>
                <w:sz w:val="16"/>
                <w:szCs w:val="16"/>
                <w:b w:val="1"/>
                <w:bCs w:val="1"/>
                <w:color w:val="4A7EBB"/>
              </w:rPr>
              <w:t>OTHER COMPENSATION AND GOVERNANCE</w:t>
            </w:r>
          </w:p>
        </w:tc>
        <w:tc>
          <w:tcPr>
            <w:tcW w:w="320" w:type="dxa"/>
            <w:vAlign w:val="bottom"/>
            <w:tcBorders>
              <w:bottom w:val="single" w:sz="8" w:color="F2F2F2"/>
            </w:tcBorders>
            <w:gridSpan w:val="3"/>
            <w:shd w:val="clear" w:color="auto" w:fill="F2F2F2"/>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1000" w:type="dxa"/>
            <w:vAlign w:val="bottom"/>
            <w:vMerge w:val="continue"/>
            <w:shd w:val="clear" w:color="auto" w:fill="F2F2F2"/>
          </w:tcPr>
          <w:p>
            <w:pPr>
              <w:spacing w:after="0"/>
              <w:rPr>
                <w:sz w:val="5"/>
                <w:szCs w:val="5"/>
                <w:color w:val="auto"/>
              </w:rPr>
            </w:pPr>
          </w:p>
        </w:tc>
        <w:tc>
          <w:tcPr>
            <w:tcW w:w="3940" w:type="dxa"/>
            <w:vAlign w:val="bottom"/>
            <w:tcBorders>
              <w:left w:val="single" w:sz="8" w:color="F2F2F2"/>
            </w:tcBorders>
            <w:gridSpan w:val="13"/>
            <w:vMerge w:val="continue"/>
            <w:shd w:val="clear" w:color="auto" w:fill="F2F2F2"/>
          </w:tcPr>
          <w:p>
            <w:pPr>
              <w:spacing w:after="0"/>
              <w:rPr>
                <w:sz w:val="5"/>
                <w:szCs w:val="5"/>
                <w:color w:val="auto"/>
              </w:rPr>
            </w:pPr>
          </w:p>
        </w:tc>
        <w:tc>
          <w:tcPr>
            <w:tcW w:w="140" w:type="dxa"/>
            <w:vAlign w:val="bottom"/>
            <w:shd w:val="clear" w:color="auto" w:fill="F2F2F2"/>
          </w:tcPr>
          <w:p>
            <w:pPr>
              <w:spacing w:after="0"/>
              <w:rPr>
                <w:sz w:val="5"/>
                <w:szCs w:val="5"/>
                <w:color w:val="auto"/>
              </w:rPr>
            </w:pPr>
          </w:p>
        </w:tc>
        <w:tc>
          <w:tcPr>
            <w:tcW w:w="340" w:type="dxa"/>
            <w:vAlign w:val="bottom"/>
            <w:shd w:val="clear" w:color="auto" w:fill="F2F2F2"/>
          </w:tcPr>
          <w:p>
            <w:pPr>
              <w:spacing w:after="0"/>
              <w:rPr>
                <w:sz w:val="5"/>
                <w:szCs w:val="5"/>
                <w:color w:val="auto"/>
              </w:rPr>
            </w:pPr>
          </w:p>
        </w:tc>
        <w:tc>
          <w:tcPr>
            <w:tcW w:w="640" w:type="dxa"/>
            <w:vAlign w:val="bottom"/>
            <w:tcBorders>
              <w:right w:val="single" w:sz="8" w:color="F2F2F2"/>
            </w:tcBorders>
            <w:vMerge w:val="continue"/>
            <w:shd w:val="clear" w:color="auto" w:fill="F2F2F2"/>
          </w:tcPr>
          <w:p>
            <w:pPr>
              <w:spacing w:after="0"/>
              <w:rPr>
                <w:sz w:val="5"/>
                <w:szCs w:val="5"/>
                <w:color w:val="auto"/>
              </w:rPr>
            </w:pPr>
          </w:p>
        </w:tc>
        <w:tc>
          <w:tcPr>
            <w:tcW w:w="3860" w:type="dxa"/>
            <w:vAlign w:val="bottom"/>
            <w:gridSpan w:val="14"/>
            <w:vMerge w:val="restart"/>
            <w:shd w:val="clear" w:color="auto" w:fill="F2F2F2"/>
          </w:tcPr>
          <w:p>
            <w:pPr>
              <w:spacing w:after="0" w:line="169" w:lineRule="exact"/>
              <w:rPr>
                <w:sz w:val="20"/>
                <w:szCs w:val="20"/>
                <w:color w:val="auto"/>
              </w:rPr>
            </w:pPr>
            <w:r>
              <w:rPr>
                <w:rFonts w:ascii="Arial" w:cs="Arial" w:eastAsia="Arial" w:hAnsi="Arial"/>
                <w:sz w:val="16"/>
                <w:szCs w:val="16"/>
                <w:b w:val="1"/>
                <w:bCs w:val="1"/>
                <w:color w:val="4A7EBB"/>
              </w:rPr>
              <w:t>PROGRAMS, POLICIES AND CONSIDERATIONS</w:t>
            </w:r>
          </w:p>
        </w:tc>
        <w:tc>
          <w:tcPr>
            <w:tcW w:w="0" w:type="dxa"/>
            <w:vAlign w:val="bottom"/>
          </w:tcPr>
          <w:p>
            <w:pPr>
              <w:spacing w:after="0"/>
              <w:rPr>
                <w:sz w:val="1"/>
                <w:szCs w:val="1"/>
                <w:color w:val="auto"/>
              </w:rPr>
            </w:pPr>
          </w:p>
        </w:tc>
      </w:tr>
      <w:tr>
        <w:trPr>
          <w:trHeight w:val="20"/>
        </w:trPr>
        <w:tc>
          <w:tcPr>
            <w:tcW w:w="1000" w:type="dxa"/>
            <w:vAlign w:val="bottom"/>
            <w:shd w:val="clear" w:color="auto" w:fill="F2F2F2"/>
          </w:tcPr>
          <w:p>
            <w:pPr>
              <w:spacing w:after="0" w:line="20" w:lineRule="exact"/>
              <w:rPr>
                <w:sz w:val="1"/>
                <w:szCs w:val="1"/>
                <w:color w:val="auto"/>
              </w:rPr>
            </w:pPr>
          </w:p>
        </w:tc>
        <w:tc>
          <w:tcPr>
            <w:tcW w:w="740" w:type="dxa"/>
            <w:vAlign w:val="bottom"/>
            <w:tcBorders>
              <w:left w:val="single" w:sz="8" w:color="F2F2F2"/>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tcBorders>
              <w:right w:val="single" w:sz="8" w:color="F2F2F2"/>
            </w:tcBorders>
            <w:shd w:val="clear" w:color="auto" w:fill="F2F2F2"/>
          </w:tcPr>
          <w:p>
            <w:pPr>
              <w:spacing w:after="0" w:line="20" w:lineRule="exact"/>
              <w:rPr>
                <w:sz w:val="1"/>
                <w:szCs w:val="1"/>
                <w:color w:val="auto"/>
              </w:rPr>
            </w:pPr>
          </w:p>
        </w:tc>
        <w:tc>
          <w:tcPr>
            <w:tcW w:w="200" w:type="dxa"/>
            <w:vAlign w:val="bottom"/>
            <w:shd w:val="clear" w:color="auto" w:fill="F2F2F2"/>
          </w:tcPr>
          <w:p>
            <w:pPr>
              <w:spacing w:after="0" w:line="20" w:lineRule="exact"/>
              <w:rPr>
                <w:sz w:val="1"/>
                <w:szCs w:val="1"/>
                <w:color w:val="auto"/>
              </w:rPr>
            </w:pPr>
          </w:p>
        </w:tc>
        <w:tc>
          <w:tcPr>
            <w:tcW w:w="80" w:type="dxa"/>
            <w:vAlign w:val="bottom"/>
            <w:shd w:val="clear" w:color="auto" w:fill="F2F2F2"/>
          </w:tcPr>
          <w:p>
            <w:pPr>
              <w:spacing w:after="0" w:line="20" w:lineRule="exact"/>
              <w:rPr>
                <w:sz w:val="1"/>
                <w:szCs w:val="1"/>
                <w:color w:val="auto"/>
              </w:rPr>
            </w:pPr>
          </w:p>
        </w:tc>
        <w:tc>
          <w:tcPr>
            <w:tcW w:w="460" w:type="dxa"/>
            <w:vAlign w:val="bottom"/>
            <w:shd w:val="clear" w:color="auto" w:fill="F2F2F2"/>
          </w:tcPr>
          <w:p>
            <w:pPr>
              <w:spacing w:after="0" w:line="20" w:lineRule="exact"/>
              <w:rPr>
                <w:sz w:val="1"/>
                <w:szCs w:val="1"/>
                <w:color w:val="auto"/>
              </w:rPr>
            </w:pPr>
          </w:p>
        </w:tc>
        <w:tc>
          <w:tcPr>
            <w:tcW w:w="20" w:type="dxa"/>
            <w:vAlign w:val="bottom"/>
            <w:shd w:val="clear" w:color="auto" w:fill="F2F2F2"/>
          </w:tcPr>
          <w:p>
            <w:pPr>
              <w:spacing w:after="0" w:line="20" w:lineRule="exact"/>
              <w:rPr>
                <w:sz w:val="1"/>
                <w:szCs w:val="1"/>
                <w:color w:val="auto"/>
              </w:rPr>
            </w:pPr>
          </w:p>
        </w:tc>
        <w:tc>
          <w:tcPr>
            <w:tcW w:w="180" w:type="dxa"/>
            <w:vAlign w:val="bottom"/>
            <w:shd w:val="clear" w:color="auto" w:fill="F2F2F2"/>
          </w:tcPr>
          <w:p>
            <w:pPr>
              <w:spacing w:after="0" w:line="20" w:lineRule="exact"/>
              <w:rPr>
                <w:sz w:val="1"/>
                <w:szCs w:val="1"/>
                <w:color w:val="auto"/>
              </w:rPr>
            </w:pPr>
          </w:p>
        </w:tc>
        <w:tc>
          <w:tcPr>
            <w:tcW w:w="140" w:type="dxa"/>
            <w:vAlign w:val="bottom"/>
            <w:shd w:val="clear" w:color="auto" w:fill="F2F2F2"/>
          </w:tcPr>
          <w:p>
            <w:pPr>
              <w:spacing w:after="0" w:line="20" w:lineRule="exact"/>
              <w:rPr>
                <w:sz w:val="1"/>
                <w:szCs w:val="1"/>
                <w:color w:val="auto"/>
              </w:rPr>
            </w:pPr>
          </w:p>
        </w:tc>
        <w:tc>
          <w:tcPr>
            <w:tcW w:w="340" w:type="dxa"/>
            <w:vAlign w:val="bottom"/>
            <w:shd w:val="clear" w:color="auto" w:fill="F2F2F2"/>
          </w:tcPr>
          <w:p>
            <w:pPr>
              <w:spacing w:after="0" w:line="20" w:lineRule="exact"/>
              <w:rPr>
                <w:sz w:val="1"/>
                <w:szCs w:val="1"/>
                <w:color w:val="auto"/>
              </w:rPr>
            </w:pPr>
          </w:p>
        </w:tc>
        <w:tc>
          <w:tcPr>
            <w:tcW w:w="640" w:type="dxa"/>
            <w:vAlign w:val="bottom"/>
            <w:tcBorders>
              <w:right w:val="single" w:sz="8" w:color="F2F2F2"/>
            </w:tcBorders>
            <w:vMerge w:val="continue"/>
            <w:shd w:val="clear" w:color="auto" w:fill="F2F2F2"/>
          </w:tcPr>
          <w:p>
            <w:pPr>
              <w:spacing w:after="0" w:line="20" w:lineRule="exact"/>
              <w:rPr>
                <w:sz w:val="1"/>
                <w:szCs w:val="1"/>
                <w:color w:val="auto"/>
              </w:rPr>
            </w:pPr>
          </w:p>
        </w:tc>
        <w:tc>
          <w:tcPr>
            <w:tcW w:w="3860" w:type="dxa"/>
            <w:vAlign w:val="bottom"/>
            <w:gridSpan w:val="14"/>
            <w:vMerge w:val="continue"/>
            <w:shd w:val="clear" w:color="auto" w:fill="F2F2F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000" w:type="dxa"/>
            <w:vAlign w:val="bottom"/>
            <w:shd w:val="clear" w:color="auto" w:fill="F2F2F2"/>
          </w:tcPr>
          <w:p>
            <w:pPr>
              <w:spacing w:after="0"/>
              <w:rPr>
                <w:sz w:val="7"/>
                <w:szCs w:val="7"/>
                <w:color w:val="auto"/>
              </w:rPr>
            </w:pPr>
          </w:p>
        </w:tc>
        <w:tc>
          <w:tcPr>
            <w:tcW w:w="3940" w:type="dxa"/>
            <w:vAlign w:val="bottom"/>
            <w:tcBorders>
              <w:left w:val="single" w:sz="8" w:color="F2F2F2"/>
            </w:tcBorders>
            <w:gridSpan w:val="13"/>
            <w:vMerge w:val="restart"/>
            <w:shd w:val="clear" w:color="auto" w:fill="F2F2F2"/>
          </w:tcPr>
          <w:p>
            <w:pPr>
              <w:spacing w:after="0"/>
              <w:rPr>
                <w:sz w:val="20"/>
                <w:szCs w:val="20"/>
                <w:color w:val="auto"/>
              </w:rPr>
            </w:pPr>
            <w:r>
              <w:rPr>
                <w:rFonts w:ascii="Arial" w:cs="Arial" w:eastAsia="Arial" w:hAnsi="Arial"/>
                <w:sz w:val="16"/>
                <w:szCs w:val="16"/>
                <w:color w:val="0000EE"/>
              </w:rPr>
              <w:t>Our “Say on Pay” Results Last Year and Our</w:t>
            </w:r>
          </w:p>
        </w:tc>
        <w:tc>
          <w:tcPr>
            <w:tcW w:w="140" w:type="dxa"/>
            <w:vAlign w:val="bottom"/>
            <w:shd w:val="clear" w:color="auto" w:fill="F2F2F2"/>
          </w:tcPr>
          <w:p>
            <w:pPr>
              <w:spacing w:after="0"/>
              <w:rPr>
                <w:sz w:val="7"/>
                <w:szCs w:val="7"/>
                <w:color w:val="auto"/>
              </w:rPr>
            </w:pPr>
          </w:p>
        </w:tc>
        <w:tc>
          <w:tcPr>
            <w:tcW w:w="340" w:type="dxa"/>
            <w:vAlign w:val="bottom"/>
            <w:shd w:val="clear" w:color="auto" w:fill="F2F2F2"/>
          </w:tcPr>
          <w:p>
            <w:pPr>
              <w:spacing w:after="0"/>
              <w:rPr>
                <w:sz w:val="7"/>
                <w:szCs w:val="7"/>
                <w:color w:val="auto"/>
              </w:rPr>
            </w:pPr>
          </w:p>
        </w:tc>
        <w:tc>
          <w:tcPr>
            <w:tcW w:w="640" w:type="dxa"/>
            <w:vAlign w:val="bottom"/>
            <w:tcBorders>
              <w:right w:val="single" w:sz="8" w:color="F2F2F2"/>
            </w:tcBorders>
            <w:vMerge w:val="continue"/>
            <w:shd w:val="clear" w:color="auto" w:fill="F2F2F2"/>
          </w:tcPr>
          <w:p>
            <w:pPr>
              <w:spacing w:after="0"/>
              <w:rPr>
                <w:sz w:val="7"/>
                <w:szCs w:val="7"/>
                <w:color w:val="auto"/>
              </w:rPr>
            </w:pPr>
          </w:p>
        </w:tc>
        <w:tc>
          <w:tcPr>
            <w:tcW w:w="3860" w:type="dxa"/>
            <w:vAlign w:val="bottom"/>
            <w:gridSpan w:val="14"/>
            <w:vMerge w:val="continue"/>
            <w:shd w:val="clear" w:color="auto" w:fill="F2F2F2"/>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1000" w:type="dxa"/>
            <w:vAlign w:val="bottom"/>
            <w:tcBorders>
              <w:top w:val="single" w:sz="8" w:color="F2F2F2"/>
            </w:tcBorders>
            <w:vMerge w:val="restart"/>
            <w:shd w:val="clear" w:color="auto" w:fill="F2F2F2"/>
          </w:tcPr>
          <w:p>
            <w:pPr>
              <w:jc w:val="right"/>
              <w:ind w:right="15"/>
              <w:spacing w:after="0"/>
              <w:rPr>
                <w:sz w:val="20"/>
                <w:szCs w:val="20"/>
                <w:color w:val="auto"/>
              </w:rPr>
            </w:pPr>
            <w:r>
              <w:rPr>
                <w:rFonts w:ascii="Arial" w:cs="Arial" w:eastAsia="Arial" w:hAnsi="Arial"/>
                <w:sz w:val="16"/>
                <w:szCs w:val="16"/>
                <w:color w:val="auto"/>
              </w:rPr>
              <w:t>29</w:t>
            </w:r>
          </w:p>
        </w:tc>
        <w:tc>
          <w:tcPr>
            <w:tcW w:w="3940" w:type="dxa"/>
            <w:vAlign w:val="bottom"/>
            <w:tcBorders>
              <w:top w:val="single" w:sz="8" w:color="F2F2F2"/>
              <w:left w:val="single" w:sz="8" w:color="F2F2F2"/>
            </w:tcBorders>
            <w:gridSpan w:val="13"/>
            <w:vMerge w:val="continue"/>
            <w:shd w:val="clear" w:color="auto" w:fill="F2F2F2"/>
          </w:tcPr>
          <w:p>
            <w:pPr>
              <w:spacing w:after="0"/>
              <w:rPr>
                <w:sz w:val="20"/>
                <w:szCs w:val="20"/>
                <w:color w:val="auto"/>
              </w:rPr>
            </w:pPr>
          </w:p>
        </w:tc>
        <w:tc>
          <w:tcPr>
            <w:tcW w:w="140" w:type="dxa"/>
            <w:vAlign w:val="bottom"/>
            <w:tcBorders>
              <w:top w:val="single" w:sz="8" w:color="F2F2F2"/>
            </w:tcBorders>
            <w:shd w:val="clear" w:color="auto" w:fill="F2F2F2"/>
          </w:tcPr>
          <w:p>
            <w:pPr>
              <w:spacing w:after="0"/>
              <w:rPr>
                <w:sz w:val="20"/>
                <w:szCs w:val="20"/>
                <w:color w:val="auto"/>
              </w:rPr>
            </w:pPr>
          </w:p>
        </w:tc>
        <w:tc>
          <w:tcPr>
            <w:tcW w:w="340" w:type="dxa"/>
            <w:vAlign w:val="bottom"/>
            <w:tcBorders>
              <w:top w:val="single" w:sz="8" w:color="F2F2F2"/>
            </w:tcBorders>
            <w:shd w:val="clear" w:color="auto" w:fill="F2F2F2"/>
          </w:tcPr>
          <w:p>
            <w:pPr>
              <w:spacing w:after="0"/>
              <w:rPr>
                <w:sz w:val="20"/>
                <w:szCs w:val="20"/>
                <w:color w:val="auto"/>
              </w:rPr>
            </w:pPr>
          </w:p>
        </w:tc>
        <w:tc>
          <w:tcPr>
            <w:tcW w:w="640" w:type="dxa"/>
            <w:vAlign w:val="bottom"/>
            <w:tcBorders>
              <w:top w:val="single" w:sz="8" w:color="F2F2F2"/>
              <w:right w:val="single" w:sz="8" w:color="F2F2F2"/>
            </w:tcBorders>
            <w:vMerge w:val="restart"/>
            <w:shd w:val="clear" w:color="auto" w:fill="F2F2F2"/>
          </w:tcPr>
          <w:p>
            <w:pPr>
              <w:jc w:val="right"/>
              <w:ind w:right="16"/>
              <w:spacing w:after="0"/>
              <w:rPr>
                <w:sz w:val="20"/>
                <w:szCs w:val="20"/>
                <w:color w:val="auto"/>
              </w:rPr>
            </w:pPr>
            <w:r>
              <w:rPr>
                <w:rFonts w:ascii="Arial" w:cs="Arial" w:eastAsia="Arial" w:hAnsi="Arial"/>
                <w:sz w:val="16"/>
                <w:szCs w:val="16"/>
                <w:color w:val="auto"/>
              </w:rPr>
              <w:t>36</w:t>
            </w:r>
          </w:p>
        </w:tc>
        <w:tc>
          <w:tcPr>
            <w:tcW w:w="2040" w:type="dxa"/>
            <w:vAlign w:val="bottom"/>
            <w:tcBorders>
              <w:top w:val="single" w:sz="8" w:color="4A7EBB"/>
            </w:tcBorders>
            <w:gridSpan w:val="5"/>
            <w:vMerge w:val="restart"/>
            <w:shd w:val="clear" w:color="auto" w:fill="F2F2F2"/>
          </w:tcPr>
          <w:p>
            <w:pPr>
              <w:spacing w:after="0"/>
              <w:rPr>
                <w:sz w:val="20"/>
                <w:szCs w:val="20"/>
                <w:color w:val="auto"/>
              </w:rPr>
            </w:pPr>
            <w:r>
              <w:rPr>
                <w:rFonts w:ascii="Arial" w:cs="Arial" w:eastAsia="Arial" w:hAnsi="Arial"/>
                <w:sz w:val="16"/>
                <w:szCs w:val="16"/>
                <w:color w:val="0000EE"/>
              </w:rPr>
              <w:t>Stock Ownership Guidelines</w:t>
            </w:r>
          </w:p>
        </w:tc>
        <w:tc>
          <w:tcPr>
            <w:tcW w:w="180" w:type="dxa"/>
            <w:vAlign w:val="bottom"/>
            <w:tcBorders>
              <w:top w:val="single" w:sz="8" w:color="4A7EBB"/>
            </w:tcBorders>
            <w:shd w:val="clear" w:color="auto" w:fill="F2F2F2"/>
          </w:tcPr>
          <w:p>
            <w:pPr>
              <w:spacing w:after="0"/>
              <w:rPr>
                <w:sz w:val="20"/>
                <w:szCs w:val="20"/>
                <w:color w:val="auto"/>
              </w:rPr>
            </w:pPr>
          </w:p>
        </w:tc>
        <w:tc>
          <w:tcPr>
            <w:tcW w:w="820" w:type="dxa"/>
            <w:vAlign w:val="bottom"/>
            <w:tcBorders>
              <w:top w:val="single" w:sz="8" w:color="4A7EBB"/>
            </w:tcBorders>
            <w:shd w:val="clear" w:color="auto" w:fill="F2F2F2"/>
          </w:tcPr>
          <w:p>
            <w:pPr>
              <w:spacing w:after="0"/>
              <w:rPr>
                <w:sz w:val="20"/>
                <w:szCs w:val="20"/>
                <w:color w:val="auto"/>
              </w:rPr>
            </w:pPr>
          </w:p>
        </w:tc>
        <w:tc>
          <w:tcPr>
            <w:tcW w:w="200" w:type="dxa"/>
            <w:vAlign w:val="bottom"/>
            <w:tcBorders>
              <w:top w:val="single" w:sz="8" w:color="4A7EBB"/>
            </w:tcBorders>
            <w:shd w:val="clear" w:color="auto" w:fill="F2F2F2"/>
          </w:tcPr>
          <w:p>
            <w:pPr>
              <w:spacing w:after="0"/>
              <w:rPr>
                <w:sz w:val="20"/>
                <w:szCs w:val="20"/>
                <w:color w:val="auto"/>
              </w:rPr>
            </w:pPr>
          </w:p>
        </w:tc>
        <w:tc>
          <w:tcPr>
            <w:tcW w:w="60" w:type="dxa"/>
            <w:vAlign w:val="bottom"/>
            <w:tcBorders>
              <w:top w:val="single" w:sz="8" w:color="4A7EBB"/>
            </w:tcBorders>
            <w:shd w:val="clear" w:color="auto" w:fill="F2F2F2"/>
          </w:tcPr>
          <w:p>
            <w:pPr>
              <w:spacing w:after="0"/>
              <w:rPr>
                <w:sz w:val="20"/>
                <w:szCs w:val="20"/>
                <w:color w:val="auto"/>
              </w:rPr>
            </w:pPr>
          </w:p>
        </w:tc>
        <w:tc>
          <w:tcPr>
            <w:tcW w:w="220" w:type="dxa"/>
            <w:vAlign w:val="bottom"/>
            <w:tcBorders>
              <w:top w:val="single" w:sz="8" w:color="4A7EBB"/>
            </w:tcBorders>
            <w:shd w:val="clear" w:color="auto" w:fill="F2F2F2"/>
          </w:tcPr>
          <w:p>
            <w:pPr>
              <w:spacing w:after="0"/>
              <w:rPr>
                <w:sz w:val="20"/>
                <w:szCs w:val="20"/>
                <w:color w:val="auto"/>
              </w:rPr>
            </w:pPr>
          </w:p>
        </w:tc>
        <w:tc>
          <w:tcPr>
            <w:tcW w:w="20" w:type="dxa"/>
            <w:vAlign w:val="bottom"/>
            <w:tcBorders>
              <w:top w:val="single" w:sz="8" w:color="4A7EBB"/>
            </w:tcBorders>
            <w:shd w:val="clear" w:color="auto" w:fill="F2F2F2"/>
          </w:tcPr>
          <w:p>
            <w:pPr>
              <w:spacing w:after="0"/>
              <w:rPr>
                <w:sz w:val="20"/>
                <w:szCs w:val="20"/>
                <w:color w:val="auto"/>
              </w:rPr>
            </w:pPr>
          </w:p>
        </w:tc>
        <w:tc>
          <w:tcPr>
            <w:tcW w:w="160" w:type="dxa"/>
            <w:vAlign w:val="bottom"/>
            <w:tcBorders>
              <w:top w:val="single" w:sz="8" w:color="4A7EBB"/>
            </w:tcBorders>
            <w:shd w:val="clear" w:color="auto" w:fill="F2F2F2"/>
          </w:tcPr>
          <w:p>
            <w:pPr>
              <w:spacing w:after="0"/>
              <w:rPr>
                <w:sz w:val="20"/>
                <w:szCs w:val="20"/>
                <w:color w:val="auto"/>
              </w:rPr>
            </w:pPr>
          </w:p>
        </w:tc>
        <w:tc>
          <w:tcPr>
            <w:tcW w:w="80" w:type="dxa"/>
            <w:vAlign w:val="bottom"/>
            <w:tcBorders>
              <w:top w:val="single" w:sz="8" w:color="F2F2F2"/>
            </w:tcBorders>
            <w:shd w:val="clear" w:color="auto" w:fill="F2F2F2"/>
          </w:tcPr>
          <w:p>
            <w:pPr>
              <w:spacing w:after="0"/>
              <w:rPr>
                <w:sz w:val="20"/>
                <w:szCs w:val="20"/>
                <w:color w:val="auto"/>
              </w:rPr>
            </w:pPr>
          </w:p>
        </w:tc>
        <w:tc>
          <w:tcPr>
            <w:tcW w:w="80" w:type="dxa"/>
            <w:vAlign w:val="bottom"/>
            <w:tcBorders>
              <w:top w:val="single" w:sz="8" w:color="F2F2F2"/>
            </w:tcBorders>
            <w:shd w:val="clear" w:color="auto" w:fill="F2F2F2"/>
          </w:tcPr>
          <w:p>
            <w:pPr>
              <w:spacing w:after="0"/>
              <w:rPr>
                <w:sz w:val="20"/>
                <w:szCs w:val="20"/>
                <w:color w:val="auto"/>
              </w:rPr>
            </w:pPr>
          </w:p>
        </w:tc>
        <w:tc>
          <w:tcPr>
            <w:tcW w:w="0" w:type="dxa"/>
            <w:vAlign w:val="bottom"/>
          </w:tcPr>
          <w:p>
            <w:pPr>
              <w:spacing w:after="0"/>
              <w:rPr>
                <w:sz w:val="1"/>
                <w:szCs w:val="1"/>
                <w:color w:val="auto"/>
              </w:rPr>
            </w:pPr>
          </w:p>
        </w:tc>
      </w:tr>
      <w:tr>
        <w:trPr>
          <w:trHeight w:val="75"/>
        </w:trPr>
        <w:tc>
          <w:tcPr>
            <w:tcW w:w="1000" w:type="dxa"/>
            <w:vAlign w:val="bottom"/>
            <w:tcBorders>
              <w:top w:val="single" w:sz="8" w:color="F2F2F2"/>
              <w:bottom w:val="single" w:sz="8" w:color="F2F2F2"/>
            </w:tcBorders>
            <w:vMerge w:val="continue"/>
            <w:shd w:val="clear" w:color="auto" w:fill="F2F2F2"/>
          </w:tcPr>
          <w:p>
            <w:pPr>
              <w:spacing w:after="0"/>
              <w:rPr>
                <w:sz w:val="6"/>
                <w:szCs w:val="6"/>
                <w:color w:val="auto"/>
              </w:rPr>
            </w:pPr>
          </w:p>
        </w:tc>
        <w:tc>
          <w:tcPr>
            <w:tcW w:w="740" w:type="dxa"/>
            <w:vAlign w:val="bottom"/>
            <w:tcBorders>
              <w:top w:val="single" w:sz="8" w:color="0000EE"/>
              <w:left w:val="single" w:sz="8" w:color="F2F2F2"/>
              <w:bottom w:val="single" w:sz="8" w:color="0000EE"/>
            </w:tcBorders>
            <w:vMerge w:val="restart"/>
            <w:shd w:val="clear" w:color="auto" w:fill="F2F2F2"/>
          </w:tcPr>
          <w:p>
            <w:pPr>
              <w:spacing w:after="0" w:line="169" w:lineRule="exact"/>
              <w:rPr>
                <w:sz w:val="20"/>
                <w:szCs w:val="20"/>
                <w:color w:val="auto"/>
              </w:rPr>
            </w:pPr>
            <w:r>
              <w:rPr>
                <w:rFonts w:ascii="Arial" w:cs="Arial" w:eastAsia="Arial" w:hAnsi="Arial"/>
                <w:sz w:val="16"/>
                <w:szCs w:val="16"/>
                <w:color w:val="0000EE"/>
                <w:w w:val="99"/>
              </w:rPr>
              <w:t>Response</w:t>
            </w:r>
          </w:p>
        </w:tc>
        <w:tc>
          <w:tcPr>
            <w:tcW w:w="2460" w:type="dxa"/>
            <w:vAlign w:val="bottom"/>
            <w:tcBorders>
              <w:top w:val="single" w:sz="8" w:color="0000EE"/>
              <w:bottom w:val="single" w:sz="8" w:color="0000EE"/>
            </w:tcBorders>
            <w:gridSpan w:val="8"/>
            <w:vMerge w:val="restart"/>
            <w:shd w:val="clear" w:color="auto" w:fill="F2F2F2"/>
          </w:tcPr>
          <w:p>
            <w:pPr>
              <w:spacing w:after="0"/>
              <w:rPr>
                <w:sz w:val="6"/>
                <w:szCs w:val="6"/>
                <w:color w:val="auto"/>
              </w:rPr>
            </w:pPr>
          </w:p>
        </w:tc>
        <w:tc>
          <w:tcPr>
            <w:tcW w:w="80" w:type="dxa"/>
            <w:vAlign w:val="bottom"/>
            <w:tcBorders>
              <w:top w:val="single" w:sz="8" w:color="F2F2F2"/>
              <w:bottom w:val="single" w:sz="8" w:color="F2F2F2"/>
            </w:tcBorders>
            <w:shd w:val="clear" w:color="auto" w:fill="F2F2F2"/>
          </w:tcPr>
          <w:p>
            <w:pPr>
              <w:spacing w:after="0"/>
              <w:rPr>
                <w:sz w:val="6"/>
                <w:szCs w:val="6"/>
                <w:color w:val="auto"/>
              </w:rPr>
            </w:pPr>
          </w:p>
        </w:tc>
        <w:tc>
          <w:tcPr>
            <w:tcW w:w="460" w:type="dxa"/>
            <w:vAlign w:val="bottom"/>
            <w:tcBorders>
              <w:top w:val="single" w:sz="8" w:color="F2F2F2"/>
              <w:bottom w:val="single" w:sz="8" w:color="F2F2F2"/>
            </w:tcBorders>
            <w:shd w:val="clear" w:color="auto" w:fill="F2F2F2"/>
          </w:tcPr>
          <w:p>
            <w:pPr>
              <w:spacing w:after="0"/>
              <w:rPr>
                <w:sz w:val="6"/>
                <w:szCs w:val="6"/>
                <w:color w:val="auto"/>
              </w:rPr>
            </w:pPr>
          </w:p>
        </w:tc>
        <w:tc>
          <w:tcPr>
            <w:tcW w:w="20" w:type="dxa"/>
            <w:vAlign w:val="bottom"/>
            <w:tcBorders>
              <w:top w:val="single" w:sz="8" w:color="F2F2F2"/>
              <w:bottom w:val="single" w:sz="8" w:color="F2F2F2"/>
            </w:tcBorders>
            <w:shd w:val="clear" w:color="auto" w:fill="F2F2F2"/>
          </w:tcPr>
          <w:p>
            <w:pPr>
              <w:spacing w:after="0"/>
              <w:rPr>
                <w:sz w:val="6"/>
                <w:szCs w:val="6"/>
                <w:color w:val="auto"/>
              </w:rPr>
            </w:pPr>
          </w:p>
        </w:tc>
        <w:tc>
          <w:tcPr>
            <w:tcW w:w="180" w:type="dxa"/>
            <w:vAlign w:val="bottom"/>
            <w:tcBorders>
              <w:top w:val="single" w:sz="8" w:color="F2F2F2"/>
              <w:bottom w:val="single" w:sz="8" w:color="F2F2F2"/>
            </w:tcBorders>
            <w:shd w:val="clear" w:color="auto" w:fill="F2F2F2"/>
          </w:tcPr>
          <w:p>
            <w:pPr>
              <w:spacing w:after="0"/>
              <w:rPr>
                <w:sz w:val="6"/>
                <w:szCs w:val="6"/>
                <w:color w:val="auto"/>
              </w:rPr>
            </w:pPr>
          </w:p>
        </w:tc>
        <w:tc>
          <w:tcPr>
            <w:tcW w:w="140" w:type="dxa"/>
            <w:vAlign w:val="bottom"/>
            <w:tcBorders>
              <w:top w:val="single" w:sz="8" w:color="F2F2F2"/>
              <w:bottom w:val="single" w:sz="8" w:color="F2F2F2"/>
            </w:tcBorders>
            <w:shd w:val="clear" w:color="auto" w:fill="F2F2F2"/>
          </w:tcPr>
          <w:p>
            <w:pPr>
              <w:spacing w:after="0"/>
              <w:rPr>
                <w:sz w:val="6"/>
                <w:szCs w:val="6"/>
                <w:color w:val="auto"/>
              </w:rPr>
            </w:pPr>
          </w:p>
        </w:tc>
        <w:tc>
          <w:tcPr>
            <w:tcW w:w="340" w:type="dxa"/>
            <w:vAlign w:val="bottom"/>
            <w:tcBorders>
              <w:top w:val="single" w:sz="8" w:color="F2F2F2"/>
              <w:bottom w:val="single" w:sz="8" w:color="F2F2F2"/>
            </w:tcBorders>
            <w:shd w:val="clear" w:color="auto" w:fill="F2F2F2"/>
          </w:tcPr>
          <w:p>
            <w:pPr>
              <w:spacing w:after="0"/>
              <w:rPr>
                <w:sz w:val="6"/>
                <w:szCs w:val="6"/>
                <w:color w:val="auto"/>
              </w:rPr>
            </w:pPr>
          </w:p>
        </w:tc>
        <w:tc>
          <w:tcPr>
            <w:tcW w:w="640" w:type="dxa"/>
            <w:vAlign w:val="bottom"/>
            <w:tcBorders>
              <w:top w:val="single" w:sz="8" w:color="F2F2F2"/>
              <w:bottom w:val="single" w:sz="8" w:color="F2F2F2"/>
              <w:right w:val="single" w:sz="8" w:color="F2F2F2"/>
            </w:tcBorders>
            <w:vMerge w:val="continue"/>
            <w:shd w:val="clear" w:color="auto" w:fill="F2F2F2"/>
          </w:tcPr>
          <w:p>
            <w:pPr>
              <w:spacing w:after="0"/>
              <w:rPr>
                <w:sz w:val="6"/>
                <w:szCs w:val="6"/>
                <w:color w:val="auto"/>
              </w:rPr>
            </w:pPr>
          </w:p>
        </w:tc>
        <w:tc>
          <w:tcPr>
            <w:tcW w:w="2040" w:type="dxa"/>
            <w:vAlign w:val="bottom"/>
            <w:tcBorders>
              <w:top w:val="single" w:sz="8" w:color="4A7EBB"/>
              <w:bottom w:val="single" w:sz="8" w:color="0000EE"/>
            </w:tcBorders>
            <w:gridSpan w:val="5"/>
            <w:vMerge w:val="continue"/>
            <w:shd w:val="clear" w:color="auto" w:fill="F2F2F2"/>
          </w:tcPr>
          <w:p>
            <w:pPr>
              <w:spacing w:after="0"/>
              <w:rPr>
                <w:sz w:val="6"/>
                <w:szCs w:val="6"/>
                <w:color w:val="auto"/>
              </w:rPr>
            </w:pPr>
          </w:p>
        </w:tc>
        <w:tc>
          <w:tcPr>
            <w:tcW w:w="1000" w:type="dxa"/>
            <w:vAlign w:val="bottom"/>
            <w:tcBorders>
              <w:top w:val="single" w:sz="8" w:color="F2F2F2"/>
              <w:bottom w:val="single" w:sz="8" w:color="F2F2F2"/>
            </w:tcBorders>
            <w:gridSpan w:val="2"/>
            <w:vMerge w:val="restart"/>
            <w:shd w:val="clear" w:color="auto" w:fill="F2F2F2"/>
          </w:tcPr>
          <w:p>
            <w:pPr>
              <w:spacing w:after="0"/>
              <w:rPr>
                <w:sz w:val="6"/>
                <w:szCs w:val="6"/>
                <w:color w:val="auto"/>
              </w:rPr>
            </w:pPr>
          </w:p>
        </w:tc>
        <w:tc>
          <w:tcPr>
            <w:tcW w:w="200" w:type="dxa"/>
            <w:vAlign w:val="bottom"/>
            <w:tcBorders>
              <w:top w:val="single" w:sz="8" w:color="F2F2F2"/>
              <w:bottom w:val="single" w:sz="8" w:color="F2F2F2"/>
            </w:tcBorders>
            <w:vMerge w:val="restart"/>
            <w:shd w:val="clear" w:color="auto" w:fill="F2F2F2"/>
          </w:tcPr>
          <w:p>
            <w:pPr>
              <w:spacing w:after="0"/>
              <w:rPr>
                <w:sz w:val="6"/>
                <w:szCs w:val="6"/>
                <w:color w:val="auto"/>
              </w:rPr>
            </w:pPr>
          </w:p>
        </w:tc>
        <w:tc>
          <w:tcPr>
            <w:tcW w:w="60" w:type="dxa"/>
            <w:vAlign w:val="bottom"/>
            <w:tcBorders>
              <w:top w:val="single" w:sz="8" w:color="F2F2F2"/>
              <w:bottom w:val="single" w:sz="8" w:color="F2F2F2"/>
            </w:tcBorders>
            <w:vMerge w:val="restart"/>
            <w:shd w:val="clear" w:color="auto" w:fill="F2F2F2"/>
          </w:tcPr>
          <w:p>
            <w:pPr>
              <w:spacing w:after="0"/>
              <w:rPr>
                <w:sz w:val="6"/>
                <w:szCs w:val="6"/>
                <w:color w:val="auto"/>
              </w:rPr>
            </w:pPr>
          </w:p>
        </w:tc>
        <w:tc>
          <w:tcPr>
            <w:tcW w:w="220" w:type="dxa"/>
            <w:vAlign w:val="bottom"/>
            <w:tcBorders>
              <w:top w:val="single" w:sz="8" w:color="F2F2F2"/>
              <w:bottom w:val="single" w:sz="8" w:color="F2F2F2"/>
            </w:tcBorders>
            <w:vMerge w:val="restart"/>
            <w:shd w:val="clear" w:color="auto" w:fill="F2F2F2"/>
          </w:tcPr>
          <w:p>
            <w:pPr>
              <w:spacing w:after="0"/>
              <w:rPr>
                <w:sz w:val="6"/>
                <w:szCs w:val="6"/>
                <w:color w:val="auto"/>
              </w:rPr>
            </w:pPr>
          </w:p>
        </w:tc>
        <w:tc>
          <w:tcPr>
            <w:tcW w:w="260" w:type="dxa"/>
            <w:vAlign w:val="bottom"/>
            <w:tcBorders>
              <w:top w:val="single" w:sz="8" w:color="F2F2F2"/>
              <w:bottom w:val="single" w:sz="8" w:color="F2F2F2"/>
            </w:tcBorders>
            <w:gridSpan w:val="3"/>
            <w:vMerge w:val="restart"/>
            <w:shd w:val="clear" w:color="auto" w:fill="F2F2F2"/>
          </w:tcPr>
          <w:p>
            <w:pPr>
              <w:spacing w:after="0"/>
              <w:rPr>
                <w:sz w:val="6"/>
                <w:szCs w:val="6"/>
                <w:color w:val="auto"/>
              </w:rPr>
            </w:pPr>
          </w:p>
        </w:tc>
        <w:tc>
          <w:tcPr>
            <w:tcW w:w="80" w:type="dxa"/>
            <w:vAlign w:val="bottom"/>
            <w:tcBorders>
              <w:top w:val="single" w:sz="8" w:color="F2F2F2"/>
              <w:bottom w:val="single" w:sz="8" w:color="F2F2F2"/>
            </w:tcBorders>
            <w:vMerge w:val="restart"/>
            <w:shd w:val="clear" w:color="auto" w:fill="F2F2F2"/>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1000" w:type="dxa"/>
            <w:vAlign w:val="bottom"/>
            <w:tcBorders>
              <w:bottom w:val="single" w:sz="8" w:color="F2F2F2"/>
            </w:tcBorders>
            <w:vMerge w:val="continue"/>
            <w:shd w:val="clear" w:color="auto" w:fill="F2F2F2"/>
          </w:tcPr>
          <w:p>
            <w:pPr>
              <w:spacing w:after="0"/>
              <w:rPr>
                <w:sz w:val="6"/>
                <w:szCs w:val="6"/>
                <w:color w:val="auto"/>
              </w:rPr>
            </w:pPr>
          </w:p>
        </w:tc>
        <w:tc>
          <w:tcPr>
            <w:tcW w:w="740" w:type="dxa"/>
            <w:vAlign w:val="bottom"/>
            <w:tcBorders>
              <w:left w:val="single" w:sz="8" w:color="F2F2F2"/>
              <w:bottom w:val="single" w:sz="8" w:color="0000EE"/>
            </w:tcBorders>
            <w:vMerge w:val="continue"/>
            <w:shd w:val="clear" w:color="auto" w:fill="F2F2F2"/>
          </w:tcPr>
          <w:p>
            <w:pPr>
              <w:spacing w:after="0"/>
              <w:rPr>
                <w:sz w:val="6"/>
                <w:szCs w:val="6"/>
                <w:color w:val="auto"/>
              </w:rPr>
            </w:pPr>
          </w:p>
        </w:tc>
        <w:tc>
          <w:tcPr>
            <w:tcW w:w="2460" w:type="dxa"/>
            <w:vAlign w:val="bottom"/>
            <w:tcBorders>
              <w:bottom w:val="single" w:sz="8" w:color="F2F2F2"/>
            </w:tcBorders>
            <w:gridSpan w:val="8"/>
            <w:vMerge w:val="continue"/>
            <w:shd w:val="clear" w:color="auto" w:fill="F2F2F2"/>
          </w:tcPr>
          <w:p>
            <w:pPr>
              <w:spacing w:after="0"/>
              <w:rPr>
                <w:sz w:val="6"/>
                <w:szCs w:val="6"/>
                <w:color w:val="auto"/>
              </w:rPr>
            </w:pPr>
          </w:p>
        </w:tc>
        <w:tc>
          <w:tcPr>
            <w:tcW w:w="80" w:type="dxa"/>
            <w:vAlign w:val="bottom"/>
            <w:tcBorders>
              <w:bottom w:val="single" w:sz="8" w:color="F2F2F2"/>
            </w:tcBorders>
            <w:shd w:val="clear" w:color="auto" w:fill="F2F2F2"/>
          </w:tcPr>
          <w:p>
            <w:pPr>
              <w:spacing w:after="0"/>
              <w:rPr>
                <w:sz w:val="6"/>
                <w:szCs w:val="6"/>
                <w:color w:val="auto"/>
              </w:rPr>
            </w:pPr>
          </w:p>
        </w:tc>
        <w:tc>
          <w:tcPr>
            <w:tcW w:w="460" w:type="dxa"/>
            <w:vAlign w:val="bottom"/>
            <w:tcBorders>
              <w:bottom w:val="single" w:sz="8" w:color="F2F2F2"/>
            </w:tcBorders>
            <w:shd w:val="clear" w:color="auto" w:fill="F2F2F2"/>
          </w:tcPr>
          <w:p>
            <w:pPr>
              <w:spacing w:after="0"/>
              <w:rPr>
                <w:sz w:val="6"/>
                <w:szCs w:val="6"/>
                <w:color w:val="auto"/>
              </w:rPr>
            </w:pPr>
          </w:p>
        </w:tc>
        <w:tc>
          <w:tcPr>
            <w:tcW w:w="20" w:type="dxa"/>
            <w:vAlign w:val="bottom"/>
            <w:tcBorders>
              <w:bottom w:val="single" w:sz="8" w:color="F2F2F2"/>
            </w:tcBorders>
            <w:shd w:val="clear" w:color="auto" w:fill="F2F2F2"/>
          </w:tcPr>
          <w:p>
            <w:pPr>
              <w:spacing w:after="0"/>
              <w:rPr>
                <w:sz w:val="6"/>
                <w:szCs w:val="6"/>
                <w:color w:val="auto"/>
              </w:rPr>
            </w:pPr>
          </w:p>
        </w:tc>
        <w:tc>
          <w:tcPr>
            <w:tcW w:w="180" w:type="dxa"/>
            <w:vAlign w:val="bottom"/>
            <w:tcBorders>
              <w:bottom w:val="single" w:sz="8" w:color="F2F2F2"/>
            </w:tcBorders>
            <w:shd w:val="clear" w:color="auto" w:fill="F2F2F2"/>
          </w:tcPr>
          <w:p>
            <w:pPr>
              <w:spacing w:after="0"/>
              <w:rPr>
                <w:sz w:val="6"/>
                <w:szCs w:val="6"/>
                <w:color w:val="auto"/>
              </w:rPr>
            </w:pPr>
          </w:p>
        </w:tc>
        <w:tc>
          <w:tcPr>
            <w:tcW w:w="140" w:type="dxa"/>
            <w:vAlign w:val="bottom"/>
            <w:tcBorders>
              <w:bottom w:val="single" w:sz="8" w:color="F2F2F2"/>
            </w:tcBorders>
            <w:shd w:val="clear" w:color="auto" w:fill="F2F2F2"/>
          </w:tcPr>
          <w:p>
            <w:pPr>
              <w:spacing w:after="0"/>
              <w:rPr>
                <w:sz w:val="6"/>
                <w:szCs w:val="6"/>
                <w:color w:val="auto"/>
              </w:rPr>
            </w:pPr>
          </w:p>
        </w:tc>
        <w:tc>
          <w:tcPr>
            <w:tcW w:w="340" w:type="dxa"/>
            <w:vAlign w:val="bottom"/>
            <w:tcBorders>
              <w:bottom w:val="single" w:sz="8" w:color="F2F2F2"/>
            </w:tcBorders>
            <w:shd w:val="clear" w:color="auto" w:fill="F2F2F2"/>
          </w:tcPr>
          <w:p>
            <w:pPr>
              <w:spacing w:after="0"/>
              <w:rPr>
                <w:sz w:val="6"/>
                <w:szCs w:val="6"/>
                <w:color w:val="auto"/>
              </w:rPr>
            </w:pPr>
          </w:p>
        </w:tc>
        <w:tc>
          <w:tcPr>
            <w:tcW w:w="640" w:type="dxa"/>
            <w:vAlign w:val="bottom"/>
            <w:tcBorders>
              <w:bottom w:val="single" w:sz="8" w:color="F2F2F2"/>
              <w:right w:val="single" w:sz="8" w:color="F2F2F2"/>
            </w:tcBorders>
            <w:vMerge w:val="continue"/>
            <w:shd w:val="clear" w:color="auto" w:fill="F2F2F2"/>
          </w:tcPr>
          <w:p>
            <w:pPr>
              <w:spacing w:after="0"/>
              <w:rPr>
                <w:sz w:val="6"/>
                <w:szCs w:val="6"/>
                <w:color w:val="auto"/>
              </w:rPr>
            </w:pPr>
          </w:p>
        </w:tc>
        <w:tc>
          <w:tcPr>
            <w:tcW w:w="1460" w:type="dxa"/>
            <w:vAlign w:val="bottom"/>
            <w:tcBorders>
              <w:bottom w:val="single" w:sz="8" w:color="F2F2F2"/>
              <w:right w:val="single" w:sz="8" w:color="F2F2F2"/>
            </w:tcBorders>
            <w:shd w:val="clear" w:color="auto" w:fill="F2F2F2"/>
          </w:tcPr>
          <w:p>
            <w:pPr>
              <w:spacing w:after="0"/>
              <w:rPr>
                <w:sz w:val="6"/>
                <w:szCs w:val="6"/>
                <w:color w:val="auto"/>
              </w:rPr>
            </w:pPr>
          </w:p>
        </w:tc>
        <w:tc>
          <w:tcPr>
            <w:tcW w:w="380" w:type="dxa"/>
            <w:vAlign w:val="bottom"/>
            <w:tcBorders>
              <w:bottom w:val="single" w:sz="8" w:color="F2F2F2"/>
            </w:tcBorders>
            <w:gridSpan w:val="2"/>
            <w:shd w:val="clear" w:color="auto" w:fill="F2F2F2"/>
          </w:tcPr>
          <w:p>
            <w:pPr>
              <w:spacing w:after="0"/>
              <w:rPr>
                <w:sz w:val="6"/>
                <w:szCs w:val="6"/>
                <w:color w:val="auto"/>
              </w:rPr>
            </w:pPr>
          </w:p>
        </w:tc>
        <w:tc>
          <w:tcPr>
            <w:tcW w:w="40" w:type="dxa"/>
            <w:vAlign w:val="bottom"/>
            <w:tcBorders>
              <w:bottom w:val="single" w:sz="8" w:color="F2F2F2"/>
            </w:tcBorders>
            <w:shd w:val="clear" w:color="auto" w:fill="F2F2F2"/>
          </w:tcPr>
          <w:p>
            <w:pPr>
              <w:spacing w:after="0"/>
              <w:rPr>
                <w:sz w:val="6"/>
                <w:szCs w:val="6"/>
                <w:color w:val="auto"/>
              </w:rPr>
            </w:pPr>
          </w:p>
        </w:tc>
        <w:tc>
          <w:tcPr>
            <w:tcW w:w="160" w:type="dxa"/>
            <w:vAlign w:val="bottom"/>
            <w:tcBorders>
              <w:bottom w:val="single" w:sz="8" w:color="F2F2F2"/>
            </w:tcBorders>
            <w:shd w:val="clear" w:color="auto" w:fill="F2F2F2"/>
          </w:tcPr>
          <w:p>
            <w:pPr>
              <w:spacing w:after="0"/>
              <w:rPr>
                <w:sz w:val="6"/>
                <w:szCs w:val="6"/>
                <w:color w:val="auto"/>
              </w:rPr>
            </w:pPr>
          </w:p>
        </w:tc>
        <w:tc>
          <w:tcPr>
            <w:tcW w:w="1000" w:type="dxa"/>
            <w:vAlign w:val="bottom"/>
            <w:tcBorders>
              <w:bottom w:val="single" w:sz="8" w:color="F2F2F2"/>
            </w:tcBorders>
            <w:gridSpan w:val="2"/>
            <w:vMerge w:val="continue"/>
            <w:shd w:val="clear" w:color="auto" w:fill="F2F2F2"/>
          </w:tcPr>
          <w:p>
            <w:pPr>
              <w:spacing w:after="0"/>
              <w:rPr>
                <w:sz w:val="6"/>
                <w:szCs w:val="6"/>
                <w:color w:val="auto"/>
              </w:rPr>
            </w:pPr>
          </w:p>
        </w:tc>
        <w:tc>
          <w:tcPr>
            <w:tcW w:w="200" w:type="dxa"/>
            <w:vAlign w:val="bottom"/>
            <w:tcBorders>
              <w:bottom w:val="single" w:sz="8" w:color="F2F2F2"/>
            </w:tcBorders>
            <w:vMerge w:val="continue"/>
            <w:shd w:val="clear" w:color="auto" w:fill="F2F2F2"/>
          </w:tcPr>
          <w:p>
            <w:pPr>
              <w:spacing w:after="0"/>
              <w:rPr>
                <w:sz w:val="6"/>
                <w:szCs w:val="6"/>
                <w:color w:val="auto"/>
              </w:rPr>
            </w:pPr>
          </w:p>
        </w:tc>
        <w:tc>
          <w:tcPr>
            <w:tcW w:w="60" w:type="dxa"/>
            <w:vAlign w:val="bottom"/>
            <w:tcBorders>
              <w:bottom w:val="single" w:sz="8" w:color="F2F2F2"/>
            </w:tcBorders>
            <w:vMerge w:val="continue"/>
            <w:shd w:val="clear" w:color="auto" w:fill="F2F2F2"/>
          </w:tcPr>
          <w:p>
            <w:pPr>
              <w:spacing w:after="0"/>
              <w:rPr>
                <w:sz w:val="6"/>
                <w:szCs w:val="6"/>
                <w:color w:val="auto"/>
              </w:rPr>
            </w:pPr>
          </w:p>
        </w:tc>
        <w:tc>
          <w:tcPr>
            <w:tcW w:w="220" w:type="dxa"/>
            <w:vAlign w:val="bottom"/>
            <w:tcBorders>
              <w:bottom w:val="single" w:sz="8" w:color="F2F2F2"/>
            </w:tcBorders>
            <w:vMerge w:val="continue"/>
            <w:shd w:val="clear" w:color="auto" w:fill="F2F2F2"/>
          </w:tcPr>
          <w:p>
            <w:pPr>
              <w:spacing w:after="0"/>
              <w:rPr>
                <w:sz w:val="6"/>
                <w:szCs w:val="6"/>
                <w:color w:val="auto"/>
              </w:rPr>
            </w:pPr>
          </w:p>
        </w:tc>
        <w:tc>
          <w:tcPr>
            <w:tcW w:w="260" w:type="dxa"/>
            <w:vAlign w:val="bottom"/>
            <w:tcBorders>
              <w:bottom w:val="single" w:sz="8" w:color="F2F2F2"/>
            </w:tcBorders>
            <w:gridSpan w:val="3"/>
            <w:vMerge w:val="continue"/>
            <w:shd w:val="clear" w:color="auto" w:fill="F2F2F2"/>
          </w:tcPr>
          <w:p>
            <w:pPr>
              <w:spacing w:after="0"/>
              <w:rPr>
                <w:sz w:val="6"/>
                <w:szCs w:val="6"/>
                <w:color w:val="auto"/>
              </w:rPr>
            </w:pPr>
          </w:p>
        </w:tc>
        <w:tc>
          <w:tcPr>
            <w:tcW w:w="80" w:type="dxa"/>
            <w:vAlign w:val="bottom"/>
            <w:tcBorders>
              <w:bottom w:val="single" w:sz="8" w:color="F2F2F2"/>
            </w:tcBorders>
            <w:vMerge w:val="continue"/>
            <w:shd w:val="clear" w:color="auto" w:fill="F2F2F2"/>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1000" w:type="dxa"/>
            <w:vAlign w:val="bottom"/>
            <w:tcBorders>
              <w:bottom w:val="single" w:sz="8" w:color="F2F2F2"/>
            </w:tcBorders>
            <w:vMerge w:val="restart"/>
            <w:shd w:val="clear" w:color="auto" w:fill="F2F2F2"/>
          </w:tcPr>
          <w:p>
            <w:pPr>
              <w:jc w:val="right"/>
              <w:ind w:right="15"/>
              <w:spacing w:after="0"/>
              <w:rPr>
                <w:sz w:val="20"/>
                <w:szCs w:val="20"/>
                <w:color w:val="auto"/>
              </w:rPr>
            </w:pPr>
            <w:r>
              <w:rPr>
                <w:rFonts w:ascii="Arial" w:cs="Arial" w:eastAsia="Arial" w:hAnsi="Arial"/>
                <w:sz w:val="16"/>
                <w:szCs w:val="16"/>
                <w:color w:val="auto"/>
              </w:rPr>
              <w:t>30</w:t>
            </w:r>
          </w:p>
        </w:tc>
        <w:tc>
          <w:tcPr>
            <w:tcW w:w="3760" w:type="dxa"/>
            <w:vAlign w:val="bottom"/>
            <w:tcBorders>
              <w:left w:val="single" w:sz="8" w:color="F2F2F2"/>
              <w:bottom w:val="single" w:sz="8" w:color="0000EE"/>
            </w:tcBorders>
            <w:gridSpan w:val="12"/>
            <w:shd w:val="clear" w:color="auto" w:fill="F2F2F2"/>
          </w:tcPr>
          <w:p>
            <w:pPr>
              <w:spacing w:after="0"/>
              <w:rPr>
                <w:sz w:val="20"/>
                <w:szCs w:val="20"/>
                <w:color w:val="auto"/>
              </w:rPr>
            </w:pPr>
            <w:r>
              <w:rPr>
                <w:rFonts w:ascii="Arial" w:cs="Arial" w:eastAsia="Arial" w:hAnsi="Arial"/>
                <w:sz w:val="16"/>
                <w:szCs w:val="16"/>
                <w:color w:val="0000EE"/>
              </w:rPr>
              <w:t>Our Pay Mix is Heavily Weighted Towards Incentive-</w:t>
            </w:r>
          </w:p>
        </w:tc>
        <w:tc>
          <w:tcPr>
            <w:tcW w:w="180" w:type="dxa"/>
            <w:vAlign w:val="bottom"/>
            <w:tcBorders>
              <w:bottom w:val="single" w:sz="8" w:color="F2F2F2"/>
            </w:tcBorders>
            <w:shd w:val="clear" w:color="auto" w:fill="F2F2F2"/>
          </w:tcPr>
          <w:p>
            <w:pPr>
              <w:spacing w:after="0"/>
              <w:rPr>
                <w:sz w:val="20"/>
                <w:szCs w:val="20"/>
                <w:color w:val="auto"/>
              </w:rPr>
            </w:pPr>
          </w:p>
        </w:tc>
        <w:tc>
          <w:tcPr>
            <w:tcW w:w="140" w:type="dxa"/>
            <w:vAlign w:val="bottom"/>
            <w:tcBorders>
              <w:bottom w:val="single" w:sz="8" w:color="F2F2F2"/>
            </w:tcBorders>
            <w:shd w:val="clear" w:color="auto" w:fill="F2F2F2"/>
          </w:tcPr>
          <w:p>
            <w:pPr>
              <w:spacing w:after="0"/>
              <w:rPr>
                <w:sz w:val="20"/>
                <w:szCs w:val="20"/>
                <w:color w:val="auto"/>
              </w:rPr>
            </w:pPr>
          </w:p>
        </w:tc>
        <w:tc>
          <w:tcPr>
            <w:tcW w:w="340" w:type="dxa"/>
            <w:vAlign w:val="bottom"/>
            <w:tcBorders>
              <w:bottom w:val="single" w:sz="8" w:color="F2F2F2"/>
            </w:tcBorders>
            <w:shd w:val="clear" w:color="auto" w:fill="F2F2F2"/>
          </w:tcPr>
          <w:p>
            <w:pPr>
              <w:spacing w:after="0"/>
              <w:rPr>
                <w:sz w:val="20"/>
                <w:szCs w:val="20"/>
                <w:color w:val="auto"/>
              </w:rPr>
            </w:pPr>
          </w:p>
        </w:tc>
        <w:tc>
          <w:tcPr>
            <w:tcW w:w="640" w:type="dxa"/>
            <w:vAlign w:val="bottom"/>
            <w:tcBorders>
              <w:bottom w:val="single" w:sz="8" w:color="F2F2F2"/>
              <w:right w:val="single" w:sz="8" w:color="F2F2F2"/>
            </w:tcBorders>
            <w:vMerge w:val="restart"/>
            <w:shd w:val="clear" w:color="auto" w:fill="F2F2F2"/>
          </w:tcPr>
          <w:p>
            <w:pPr>
              <w:jc w:val="right"/>
              <w:ind w:right="16"/>
              <w:spacing w:after="0"/>
              <w:rPr>
                <w:sz w:val="20"/>
                <w:szCs w:val="20"/>
                <w:color w:val="auto"/>
              </w:rPr>
            </w:pPr>
            <w:r>
              <w:rPr>
                <w:rFonts w:ascii="Arial" w:cs="Arial" w:eastAsia="Arial" w:hAnsi="Arial"/>
                <w:sz w:val="16"/>
                <w:szCs w:val="16"/>
                <w:color w:val="auto"/>
              </w:rPr>
              <w:t>36</w:t>
            </w:r>
          </w:p>
        </w:tc>
        <w:tc>
          <w:tcPr>
            <w:tcW w:w="3240" w:type="dxa"/>
            <w:vAlign w:val="bottom"/>
            <w:tcBorders>
              <w:bottom w:val="single" w:sz="8" w:color="0000EE"/>
            </w:tcBorders>
            <w:gridSpan w:val="8"/>
            <w:shd w:val="clear" w:color="auto" w:fill="F2F2F2"/>
          </w:tcPr>
          <w:p>
            <w:pPr>
              <w:spacing w:after="0"/>
              <w:rPr>
                <w:sz w:val="20"/>
                <w:szCs w:val="20"/>
                <w:color w:val="auto"/>
              </w:rPr>
            </w:pPr>
            <w:r>
              <w:rPr>
                <w:rFonts w:ascii="Arial" w:cs="Arial" w:eastAsia="Arial" w:hAnsi="Arial"/>
                <w:sz w:val="16"/>
                <w:szCs w:val="16"/>
                <w:color w:val="0000EE"/>
              </w:rPr>
              <w:t>Clawback/Executive Incentive Compensation</w:t>
            </w:r>
          </w:p>
        </w:tc>
        <w:tc>
          <w:tcPr>
            <w:tcW w:w="60" w:type="dxa"/>
            <w:vAlign w:val="bottom"/>
            <w:tcBorders>
              <w:bottom w:val="single" w:sz="8" w:color="F2F2F2"/>
            </w:tcBorders>
            <w:shd w:val="clear" w:color="auto" w:fill="F2F2F2"/>
          </w:tcPr>
          <w:p>
            <w:pPr>
              <w:spacing w:after="0"/>
              <w:rPr>
                <w:sz w:val="20"/>
                <w:szCs w:val="20"/>
                <w:color w:val="auto"/>
              </w:rPr>
            </w:pPr>
          </w:p>
        </w:tc>
        <w:tc>
          <w:tcPr>
            <w:tcW w:w="220" w:type="dxa"/>
            <w:vAlign w:val="bottom"/>
            <w:tcBorders>
              <w:bottom w:val="single" w:sz="8" w:color="F2F2F2"/>
            </w:tcBorders>
            <w:shd w:val="clear" w:color="auto" w:fill="F2F2F2"/>
          </w:tcPr>
          <w:p>
            <w:pPr>
              <w:spacing w:after="0"/>
              <w:rPr>
                <w:sz w:val="20"/>
                <w:szCs w:val="20"/>
                <w:color w:val="auto"/>
              </w:rPr>
            </w:pPr>
          </w:p>
        </w:tc>
        <w:tc>
          <w:tcPr>
            <w:tcW w:w="260" w:type="dxa"/>
            <w:vAlign w:val="bottom"/>
            <w:tcBorders>
              <w:bottom w:val="single" w:sz="8" w:color="F2F2F2"/>
            </w:tcBorders>
            <w:gridSpan w:val="3"/>
            <w:shd w:val="clear" w:color="auto" w:fill="F2F2F2"/>
          </w:tcPr>
          <w:p>
            <w:pPr>
              <w:spacing w:after="0"/>
              <w:rPr>
                <w:sz w:val="20"/>
                <w:szCs w:val="20"/>
                <w:color w:val="auto"/>
              </w:rPr>
            </w:pPr>
          </w:p>
        </w:tc>
        <w:tc>
          <w:tcPr>
            <w:tcW w:w="80" w:type="dxa"/>
            <w:vAlign w:val="bottom"/>
            <w:tcBorders>
              <w:bottom w:val="single" w:sz="8" w:color="F2F2F2"/>
            </w:tcBorders>
            <w:shd w:val="clear" w:color="auto" w:fill="F2F2F2"/>
          </w:tcPr>
          <w:p>
            <w:pPr>
              <w:spacing w:after="0"/>
              <w:rPr>
                <w:sz w:val="20"/>
                <w:szCs w:val="20"/>
                <w:color w:val="auto"/>
              </w:rPr>
            </w:pPr>
          </w:p>
        </w:tc>
        <w:tc>
          <w:tcPr>
            <w:tcW w:w="0" w:type="dxa"/>
            <w:vAlign w:val="bottom"/>
          </w:tcPr>
          <w:p>
            <w:pPr>
              <w:spacing w:after="0"/>
              <w:rPr>
                <w:sz w:val="1"/>
                <w:szCs w:val="1"/>
                <w:color w:val="auto"/>
              </w:rPr>
            </w:pPr>
          </w:p>
        </w:tc>
      </w:tr>
      <w:tr>
        <w:trPr>
          <w:trHeight w:val="113"/>
        </w:trPr>
        <w:tc>
          <w:tcPr>
            <w:tcW w:w="1000" w:type="dxa"/>
            <w:vAlign w:val="bottom"/>
            <w:vMerge w:val="continue"/>
            <w:shd w:val="clear" w:color="auto" w:fill="F2F2F2"/>
          </w:tcPr>
          <w:p>
            <w:pPr>
              <w:spacing w:after="0"/>
              <w:rPr>
                <w:sz w:val="9"/>
                <w:szCs w:val="9"/>
                <w:color w:val="auto"/>
              </w:rPr>
            </w:pPr>
          </w:p>
        </w:tc>
        <w:tc>
          <w:tcPr>
            <w:tcW w:w="1580" w:type="dxa"/>
            <w:vAlign w:val="bottom"/>
            <w:tcBorders>
              <w:left w:val="single" w:sz="8" w:color="F2F2F2"/>
              <w:right w:val="single" w:sz="8" w:color="F2F2F2"/>
            </w:tcBorders>
            <w:gridSpan w:val="4"/>
            <w:vMerge w:val="restart"/>
            <w:shd w:val="clear" w:color="auto" w:fill="F2F2F2"/>
          </w:tcPr>
          <w:p>
            <w:pPr>
              <w:spacing w:after="0" w:line="169" w:lineRule="exact"/>
              <w:rPr>
                <w:sz w:val="20"/>
                <w:szCs w:val="20"/>
                <w:color w:val="auto"/>
              </w:rPr>
            </w:pPr>
            <w:r>
              <w:rPr>
                <w:rFonts w:ascii="Arial" w:cs="Arial" w:eastAsia="Arial" w:hAnsi="Arial"/>
                <w:sz w:val="16"/>
                <w:szCs w:val="16"/>
                <w:color w:val="0000EE"/>
              </w:rPr>
              <w:t>Based Compensation</w:t>
            </w:r>
          </w:p>
        </w:tc>
        <w:tc>
          <w:tcPr>
            <w:tcW w:w="2360" w:type="dxa"/>
            <w:vAlign w:val="bottom"/>
            <w:gridSpan w:val="9"/>
            <w:vMerge w:val="restart"/>
            <w:shd w:val="clear" w:color="auto" w:fill="F2F2F2"/>
          </w:tcPr>
          <w:p>
            <w:pPr>
              <w:spacing w:after="0"/>
              <w:rPr>
                <w:sz w:val="9"/>
                <w:szCs w:val="9"/>
                <w:color w:val="auto"/>
              </w:rPr>
            </w:pPr>
          </w:p>
        </w:tc>
        <w:tc>
          <w:tcPr>
            <w:tcW w:w="140" w:type="dxa"/>
            <w:vAlign w:val="bottom"/>
            <w:shd w:val="clear" w:color="auto" w:fill="F2F2F2"/>
          </w:tcPr>
          <w:p>
            <w:pPr>
              <w:spacing w:after="0"/>
              <w:rPr>
                <w:sz w:val="9"/>
                <w:szCs w:val="9"/>
                <w:color w:val="auto"/>
              </w:rPr>
            </w:pPr>
          </w:p>
        </w:tc>
        <w:tc>
          <w:tcPr>
            <w:tcW w:w="340" w:type="dxa"/>
            <w:vAlign w:val="bottom"/>
            <w:shd w:val="clear" w:color="auto" w:fill="F2F2F2"/>
          </w:tcPr>
          <w:p>
            <w:pPr>
              <w:spacing w:after="0"/>
              <w:rPr>
                <w:sz w:val="9"/>
                <w:szCs w:val="9"/>
                <w:color w:val="auto"/>
              </w:rPr>
            </w:pPr>
          </w:p>
        </w:tc>
        <w:tc>
          <w:tcPr>
            <w:tcW w:w="640" w:type="dxa"/>
            <w:vAlign w:val="bottom"/>
            <w:tcBorders>
              <w:right w:val="single" w:sz="8" w:color="F2F2F2"/>
            </w:tcBorders>
            <w:vMerge w:val="continue"/>
            <w:shd w:val="clear" w:color="auto" w:fill="F2F2F2"/>
          </w:tcPr>
          <w:p>
            <w:pPr>
              <w:spacing w:after="0"/>
              <w:rPr>
                <w:sz w:val="9"/>
                <w:szCs w:val="9"/>
                <w:color w:val="auto"/>
              </w:rPr>
            </w:pPr>
          </w:p>
        </w:tc>
        <w:tc>
          <w:tcPr>
            <w:tcW w:w="3860" w:type="dxa"/>
            <w:vAlign w:val="bottom"/>
            <w:gridSpan w:val="14"/>
            <w:vMerge w:val="restart"/>
            <w:shd w:val="clear" w:color="auto" w:fill="F2F2F2"/>
          </w:tcPr>
          <w:p>
            <w:pPr>
              <w:spacing w:after="0" w:line="169" w:lineRule="exact"/>
              <w:rPr>
                <w:sz w:val="20"/>
                <w:szCs w:val="20"/>
                <w:color w:val="auto"/>
              </w:rPr>
            </w:pPr>
            <w:r>
              <w:rPr>
                <w:rFonts w:ascii="Arial" w:cs="Arial" w:eastAsia="Arial" w:hAnsi="Arial"/>
                <w:sz w:val="16"/>
                <w:szCs w:val="16"/>
                <w:color w:val="0000EE"/>
              </w:rPr>
              <w:t>Recoupment Policy</w:t>
            </w:r>
          </w:p>
        </w:tc>
        <w:tc>
          <w:tcPr>
            <w:tcW w:w="0" w:type="dxa"/>
            <w:vAlign w:val="bottom"/>
          </w:tcPr>
          <w:p>
            <w:pPr>
              <w:spacing w:after="0"/>
              <w:rPr>
                <w:sz w:val="1"/>
                <w:szCs w:val="1"/>
                <w:color w:val="auto"/>
              </w:rPr>
            </w:pPr>
          </w:p>
        </w:tc>
      </w:tr>
      <w:tr>
        <w:trPr>
          <w:trHeight w:val="56"/>
        </w:trPr>
        <w:tc>
          <w:tcPr>
            <w:tcW w:w="1000" w:type="dxa"/>
            <w:vAlign w:val="bottom"/>
            <w:shd w:val="clear" w:color="auto" w:fill="F2F2F2"/>
          </w:tcPr>
          <w:p>
            <w:pPr>
              <w:spacing w:after="0"/>
              <w:rPr>
                <w:sz w:val="4"/>
                <w:szCs w:val="4"/>
                <w:color w:val="auto"/>
              </w:rPr>
            </w:pPr>
          </w:p>
        </w:tc>
        <w:tc>
          <w:tcPr>
            <w:tcW w:w="1580" w:type="dxa"/>
            <w:vAlign w:val="bottom"/>
            <w:tcBorders>
              <w:left w:val="single" w:sz="8" w:color="F2F2F2"/>
              <w:right w:val="single" w:sz="8" w:color="F2F2F2"/>
            </w:tcBorders>
            <w:gridSpan w:val="4"/>
            <w:vMerge w:val="continue"/>
            <w:shd w:val="clear" w:color="auto" w:fill="F2F2F2"/>
          </w:tcPr>
          <w:p>
            <w:pPr>
              <w:spacing w:after="0"/>
              <w:rPr>
                <w:sz w:val="4"/>
                <w:szCs w:val="4"/>
                <w:color w:val="auto"/>
              </w:rPr>
            </w:pPr>
          </w:p>
        </w:tc>
        <w:tc>
          <w:tcPr>
            <w:tcW w:w="2360" w:type="dxa"/>
            <w:vAlign w:val="bottom"/>
            <w:gridSpan w:val="9"/>
            <w:vMerge w:val="continue"/>
            <w:shd w:val="clear" w:color="auto" w:fill="F2F2F2"/>
          </w:tcPr>
          <w:p>
            <w:pPr>
              <w:spacing w:after="0"/>
              <w:rPr>
                <w:sz w:val="4"/>
                <w:szCs w:val="4"/>
                <w:color w:val="auto"/>
              </w:rPr>
            </w:pPr>
          </w:p>
        </w:tc>
        <w:tc>
          <w:tcPr>
            <w:tcW w:w="140" w:type="dxa"/>
            <w:vAlign w:val="bottom"/>
            <w:shd w:val="clear" w:color="auto" w:fill="F2F2F2"/>
          </w:tcPr>
          <w:p>
            <w:pPr>
              <w:spacing w:after="0"/>
              <w:rPr>
                <w:sz w:val="4"/>
                <w:szCs w:val="4"/>
                <w:color w:val="auto"/>
              </w:rPr>
            </w:pPr>
          </w:p>
        </w:tc>
        <w:tc>
          <w:tcPr>
            <w:tcW w:w="340" w:type="dxa"/>
            <w:vAlign w:val="bottom"/>
            <w:shd w:val="clear" w:color="auto" w:fill="F2F2F2"/>
          </w:tcPr>
          <w:p>
            <w:pPr>
              <w:spacing w:after="0"/>
              <w:rPr>
                <w:sz w:val="4"/>
                <w:szCs w:val="4"/>
                <w:color w:val="auto"/>
              </w:rPr>
            </w:pPr>
          </w:p>
        </w:tc>
        <w:tc>
          <w:tcPr>
            <w:tcW w:w="640" w:type="dxa"/>
            <w:vAlign w:val="bottom"/>
            <w:tcBorders>
              <w:right w:val="single" w:sz="8" w:color="F2F2F2"/>
            </w:tcBorders>
            <w:shd w:val="clear" w:color="auto" w:fill="F2F2F2"/>
          </w:tcPr>
          <w:p>
            <w:pPr>
              <w:spacing w:after="0"/>
              <w:rPr>
                <w:sz w:val="4"/>
                <w:szCs w:val="4"/>
                <w:color w:val="auto"/>
              </w:rPr>
            </w:pPr>
          </w:p>
        </w:tc>
        <w:tc>
          <w:tcPr>
            <w:tcW w:w="3860" w:type="dxa"/>
            <w:vAlign w:val="bottom"/>
            <w:gridSpan w:val="14"/>
            <w:vMerge w:val="continue"/>
            <w:shd w:val="clear" w:color="auto" w:fill="F2F2F2"/>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000" w:type="dxa"/>
            <w:vAlign w:val="bottom"/>
            <w:shd w:val="clear" w:color="auto" w:fill="F2F2F2"/>
          </w:tcPr>
          <w:p>
            <w:pPr>
              <w:spacing w:after="0" w:line="20" w:lineRule="exact"/>
              <w:rPr>
                <w:sz w:val="1"/>
                <w:szCs w:val="1"/>
                <w:color w:val="auto"/>
              </w:rPr>
            </w:pPr>
          </w:p>
        </w:tc>
        <w:tc>
          <w:tcPr>
            <w:tcW w:w="880" w:type="dxa"/>
            <w:vAlign w:val="bottom"/>
            <w:tcBorders>
              <w:left w:val="single" w:sz="8" w:color="0000EE"/>
            </w:tcBorders>
            <w:gridSpan w:val="2"/>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F2F2F2"/>
            </w:tcBorders>
            <w:shd w:val="clear" w:color="auto" w:fill="F2F2F2"/>
          </w:tcPr>
          <w:p>
            <w:pPr>
              <w:spacing w:after="0" w:line="20" w:lineRule="exact"/>
              <w:rPr>
                <w:sz w:val="1"/>
                <w:szCs w:val="1"/>
                <w:color w:val="auto"/>
              </w:rPr>
            </w:pPr>
          </w:p>
        </w:tc>
        <w:tc>
          <w:tcPr>
            <w:tcW w:w="400" w:type="dxa"/>
            <w:vAlign w:val="bottom"/>
            <w:shd w:val="clear" w:color="auto" w:fill="F2F2F2"/>
          </w:tcPr>
          <w:p>
            <w:pPr>
              <w:spacing w:after="0" w:line="20" w:lineRule="exact"/>
              <w:rPr>
                <w:sz w:val="1"/>
                <w:szCs w:val="1"/>
                <w:color w:val="auto"/>
              </w:rPr>
            </w:pPr>
          </w:p>
        </w:tc>
        <w:tc>
          <w:tcPr>
            <w:tcW w:w="800" w:type="dxa"/>
            <w:vAlign w:val="bottom"/>
            <w:tcBorders>
              <w:right w:val="single" w:sz="8" w:color="F2F2F2"/>
            </w:tcBorders>
            <w:gridSpan w:val="2"/>
            <w:shd w:val="clear" w:color="auto" w:fill="F2F2F2"/>
          </w:tcPr>
          <w:p>
            <w:pPr>
              <w:spacing w:after="0" w:line="20" w:lineRule="exact"/>
              <w:rPr>
                <w:sz w:val="1"/>
                <w:szCs w:val="1"/>
                <w:color w:val="auto"/>
              </w:rPr>
            </w:pPr>
          </w:p>
        </w:tc>
        <w:tc>
          <w:tcPr>
            <w:tcW w:w="280" w:type="dxa"/>
            <w:vAlign w:val="bottom"/>
            <w:gridSpan w:val="2"/>
            <w:shd w:val="clear" w:color="auto" w:fill="F2F2F2"/>
          </w:tcPr>
          <w:p>
            <w:pPr>
              <w:spacing w:after="0" w:line="20" w:lineRule="exact"/>
              <w:rPr>
                <w:sz w:val="1"/>
                <w:szCs w:val="1"/>
                <w:color w:val="auto"/>
              </w:rPr>
            </w:pPr>
          </w:p>
        </w:tc>
        <w:tc>
          <w:tcPr>
            <w:tcW w:w="460" w:type="dxa"/>
            <w:vAlign w:val="bottom"/>
            <w:shd w:val="clear" w:color="auto" w:fill="F2F2F2"/>
          </w:tcPr>
          <w:p>
            <w:pPr>
              <w:spacing w:after="0" w:line="20" w:lineRule="exact"/>
              <w:rPr>
                <w:sz w:val="1"/>
                <w:szCs w:val="1"/>
                <w:color w:val="auto"/>
              </w:rPr>
            </w:pPr>
          </w:p>
        </w:tc>
        <w:tc>
          <w:tcPr>
            <w:tcW w:w="200" w:type="dxa"/>
            <w:vAlign w:val="bottom"/>
            <w:gridSpan w:val="2"/>
            <w:shd w:val="clear" w:color="auto" w:fill="F2F2F2"/>
          </w:tcPr>
          <w:p>
            <w:pPr>
              <w:spacing w:after="0" w:line="20" w:lineRule="exact"/>
              <w:rPr>
                <w:sz w:val="1"/>
                <w:szCs w:val="1"/>
                <w:color w:val="auto"/>
              </w:rPr>
            </w:pPr>
          </w:p>
        </w:tc>
        <w:tc>
          <w:tcPr>
            <w:tcW w:w="140" w:type="dxa"/>
            <w:vAlign w:val="bottom"/>
            <w:shd w:val="clear" w:color="auto" w:fill="F2F2F2"/>
          </w:tcPr>
          <w:p>
            <w:pPr>
              <w:spacing w:after="0" w:line="20" w:lineRule="exact"/>
              <w:rPr>
                <w:sz w:val="1"/>
                <w:szCs w:val="1"/>
                <w:color w:val="auto"/>
              </w:rPr>
            </w:pPr>
          </w:p>
        </w:tc>
        <w:tc>
          <w:tcPr>
            <w:tcW w:w="340" w:type="dxa"/>
            <w:vAlign w:val="bottom"/>
            <w:shd w:val="clear" w:color="auto" w:fill="F2F2F2"/>
          </w:tcPr>
          <w:p>
            <w:pPr>
              <w:spacing w:after="0" w:line="20" w:lineRule="exact"/>
              <w:rPr>
                <w:sz w:val="1"/>
                <w:szCs w:val="1"/>
                <w:color w:val="auto"/>
              </w:rPr>
            </w:pPr>
          </w:p>
        </w:tc>
        <w:tc>
          <w:tcPr>
            <w:tcW w:w="640" w:type="dxa"/>
            <w:vAlign w:val="bottom"/>
            <w:tcBorders>
              <w:right w:val="single" w:sz="8" w:color="F2F2F2"/>
            </w:tcBorders>
            <w:shd w:val="clear" w:color="auto" w:fill="F2F2F2"/>
          </w:tcPr>
          <w:p>
            <w:pPr>
              <w:spacing w:after="0" w:line="20" w:lineRule="exact"/>
              <w:rPr>
                <w:sz w:val="1"/>
                <w:szCs w:val="1"/>
                <w:color w:val="auto"/>
              </w:rPr>
            </w:pPr>
          </w:p>
        </w:tc>
        <w:tc>
          <w:tcPr>
            <w:tcW w:w="1460" w:type="dxa"/>
            <w:vAlign w:val="bottom"/>
            <w:tcBorders>
              <w:right w:val="single" w:sz="8" w:color="F2F2F2"/>
            </w:tcBorders>
            <w:shd w:val="clear" w:color="auto" w:fill="0000EE"/>
          </w:tcPr>
          <w:p>
            <w:pPr>
              <w:spacing w:after="0" w:line="20" w:lineRule="exact"/>
              <w:rPr>
                <w:sz w:val="1"/>
                <w:szCs w:val="1"/>
                <w:color w:val="auto"/>
              </w:rPr>
            </w:pPr>
          </w:p>
        </w:tc>
        <w:tc>
          <w:tcPr>
            <w:tcW w:w="380" w:type="dxa"/>
            <w:vAlign w:val="bottom"/>
            <w:gridSpan w:val="2"/>
            <w:shd w:val="clear" w:color="auto" w:fill="F2F2F2"/>
          </w:tcPr>
          <w:p>
            <w:pPr>
              <w:spacing w:after="0" w:line="20" w:lineRule="exact"/>
              <w:rPr>
                <w:sz w:val="1"/>
                <w:szCs w:val="1"/>
                <w:color w:val="auto"/>
              </w:rPr>
            </w:pPr>
          </w:p>
        </w:tc>
        <w:tc>
          <w:tcPr>
            <w:tcW w:w="40" w:type="dxa"/>
            <w:vAlign w:val="bottom"/>
            <w:shd w:val="clear" w:color="auto" w:fill="F2F2F2"/>
          </w:tcPr>
          <w:p>
            <w:pPr>
              <w:spacing w:after="0" w:line="20" w:lineRule="exact"/>
              <w:rPr>
                <w:sz w:val="1"/>
                <w:szCs w:val="1"/>
                <w:color w:val="auto"/>
              </w:rPr>
            </w:pPr>
          </w:p>
        </w:tc>
        <w:tc>
          <w:tcPr>
            <w:tcW w:w="1160" w:type="dxa"/>
            <w:vAlign w:val="bottom"/>
            <w:gridSpan w:val="3"/>
            <w:shd w:val="clear" w:color="auto" w:fill="F2F2F2"/>
          </w:tcPr>
          <w:p>
            <w:pPr>
              <w:spacing w:after="0" w:line="20" w:lineRule="exact"/>
              <w:rPr>
                <w:sz w:val="1"/>
                <w:szCs w:val="1"/>
                <w:color w:val="auto"/>
              </w:rPr>
            </w:pPr>
          </w:p>
        </w:tc>
        <w:tc>
          <w:tcPr>
            <w:tcW w:w="200" w:type="dxa"/>
            <w:vAlign w:val="bottom"/>
            <w:shd w:val="clear" w:color="auto" w:fill="F2F2F2"/>
          </w:tcPr>
          <w:p>
            <w:pPr>
              <w:spacing w:after="0" w:line="20" w:lineRule="exact"/>
              <w:rPr>
                <w:sz w:val="1"/>
                <w:szCs w:val="1"/>
                <w:color w:val="auto"/>
              </w:rPr>
            </w:pPr>
          </w:p>
        </w:tc>
        <w:tc>
          <w:tcPr>
            <w:tcW w:w="60" w:type="dxa"/>
            <w:vAlign w:val="bottom"/>
            <w:shd w:val="clear" w:color="auto" w:fill="F2F2F2"/>
          </w:tcPr>
          <w:p>
            <w:pPr>
              <w:spacing w:after="0" w:line="20" w:lineRule="exact"/>
              <w:rPr>
                <w:sz w:val="1"/>
                <w:szCs w:val="1"/>
                <w:color w:val="auto"/>
              </w:rPr>
            </w:pPr>
          </w:p>
        </w:tc>
        <w:tc>
          <w:tcPr>
            <w:tcW w:w="220" w:type="dxa"/>
            <w:vAlign w:val="bottom"/>
            <w:shd w:val="clear" w:color="auto" w:fill="F2F2F2"/>
          </w:tcPr>
          <w:p>
            <w:pPr>
              <w:spacing w:after="0" w:line="20" w:lineRule="exact"/>
              <w:rPr>
                <w:sz w:val="1"/>
                <w:szCs w:val="1"/>
                <w:color w:val="auto"/>
              </w:rPr>
            </w:pPr>
          </w:p>
        </w:tc>
        <w:tc>
          <w:tcPr>
            <w:tcW w:w="260" w:type="dxa"/>
            <w:vAlign w:val="bottom"/>
            <w:gridSpan w:val="3"/>
            <w:shd w:val="clear" w:color="auto" w:fill="F2F2F2"/>
          </w:tcPr>
          <w:p>
            <w:pPr>
              <w:spacing w:after="0" w:line="20" w:lineRule="exact"/>
              <w:rPr>
                <w:sz w:val="1"/>
                <w:szCs w:val="1"/>
                <w:color w:val="auto"/>
              </w:rPr>
            </w:pPr>
          </w:p>
        </w:tc>
        <w:tc>
          <w:tcPr>
            <w:tcW w:w="80" w:type="dxa"/>
            <w:vAlign w:val="bottom"/>
            <w:shd w:val="clear" w:color="auto" w:fill="F2F2F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00" w:type="dxa"/>
            <w:vAlign w:val="bottom"/>
            <w:shd w:val="clear" w:color="auto" w:fill="F2F2F2"/>
          </w:tcPr>
          <w:p>
            <w:pPr>
              <w:jc w:val="right"/>
              <w:ind w:right="15"/>
              <w:spacing w:after="0"/>
              <w:rPr>
                <w:sz w:val="20"/>
                <w:szCs w:val="20"/>
                <w:color w:val="auto"/>
              </w:rPr>
            </w:pPr>
            <w:r>
              <w:rPr>
                <w:rFonts w:ascii="Arial" w:cs="Arial" w:eastAsia="Arial" w:hAnsi="Arial"/>
                <w:sz w:val="16"/>
                <w:szCs w:val="16"/>
                <w:color w:val="auto"/>
              </w:rPr>
              <w:t>30</w:t>
            </w:r>
          </w:p>
        </w:tc>
        <w:tc>
          <w:tcPr>
            <w:tcW w:w="3940" w:type="dxa"/>
            <w:vAlign w:val="bottom"/>
            <w:tcBorders>
              <w:left w:val="single" w:sz="8" w:color="F2F2F2"/>
            </w:tcBorders>
            <w:gridSpan w:val="13"/>
            <w:shd w:val="clear" w:color="auto" w:fill="F2F2F2"/>
          </w:tcPr>
          <w:p>
            <w:pPr>
              <w:spacing w:after="0"/>
              <w:rPr>
                <w:sz w:val="20"/>
                <w:szCs w:val="20"/>
                <w:color w:val="auto"/>
              </w:rPr>
            </w:pPr>
            <w:r>
              <w:rPr>
                <w:rFonts w:ascii="Arial" w:cs="Arial" w:eastAsia="Arial" w:hAnsi="Arial"/>
                <w:sz w:val="16"/>
                <w:szCs w:val="16"/>
                <w:color w:val="0000EE"/>
              </w:rPr>
              <w:t>Our Compensation Program Reflects Best Practices</w:t>
            </w:r>
          </w:p>
        </w:tc>
        <w:tc>
          <w:tcPr>
            <w:tcW w:w="140" w:type="dxa"/>
            <w:vAlign w:val="bottom"/>
            <w:shd w:val="clear" w:color="auto" w:fill="F2F2F2"/>
          </w:tcPr>
          <w:p>
            <w:pPr>
              <w:spacing w:after="0"/>
              <w:rPr>
                <w:sz w:val="20"/>
                <w:szCs w:val="20"/>
                <w:color w:val="auto"/>
              </w:rPr>
            </w:pPr>
          </w:p>
        </w:tc>
        <w:tc>
          <w:tcPr>
            <w:tcW w:w="340" w:type="dxa"/>
            <w:vAlign w:val="bottom"/>
            <w:shd w:val="clear" w:color="auto" w:fill="F2F2F2"/>
          </w:tcPr>
          <w:p>
            <w:pPr>
              <w:spacing w:after="0"/>
              <w:rPr>
                <w:sz w:val="20"/>
                <w:szCs w:val="20"/>
                <w:color w:val="auto"/>
              </w:rPr>
            </w:pPr>
          </w:p>
        </w:tc>
        <w:tc>
          <w:tcPr>
            <w:tcW w:w="640" w:type="dxa"/>
            <w:vAlign w:val="bottom"/>
            <w:tcBorders>
              <w:right w:val="single" w:sz="8" w:color="F2F2F2"/>
            </w:tcBorders>
            <w:shd w:val="clear" w:color="auto" w:fill="F2F2F2"/>
          </w:tcPr>
          <w:p>
            <w:pPr>
              <w:jc w:val="right"/>
              <w:ind w:right="16"/>
              <w:spacing w:after="0"/>
              <w:rPr>
                <w:sz w:val="20"/>
                <w:szCs w:val="20"/>
                <w:color w:val="auto"/>
              </w:rPr>
            </w:pPr>
            <w:r>
              <w:rPr>
                <w:rFonts w:ascii="Arial" w:cs="Arial" w:eastAsia="Arial" w:hAnsi="Arial"/>
                <w:sz w:val="16"/>
                <w:szCs w:val="16"/>
                <w:color w:val="auto"/>
              </w:rPr>
              <w:t>36</w:t>
            </w:r>
          </w:p>
        </w:tc>
        <w:tc>
          <w:tcPr>
            <w:tcW w:w="3860" w:type="dxa"/>
            <w:vAlign w:val="bottom"/>
            <w:gridSpan w:val="14"/>
            <w:shd w:val="clear" w:color="auto" w:fill="F2F2F2"/>
          </w:tcPr>
          <w:p>
            <w:pPr>
              <w:spacing w:after="0"/>
              <w:rPr>
                <w:sz w:val="20"/>
                <w:szCs w:val="20"/>
                <w:color w:val="auto"/>
              </w:rPr>
            </w:pPr>
            <w:r>
              <w:rPr>
                <w:rFonts w:ascii="Arial" w:cs="Arial" w:eastAsia="Arial" w:hAnsi="Arial"/>
                <w:sz w:val="16"/>
                <w:szCs w:val="16"/>
                <w:color w:val="0000EE"/>
              </w:rPr>
              <w:t>Anti-Hedging Policy</w:t>
            </w:r>
          </w:p>
        </w:tc>
        <w:tc>
          <w:tcPr>
            <w:tcW w:w="0" w:type="dxa"/>
            <w:vAlign w:val="bottom"/>
          </w:tcPr>
          <w:p>
            <w:pPr>
              <w:spacing w:after="0"/>
              <w:rPr>
                <w:sz w:val="1"/>
                <w:szCs w:val="1"/>
                <w:color w:val="auto"/>
              </w:rPr>
            </w:pPr>
          </w:p>
        </w:tc>
      </w:tr>
      <w:tr>
        <w:trPr>
          <w:trHeight w:val="74"/>
        </w:trPr>
        <w:tc>
          <w:tcPr>
            <w:tcW w:w="1000" w:type="dxa"/>
            <w:vAlign w:val="bottom"/>
            <w:tcBorders>
              <w:top w:val="single" w:sz="8" w:color="F2F2F2"/>
              <w:bottom w:val="single" w:sz="8" w:color="4F81BD"/>
            </w:tcBorders>
            <w:shd w:val="clear" w:color="auto" w:fill="F2F2F2"/>
          </w:tcPr>
          <w:p>
            <w:pPr>
              <w:spacing w:after="0"/>
              <w:rPr>
                <w:sz w:val="6"/>
                <w:szCs w:val="6"/>
                <w:color w:val="auto"/>
              </w:rPr>
            </w:pPr>
          </w:p>
        </w:tc>
        <w:tc>
          <w:tcPr>
            <w:tcW w:w="740" w:type="dxa"/>
            <w:vAlign w:val="bottom"/>
            <w:tcBorders>
              <w:top w:val="single" w:sz="8" w:color="0000EE"/>
              <w:left w:val="single" w:sz="8" w:color="F2F2F2"/>
              <w:bottom w:val="single" w:sz="8" w:color="4F81BD"/>
            </w:tcBorders>
            <w:shd w:val="clear" w:color="auto" w:fill="F2F2F2"/>
          </w:tcPr>
          <w:p>
            <w:pPr>
              <w:spacing w:after="0"/>
              <w:rPr>
                <w:sz w:val="6"/>
                <w:szCs w:val="6"/>
                <w:color w:val="auto"/>
              </w:rPr>
            </w:pPr>
          </w:p>
        </w:tc>
        <w:tc>
          <w:tcPr>
            <w:tcW w:w="140" w:type="dxa"/>
            <w:vAlign w:val="bottom"/>
            <w:tcBorders>
              <w:top w:val="single" w:sz="8" w:color="0000EE"/>
              <w:bottom w:val="single" w:sz="8" w:color="4F81BD"/>
            </w:tcBorders>
            <w:shd w:val="clear" w:color="auto" w:fill="F2F2F2"/>
          </w:tcPr>
          <w:p>
            <w:pPr>
              <w:spacing w:after="0"/>
              <w:rPr>
                <w:sz w:val="6"/>
                <w:szCs w:val="6"/>
                <w:color w:val="auto"/>
              </w:rPr>
            </w:pPr>
          </w:p>
        </w:tc>
        <w:tc>
          <w:tcPr>
            <w:tcW w:w="420" w:type="dxa"/>
            <w:vAlign w:val="bottom"/>
            <w:tcBorders>
              <w:top w:val="single" w:sz="8" w:color="0000EE"/>
              <w:bottom w:val="single" w:sz="8" w:color="4F81BD"/>
              <w:right w:val="single" w:sz="8" w:color="F2F2F2"/>
            </w:tcBorders>
            <w:shd w:val="clear" w:color="auto" w:fill="F2F2F2"/>
          </w:tcPr>
          <w:p>
            <w:pPr>
              <w:spacing w:after="0"/>
              <w:rPr>
                <w:sz w:val="6"/>
                <w:szCs w:val="6"/>
                <w:color w:val="auto"/>
              </w:rPr>
            </w:pPr>
          </w:p>
        </w:tc>
        <w:tc>
          <w:tcPr>
            <w:tcW w:w="280" w:type="dxa"/>
            <w:vAlign w:val="bottom"/>
            <w:tcBorders>
              <w:top w:val="single" w:sz="8" w:color="0000EE"/>
              <w:bottom w:val="single" w:sz="8" w:color="4F81BD"/>
              <w:right w:val="single" w:sz="8" w:color="F2F2F2"/>
            </w:tcBorders>
            <w:shd w:val="clear" w:color="auto" w:fill="F2F2F2"/>
          </w:tcPr>
          <w:p>
            <w:pPr>
              <w:spacing w:after="0"/>
              <w:rPr>
                <w:sz w:val="6"/>
                <w:szCs w:val="6"/>
                <w:color w:val="auto"/>
              </w:rPr>
            </w:pPr>
          </w:p>
        </w:tc>
        <w:tc>
          <w:tcPr>
            <w:tcW w:w="220" w:type="dxa"/>
            <w:vAlign w:val="bottom"/>
            <w:tcBorders>
              <w:top w:val="single" w:sz="8" w:color="0000EE"/>
              <w:bottom w:val="single" w:sz="8" w:color="4F81BD"/>
              <w:right w:val="single" w:sz="8" w:color="F2F2F2"/>
            </w:tcBorders>
            <w:shd w:val="clear" w:color="auto" w:fill="F2F2F2"/>
          </w:tcPr>
          <w:p>
            <w:pPr>
              <w:spacing w:after="0"/>
              <w:rPr>
                <w:sz w:val="6"/>
                <w:szCs w:val="6"/>
                <w:color w:val="auto"/>
              </w:rPr>
            </w:pPr>
          </w:p>
        </w:tc>
        <w:tc>
          <w:tcPr>
            <w:tcW w:w="400" w:type="dxa"/>
            <w:vAlign w:val="bottom"/>
            <w:tcBorders>
              <w:top w:val="single" w:sz="8" w:color="0000EE"/>
              <w:bottom w:val="single" w:sz="8" w:color="4F81BD"/>
            </w:tcBorders>
            <w:shd w:val="clear" w:color="auto" w:fill="F2F2F2"/>
          </w:tcPr>
          <w:p>
            <w:pPr>
              <w:spacing w:after="0"/>
              <w:rPr>
                <w:sz w:val="6"/>
                <w:szCs w:val="6"/>
                <w:color w:val="auto"/>
              </w:rPr>
            </w:pPr>
          </w:p>
        </w:tc>
        <w:tc>
          <w:tcPr>
            <w:tcW w:w="320" w:type="dxa"/>
            <w:vAlign w:val="bottom"/>
            <w:tcBorders>
              <w:top w:val="single" w:sz="8" w:color="0000EE"/>
              <w:bottom w:val="single" w:sz="8" w:color="4F81BD"/>
            </w:tcBorders>
            <w:shd w:val="clear" w:color="auto" w:fill="F2F2F2"/>
          </w:tcPr>
          <w:p>
            <w:pPr>
              <w:spacing w:after="0"/>
              <w:rPr>
                <w:sz w:val="6"/>
                <w:szCs w:val="6"/>
                <w:color w:val="auto"/>
              </w:rPr>
            </w:pPr>
          </w:p>
        </w:tc>
        <w:tc>
          <w:tcPr>
            <w:tcW w:w="480" w:type="dxa"/>
            <w:vAlign w:val="bottom"/>
            <w:tcBorders>
              <w:top w:val="single" w:sz="8" w:color="0000EE"/>
              <w:bottom w:val="single" w:sz="8" w:color="4F81BD"/>
              <w:right w:val="single" w:sz="8" w:color="F2F2F2"/>
            </w:tcBorders>
            <w:shd w:val="clear" w:color="auto" w:fill="F2F2F2"/>
          </w:tcPr>
          <w:p>
            <w:pPr>
              <w:spacing w:after="0"/>
              <w:rPr>
                <w:sz w:val="6"/>
                <w:szCs w:val="6"/>
                <w:color w:val="auto"/>
              </w:rPr>
            </w:pPr>
          </w:p>
        </w:tc>
        <w:tc>
          <w:tcPr>
            <w:tcW w:w="200" w:type="dxa"/>
            <w:vAlign w:val="bottom"/>
            <w:tcBorders>
              <w:top w:val="single" w:sz="8" w:color="0000EE"/>
              <w:bottom w:val="single" w:sz="8" w:color="4F81BD"/>
            </w:tcBorders>
            <w:shd w:val="clear" w:color="auto" w:fill="F2F2F2"/>
          </w:tcPr>
          <w:p>
            <w:pPr>
              <w:spacing w:after="0"/>
              <w:rPr>
                <w:sz w:val="6"/>
                <w:szCs w:val="6"/>
                <w:color w:val="auto"/>
              </w:rPr>
            </w:pPr>
          </w:p>
        </w:tc>
        <w:tc>
          <w:tcPr>
            <w:tcW w:w="80" w:type="dxa"/>
            <w:vAlign w:val="bottom"/>
            <w:tcBorders>
              <w:top w:val="single" w:sz="8" w:color="0000EE"/>
              <w:bottom w:val="single" w:sz="8" w:color="4F81BD"/>
            </w:tcBorders>
            <w:shd w:val="clear" w:color="auto" w:fill="F2F2F2"/>
          </w:tcPr>
          <w:p>
            <w:pPr>
              <w:spacing w:after="0"/>
              <w:rPr>
                <w:sz w:val="6"/>
                <w:szCs w:val="6"/>
                <w:color w:val="auto"/>
              </w:rPr>
            </w:pPr>
          </w:p>
        </w:tc>
        <w:tc>
          <w:tcPr>
            <w:tcW w:w="460" w:type="dxa"/>
            <w:vAlign w:val="bottom"/>
            <w:tcBorders>
              <w:top w:val="single" w:sz="8" w:color="0000EE"/>
              <w:bottom w:val="single" w:sz="8" w:color="4F81BD"/>
            </w:tcBorders>
            <w:shd w:val="clear" w:color="auto" w:fill="F2F2F2"/>
          </w:tcPr>
          <w:p>
            <w:pPr>
              <w:spacing w:after="0"/>
              <w:rPr>
                <w:sz w:val="6"/>
                <w:szCs w:val="6"/>
                <w:color w:val="auto"/>
              </w:rPr>
            </w:pPr>
          </w:p>
        </w:tc>
        <w:tc>
          <w:tcPr>
            <w:tcW w:w="20" w:type="dxa"/>
            <w:vAlign w:val="bottom"/>
            <w:tcBorders>
              <w:top w:val="single" w:sz="8" w:color="F2F2F2"/>
              <w:bottom w:val="single" w:sz="8" w:color="4F81BD"/>
            </w:tcBorders>
            <w:shd w:val="clear" w:color="auto" w:fill="F2F2F2"/>
          </w:tcPr>
          <w:p>
            <w:pPr>
              <w:spacing w:after="0"/>
              <w:rPr>
                <w:sz w:val="6"/>
                <w:szCs w:val="6"/>
                <w:color w:val="auto"/>
              </w:rPr>
            </w:pPr>
          </w:p>
        </w:tc>
        <w:tc>
          <w:tcPr>
            <w:tcW w:w="180" w:type="dxa"/>
            <w:vAlign w:val="bottom"/>
            <w:tcBorders>
              <w:top w:val="single" w:sz="8" w:color="F2F2F2"/>
              <w:bottom w:val="single" w:sz="8" w:color="4F81BD"/>
            </w:tcBorders>
            <w:shd w:val="clear" w:color="auto" w:fill="F2F2F2"/>
          </w:tcPr>
          <w:p>
            <w:pPr>
              <w:spacing w:after="0"/>
              <w:rPr>
                <w:sz w:val="6"/>
                <w:szCs w:val="6"/>
                <w:color w:val="auto"/>
              </w:rPr>
            </w:pPr>
          </w:p>
        </w:tc>
        <w:tc>
          <w:tcPr>
            <w:tcW w:w="140" w:type="dxa"/>
            <w:vAlign w:val="bottom"/>
            <w:tcBorders>
              <w:top w:val="single" w:sz="8" w:color="F2F2F2"/>
              <w:bottom w:val="single" w:sz="8" w:color="F2F2F2"/>
            </w:tcBorders>
            <w:shd w:val="clear" w:color="auto" w:fill="F2F2F2"/>
          </w:tcPr>
          <w:p>
            <w:pPr>
              <w:spacing w:after="0"/>
              <w:rPr>
                <w:sz w:val="6"/>
                <w:szCs w:val="6"/>
                <w:color w:val="auto"/>
              </w:rPr>
            </w:pPr>
          </w:p>
        </w:tc>
        <w:tc>
          <w:tcPr>
            <w:tcW w:w="340" w:type="dxa"/>
            <w:vAlign w:val="bottom"/>
            <w:tcBorders>
              <w:top w:val="single" w:sz="8" w:color="F2F2F2"/>
              <w:bottom w:val="single" w:sz="8" w:color="F2F2F2"/>
            </w:tcBorders>
            <w:shd w:val="clear" w:color="auto" w:fill="F2F2F2"/>
          </w:tcPr>
          <w:p>
            <w:pPr>
              <w:spacing w:after="0"/>
              <w:rPr>
                <w:sz w:val="6"/>
                <w:szCs w:val="6"/>
                <w:color w:val="auto"/>
              </w:rPr>
            </w:pPr>
          </w:p>
        </w:tc>
        <w:tc>
          <w:tcPr>
            <w:tcW w:w="640" w:type="dxa"/>
            <w:vAlign w:val="bottom"/>
            <w:tcBorders>
              <w:top w:val="single" w:sz="8" w:color="F2F2F2"/>
              <w:bottom w:val="single" w:sz="8" w:color="F2F2F2"/>
              <w:right w:val="single" w:sz="8" w:color="F2F2F2"/>
            </w:tcBorders>
            <w:shd w:val="clear" w:color="auto" w:fill="F2F2F2"/>
          </w:tcPr>
          <w:p>
            <w:pPr>
              <w:spacing w:after="0"/>
              <w:rPr>
                <w:sz w:val="6"/>
                <w:szCs w:val="6"/>
                <w:color w:val="auto"/>
              </w:rPr>
            </w:pPr>
          </w:p>
        </w:tc>
        <w:tc>
          <w:tcPr>
            <w:tcW w:w="1460" w:type="dxa"/>
            <w:vAlign w:val="bottom"/>
            <w:tcBorders>
              <w:top w:val="single" w:sz="8" w:color="0000EE"/>
              <w:bottom w:val="single" w:sz="8" w:color="F2F2F2"/>
              <w:right w:val="single" w:sz="8" w:color="F2F2F2"/>
            </w:tcBorders>
            <w:shd w:val="clear" w:color="auto" w:fill="F2F2F2"/>
          </w:tcPr>
          <w:p>
            <w:pPr>
              <w:spacing w:after="0"/>
              <w:rPr>
                <w:sz w:val="6"/>
                <w:szCs w:val="6"/>
                <w:color w:val="auto"/>
              </w:rPr>
            </w:pPr>
          </w:p>
        </w:tc>
        <w:tc>
          <w:tcPr>
            <w:tcW w:w="360" w:type="dxa"/>
            <w:vAlign w:val="bottom"/>
            <w:tcBorders>
              <w:top w:val="single" w:sz="8" w:color="F2F2F2"/>
              <w:bottom w:val="single" w:sz="8" w:color="F2F2F2"/>
            </w:tcBorders>
            <w:shd w:val="clear" w:color="auto" w:fill="F2F2F2"/>
          </w:tcPr>
          <w:p>
            <w:pPr>
              <w:spacing w:after="0"/>
              <w:rPr>
                <w:sz w:val="6"/>
                <w:szCs w:val="6"/>
                <w:color w:val="auto"/>
              </w:rPr>
            </w:pPr>
          </w:p>
        </w:tc>
        <w:tc>
          <w:tcPr>
            <w:tcW w:w="20" w:type="dxa"/>
            <w:vAlign w:val="bottom"/>
            <w:tcBorders>
              <w:top w:val="single" w:sz="8" w:color="F2F2F2"/>
              <w:bottom w:val="single" w:sz="8" w:color="F2F2F2"/>
            </w:tcBorders>
            <w:shd w:val="clear" w:color="auto" w:fill="F2F2F2"/>
          </w:tcPr>
          <w:p>
            <w:pPr>
              <w:spacing w:after="0"/>
              <w:rPr>
                <w:sz w:val="6"/>
                <w:szCs w:val="6"/>
                <w:color w:val="auto"/>
              </w:rPr>
            </w:pPr>
          </w:p>
        </w:tc>
        <w:tc>
          <w:tcPr>
            <w:tcW w:w="40" w:type="dxa"/>
            <w:vAlign w:val="bottom"/>
            <w:tcBorders>
              <w:top w:val="single" w:sz="8" w:color="F2F2F2"/>
              <w:bottom w:val="single" w:sz="8" w:color="F2F2F2"/>
            </w:tcBorders>
            <w:shd w:val="clear" w:color="auto" w:fill="F2F2F2"/>
          </w:tcPr>
          <w:p>
            <w:pPr>
              <w:spacing w:after="0"/>
              <w:rPr>
                <w:sz w:val="6"/>
                <w:szCs w:val="6"/>
                <w:color w:val="auto"/>
              </w:rPr>
            </w:pPr>
          </w:p>
        </w:tc>
        <w:tc>
          <w:tcPr>
            <w:tcW w:w="160" w:type="dxa"/>
            <w:vAlign w:val="bottom"/>
            <w:tcBorders>
              <w:top w:val="single" w:sz="8" w:color="F2F2F2"/>
              <w:bottom w:val="single" w:sz="8" w:color="F2F2F2"/>
            </w:tcBorders>
            <w:shd w:val="clear" w:color="auto" w:fill="F2F2F2"/>
          </w:tcPr>
          <w:p>
            <w:pPr>
              <w:spacing w:after="0"/>
              <w:rPr>
                <w:sz w:val="6"/>
                <w:szCs w:val="6"/>
                <w:color w:val="auto"/>
              </w:rPr>
            </w:pPr>
          </w:p>
        </w:tc>
        <w:tc>
          <w:tcPr>
            <w:tcW w:w="180" w:type="dxa"/>
            <w:vAlign w:val="bottom"/>
            <w:tcBorders>
              <w:top w:val="single" w:sz="8" w:color="F2F2F2"/>
              <w:bottom w:val="single" w:sz="8" w:color="F2F2F2"/>
            </w:tcBorders>
            <w:shd w:val="clear" w:color="auto" w:fill="F2F2F2"/>
          </w:tcPr>
          <w:p>
            <w:pPr>
              <w:spacing w:after="0"/>
              <w:rPr>
                <w:sz w:val="6"/>
                <w:szCs w:val="6"/>
                <w:color w:val="auto"/>
              </w:rPr>
            </w:pPr>
          </w:p>
        </w:tc>
        <w:tc>
          <w:tcPr>
            <w:tcW w:w="820" w:type="dxa"/>
            <w:vAlign w:val="bottom"/>
            <w:tcBorders>
              <w:top w:val="single" w:sz="8" w:color="F2F2F2"/>
              <w:bottom w:val="single" w:sz="8" w:color="F2F2F2"/>
            </w:tcBorders>
            <w:shd w:val="clear" w:color="auto" w:fill="F2F2F2"/>
          </w:tcPr>
          <w:p>
            <w:pPr>
              <w:spacing w:after="0"/>
              <w:rPr>
                <w:sz w:val="6"/>
                <w:szCs w:val="6"/>
                <w:color w:val="auto"/>
              </w:rPr>
            </w:pPr>
          </w:p>
        </w:tc>
        <w:tc>
          <w:tcPr>
            <w:tcW w:w="200" w:type="dxa"/>
            <w:vAlign w:val="bottom"/>
            <w:tcBorders>
              <w:top w:val="single" w:sz="8" w:color="F2F2F2"/>
              <w:bottom w:val="single" w:sz="8" w:color="F2F2F2"/>
            </w:tcBorders>
            <w:shd w:val="clear" w:color="auto" w:fill="F2F2F2"/>
          </w:tcPr>
          <w:p>
            <w:pPr>
              <w:spacing w:after="0"/>
              <w:rPr>
                <w:sz w:val="6"/>
                <w:szCs w:val="6"/>
                <w:color w:val="auto"/>
              </w:rPr>
            </w:pPr>
          </w:p>
        </w:tc>
        <w:tc>
          <w:tcPr>
            <w:tcW w:w="60" w:type="dxa"/>
            <w:vAlign w:val="bottom"/>
            <w:tcBorders>
              <w:top w:val="single" w:sz="8" w:color="F2F2F2"/>
              <w:bottom w:val="single" w:sz="8" w:color="F2F2F2"/>
            </w:tcBorders>
            <w:shd w:val="clear" w:color="auto" w:fill="F2F2F2"/>
          </w:tcPr>
          <w:p>
            <w:pPr>
              <w:spacing w:after="0"/>
              <w:rPr>
                <w:sz w:val="6"/>
                <w:szCs w:val="6"/>
                <w:color w:val="auto"/>
              </w:rPr>
            </w:pPr>
          </w:p>
        </w:tc>
        <w:tc>
          <w:tcPr>
            <w:tcW w:w="220" w:type="dxa"/>
            <w:vAlign w:val="bottom"/>
            <w:tcBorders>
              <w:top w:val="single" w:sz="8" w:color="F2F2F2"/>
              <w:bottom w:val="single" w:sz="8" w:color="F2F2F2"/>
            </w:tcBorders>
            <w:shd w:val="clear" w:color="auto" w:fill="F2F2F2"/>
          </w:tcPr>
          <w:p>
            <w:pPr>
              <w:spacing w:after="0"/>
              <w:rPr>
                <w:sz w:val="6"/>
                <w:szCs w:val="6"/>
                <w:color w:val="auto"/>
              </w:rPr>
            </w:pPr>
          </w:p>
        </w:tc>
        <w:tc>
          <w:tcPr>
            <w:tcW w:w="20" w:type="dxa"/>
            <w:vAlign w:val="bottom"/>
            <w:tcBorders>
              <w:top w:val="single" w:sz="8" w:color="F2F2F2"/>
              <w:bottom w:val="single" w:sz="8" w:color="F2F2F2"/>
            </w:tcBorders>
            <w:shd w:val="clear" w:color="auto" w:fill="F2F2F2"/>
          </w:tcPr>
          <w:p>
            <w:pPr>
              <w:spacing w:after="0"/>
              <w:rPr>
                <w:sz w:val="6"/>
                <w:szCs w:val="6"/>
                <w:color w:val="auto"/>
              </w:rPr>
            </w:pPr>
          </w:p>
        </w:tc>
        <w:tc>
          <w:tcPr>
            <w:tcW w:w="160" w:type="dxa"/>
            <w:vAlign w:val="bottom"/>
            <w:tcBorders>
              <w:top w:val="single" w:sz="8" w:color="F2F2F2"/>
              <w:bottom w:val="single" w:sz="8" w:color="F2F2F2"/>
            </w:tcBorders>
            <w:shd w:val="clear" w:color="auto" w:fill="F2F2F2"/>
          </w:tcPr>
          <w:p>
            <w:pPr>
              <w:spacing w:after="0"/>
              <w:rPr>
                <w:sz w:val="6"/>
                <w:szCs w:val="6"/>
                <w:color w:val="auto"/>
              </w:rPr>
            </w:pPr>
          </w:p>
        </w:tc>
        <w:tc>
          <w:tcPr>
            <w:tcW w:w="80" w:type="dxa"/>
            <w:vAlign w:val="bottom"/>
            <w:tcBorders>
              <w:top w:val="single" w:sz="8" w:color="F2F2F2"/>
              <w:bottom w:val="single" w:sz="8" w:color="F2F2F2"/>
            </w:tcBorders>
            <w:shd w:val="clear" w:color="auto" w:fill="F2F2F2"/>
          </w:tcPr>
          <w:p>
            <w:pPr>
              <w:spacing w:after="0"/>
              <w:rPr>
                <w:sz w:val="6"/>
                <w:szCs w:val="6"/>
                <w:color w:val="auto"/>
              </w:rPr>
            </w:pPr>
          </w:p>
        </w:tc>
        <w:tc>
          <w:tcPr>
            <w:tcW w:w="80" w:type="dxa"/>
            <w:vAlign w:val="bottom"/>
            <w:tcBorders>
              <w:top w:val="single" w:sz="8" w:color="F2F2F2"/>
              <w:bottom w:val="single" w:sz="8" w:color="F2F2F2"/>
            </w:tcBorders>
            <w:shd w:val="clear" w:color="auto" w:fill="F2F2F2"/>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1000" w:type="dxa"/>
            <w:vAlign w:val="bottom"/>
            <w:vMerge w:val="restart"/>
            <w:shd w:val="clear" w:color="auto" w:fill="F2F2F2"/>
          </w:tcPr>
          <w:p>
            <w:pPr>
              <w:jc w:val="right"/>
              <w:ind w:right="15"/>
              <w:spacing w:after="0"/>
              <w:rPr>
                <w:sz w:val="20"/>
                <w:szCs w:val="20"/>
                <w:color w:val="auto"/>
              </w:rPr>
            </w:pPr>
            <w:r>
              <w:rPr>
                <w:rFonts w:ascii="Arial" w:cs="Arial" w:eastAsia="Arial" w:hAnsi="Arial"/>
                <w:sz w:val="22"/>
                <w:szCs w:val="22"/>
                <w:b w:val="1"/>
                <w:bCs w:val="1"/>
                <w:color w:val="4A7EBB"/>
              </w:rPr>
              <w:t>31</w:t>
            </w:r>
          </w:p>
        </w:tc>
        <w:tc>
          <w:tcPr>
            <w:tcW w:w="3940" w:type="dxa"/>
            <w:vAlign w:val="bottom"/>
            <w:tcBorders>
              <w:left w:val="single" w:sz="8" w:color="F2F2F2"/>
            </w:tcBorders>
            <w:gridSpan w:val="13"/>
            <w:shd w:val="clear" w:color="auto" w:fill="F2F2F2"/>
          </w:tcPr>
          <w:p>
            <w:pPr>
              <w:spacing w:after="0" w:line="155" w:lineRule="exact"/>
              <w:rPr>
                <w:sz w:val="20"/>
                <w:szCs w:val="20"/>
                <w:color w:val="auto"/>
              </w:rPr>
            </w:pPr>
            <w:r>
              <w:rPr>
                <w:rFonts w:ascii="Arial" w:cs="Arial" w:eastAsia="Arial" w:hAnsi="Arial"/>
                <w:sz w:val="16"/>
                <w:szCs w:val="16"/>
                <w:b w:val="1"/>
                <w:bCs w:val="1"/>
                <w:color w:val="4A7EBB"/>
              </w:rPr>
              <w:t>ELEMENTS OF OUR COMPENSATION</w:t>
            </w:r>
          </w:p>
        </w:tc>
        <w:tc>
          <w:tcPr>
            <w:tcW w:w="140" w:type="dxa"/>
            <w:vAlign w:val="bottom"/>
            <w:shd w:val="clear" w:color="auto" w:fill="F2F2F2"/>
          </w:tcPr>
          <w:p>
            <w:pPr>
              <w:spacing w:after="0"/>
              <w:rPr>
                <w:sz w:val="13"/>
                <w:szCs w:val="13"/>
                <w:color w:val="auto"/>
              </w:rPr>
            </w:pPr>
          </w:p>
        </w:tc>
        <w:tc>
          <w:tcPr>
            <w:tcW w:w="340" w:type="dxa"/>
            <w:vAlign w:val="bottom"/>
            <w:shd w:val="clear" w:color="auto" w:fill="F2F2F2"/>
          </w:tcPr>
          <w:p>
            <w:pPr>
              <w:spacing w:after="0"/>
              <w:rPr>
                <w:sz w:val="13"/>
                <w:szCs w:val="13"/>
                <w:color w:val="auto"/>
              </w:rPr>
            </w:pPr>
          </w:p>
        </w:tc>
        <w:tc>
          <w:tcPr>
            <w:tcW w:w="640" w:type="dxa"/>
            <w:vAlign w:val="bottom"/>
            <w:tcBorders>
              <w:right w:val="single" w:sz="8" w:color="F2F2F2"/>
            </w:tcBorders>
            <w:vMerge w:val="restart"/>
            <w:shd w:val="clear" w:color="auto" w:fill="F2F2F2"/>
          </w:tcPr>
          <w:p>
            <w:pPr>
              <w:jc w:val="right"/>
              <w:ind w:right="16"/>
              <w:spacing w:after="0"/>
              <w:rPr>
                <w:sz w:val="20"/>
                <w:szCs w:val="20"/>
                <w:color w:val="auto"/>
              </w:rPr>
            </w:pPr>
            <w:r>
              <w:rPr>
                <w:rFonts w:ascii="Arial" w:cs="Arial" w:eastAsia="Arial" w:hAnsi="Arial"/>
                <w:sz w:val="16"/>
                <w:szCs w:val="16"/>
                <w:color w:val="auto"/>
              </w:rPr>
              <w:t>36</w:t>
            </w:r>
          </w:p>
        </w:tc>
        <w:tc>
          <w:tcPr>
            <w:tcW w:w="3860" w:type="dxa"/>
            <w:vAlign w:val="bottom"/>
            <w:gridSpan w:val="14"/>
            <w:vMerge w:val="restart"/>
            <w:shd w:val="clear" w:color="auto" w:fill="F2F2F2"/>
          </w:tcPr>
          <w:p>
            <w:pPr>
              <w:spacing w:after="0"/>
              <w:rPr>
                <w:sz w:val="20"/>
                <w:szCs w:val="20"/>
                <w:color w:val="auto"/>
              </w:rPr>
            </w:pPr>
            <w:r>
              <w:rPr>
                <w:rFonts w:ascii="Arial" w:cs="Arial" w:eastAsia="Arial" w:hAnsi="Arial"/>
                <w:sz w:val="16"/>
                <w:szCs w:val="16"/>
                <w:color w:val="0000EE"/>
              </w:rPr>
              <w:t>Anti-Pledging Policy</w:t>
            </w:r>
          </w:p>
        </w:tc>
        <w:tc>
          <w:tcPr>
            <w:tcW w:w="0" w:type="dxa"/>
            <w:vAlign w:val="bottom"/>
          </w:tcPr>
          <w:p>
            <w:pPr>
              <w:spacing w:after="0"/>
              <w:rPr>
                <w:sz w:val="1"/>
                <w:szCs w:val="1"/>
                <w:color w:val="auto"/>
              </w:rPr>
            </w:pPr>
          </w:p>
        </w:tc>
      </w:tr>
      <w:tr>
        <w:trPr>
          <w:trHeight w:val="20"/>
        </w:trPr>
        <w:tc>
          <w:tcPr>
            <w:tcW w:w="1000" w:type="dxa"/>
            <w:vAlign w:val="bottom"/>
            <w:vMerge w:val="continue"/>
            <w:shd w:val="clear" w:color="auto" w:fill="F2F2F2"/>
          </w:tcPr>
          <w:p>
            <w:pPr>
              <w:spacing w:after="0" w:line="20" w:lineRule="exact"/>
              <w:rPr>
                <w:sz w:val="1"/>
                <w:szCs w:val="1"/>
                <w:color w:val="auto"/>
              </w:rPr>
            </w:pPr>
          </w:p>
        </w:tc>
        <w:tc>
          <w:tcPr>
            <w:tcW w:w="740" w:type="dxa"/>
            <w:vAlign w:val="bottom"/>
            <w:tcBorders>
              <w:left w:val="single" w:sz="8" w:color="4A7EBB"/>
            </w:tcBorders>
            <w:shd w:val="clear" w:color="auto" w:fill="4A7EBB"/>
          </w:tcPr>
          <w:p>
            <w:pPr>
              <w:spacing w:after="0" w:line="20" w:lineRule="exact"/>
              <w:rPr>
                <w:sz w:val="1"/>
                <w:szCs w:val="1"/>
                <w:color w:val="auto"/>
              </w:rPr>
            </w:pPr>
          </w:p>
        </w:tc>
        <w:tc>
          <w:tcPr>
            <w:tcW w:w="140" w:type="dxa"/>
            <w:vAlign w:val="bottom"/>
            <w:shd w:val="clear" w:color="auto" w:fill="4A7EBB"/>
          </w:tcPr>
          <w:p>
            <w:pPr>
              <w:spacing w:after="0" w:line="20" w:lineRule="exact"/>
              <w:rPr>
                <w:sz w:val="1"/>
                <w:szCs w:val="1"/>
                <w:color w:val="auto"/>
              </w:rPr>
            </w:pPr>
          </w:p>
        </w:tc>
        <w:tc>
          <w:tcPr>
            <w:tcW w:w="420" w:type="dxa"/>
            <w:vAlign w:val="bottom"/>
            <w:tcBorders>
              <w:right w:val="single" w:sz="8" w:color="4A7EBB"/>
            </w:tcBorders>
            <w:shd w:val="clear" w:color="auto" w:fill="4A7EBB"/>
          </w:tcPr>
          <w:p>
            <w:pPr>
              <w:spacing w:after="0" w:line="20" w:lineRule="exact"/>
              <w:rPr>
                <w:sz w:val="1"/>
                <w:szCs w:val="1"/>
                <w:color w:val="auto"/>
              </w:rPr>
            </w:pPr>
          </w:p>
        </w:tc>
        <w:tc>
          <w:tcPr>
            <w:tcW w:w="280" w:type="dxa"/>
            <w:vAlign w:val="bottom"/>
            <w:tcBorders>
              <w:right w:val="single" w:sz="8" w:color="4A7EBB"/>
            </w:tcBorders>
            <w:shd w:val="clear" w:color="auto" w:fill="4A7EBB"/>
          </w:tcPr>
          <w:p>
            <w:pPr>
              <w:spacing w:after="0" w:line="20" w:lineRule="exact"/>
              <w:rPr>
                <w:sz w:val="1"/>
                <w:szCs w:val="1"/>
                <w:color w:val="auto"/>
              </w:rPr>
            </w:pPr>
          </w:p>
        </w:tc>
        <w:tc>
          <w:tcPr>
            <w:tcW w:w="220" w:type="dxa"/>
            <w:vAlign w:val="bottom"/>
            <w:tcBorders>
              <w:right w:val="single" w:sz="8" w:color="4A7EBB"/>
            </w:tcBorders>
            <w:shd w:val="clear" w:color="auto" w:fill="4A7EBB"/>
          </w:tcPr>
          <w:p>
            <w:pPr>
              <w:spacing w:after="0" w:line="20" w:lineRule="exact"/>
              <w:rPr>
                <w:sz w:val="1"/>
                <w:szCs w:val="1"/>
                <w:color w:val="auto"/>
              </w:rPr>
            </w:pPr>
          </w:p>
        </w:tc>
        <w:tc>
          <w:tcPr>
            <w:tcW w:w="400" w:type="dxa"/>
            <w:vAlign w:val="bottom"/>
            <w:shd w:val="clear" w:color="auto" w:fill="4A7EBB"/>
          </w:tcPr>
          <w:p>
            <w:pPr>
              <w:spacing w:after="0" w:line="20" w:lineRule="exact"/>
              <w:rPr>
                <w:sz w:val="1"/>
                <w:szCs w:val="1"/>
                <w:color w:val="auto"/>
              </w:rPr>
            </w:pPr>
          </w:p>
        </w:tc>
        <w:tc>
          <w:tcPr>
            <w:tcW w:w="320" w:type="dxa"/>
            <w:vAlign w:val="bottom"/>
            <w:shd w:val="clear" w:color="auto" w:fill="4A7EBB"/>
          </w:tcPr>
          <w:p>
            <w:pPr>
              <w:spacing w:after="0" w:line="20" w:lineRule="exact"/>
              <w:rPr>
                <w:sz w:val="1"/>
                <w:szCs w:val="1"/>
                <w:color w:val="auto"/>
              </w:rPr>
            </w:pPr>
          </w:p>
        </w:tc>
        <w:tc>
          <w:tcPr>
            <w:tcW w:w="480" w:type="dxa"/>
            <w:vAlign w:val="bottom"/>
            <w:tcBorders>
              <w:right w:val="single" w:sz="8" w:color="F2F2F2"/>
            </w:tcBorders>
            <w:shd w:val="clear" w:color="auto" w:fill="4A7EBB"/>
          </w:tcPr>
          <w:p>
            <w:pPr>
              <w:spacing w:after="0" w:line="20" w:lineRule="exact"/>
              <w:rPr>
                <w:sz w:val="1"/>
                <w:szCs w:val="1"/>
                <w:color w:val="auto"/>
              </w:rPr>
            </w:pPr>
          </w:p>
        </w:tc>
        <w:tc>
          <w:tcPr>
            <w:tcW w:w="200" w:type="dxa"/>
            <w:vAlign w:val="bottom"/>
            <w:shd w:val="clear" w:color="auto" w:fill="F2F2F2"/>
          </w:tcPr>
          <w:p>
            <w:pPr>
              <w:spacing w:after="0" w:line="20" w:lineRule="exact"/>
              <w:rPr>
                <w:sz w:val="1"/>
                <w:szCs w:val="1"/>
                <w:color w:val="auto"/>
              </w:rPr>
            </w:pPr>
          </w:p>
        </w:tc>
        <w:tc>
          <w:tcPr>
            <w:tcW w:w="80" w:type="dxa"/>
            <w:vAlign w:val="bottom"/>
            <w:shd w:val="clear" w:color="auto" w:fill="F2F2F2"/>
          </w:tcPr>
          <w:p>
            <w:pPr>
              <w:spacing w:after="0" w:line="20" w:lineRule="exact"/>
              <w:rPr>
                <w:sz w:val="1"/>
                <w:szCs w:val="1"/>
                <w:color w:val="auto"/>
              </w:rPr>
            </w:pPr>
          </w:p>
        </w:tc>
        <w:tc>
          <w:tcPr>
            <w:tcW w:w="460" w:type="dxa"/>
            <w:vAlign w:val="bottom"/>
            <w:shd w:val="clear" w:color="auto" w:fill="F2F2F2"/>
          </w:tcPr>
          <w:p>
            <w:pPr>
              <w:spacing w:after="0" w:line="20" w:lineRule="exact"/>
              <w:rPr>
                <w:sz w:val="1"/>
                <w:szCs w:val="1"/>
                <w:color w:val="auto"/>
              </w:rPr>
            </w:pPr>
          </w:p>
        </w:tc>
        <w:tc>
          <w:tcPr>
            <w:tcW w:w="20" w:type="dxa"/>
            <w:vAlign w:val="bottom"/>
            <w:shd w:val="clear" w:color="auto" w:fill="F2F2F2"/>
          </w:tcPr>
          <w:p>
            <w:pPr>
              <w:spacing w:after="0" w:line="20" w:lineRule="exact"/>
              <w:rPr>
                <w:sz w:val="1"/>
                <w:szCs w:val="1"/>
                <w:color w:val="auto"/>
              </w:rPr>
            </w:pPr>
          </w:p>
        </w:tc>
        <w:tc>
          <w:tcPr>
            <w:tcW w:w="180" w:type="dxa"/>
            <w:vAlign w:val="bottom"/>
            <w:shd w:val="clear" w:color="auto" w:fill="F2F2F2"/>
          </w:tcPr>
          <w:p>
            <w:pPr>
              <w:spacing w:after="0" w:line="20" w:lineRule="exact"/>
              <w:rPr>
                <w:sz w:val="1"/>
                <w:szCs w:val="1"/>
                <w:color w:val="auto"/>
              </w:rPr>
            </w:pPr>
          </w:p>
        </w:tc>
        <w:tc>
          <w:tcPr>
            <w:tcW w:w="140" w:type="dxa"/>
            <w:vAlign w:val="bottom"/>
            <w:shd w:val="clear" w:color="auto" w:fill="F2F2F2"/>
          </w:tcPr>
          <w:p>
            <w:pPr>
              <w:spacing w:after="0" w:line="20" w:lineRule="exact"/>
              <w:rPr>
                <w:sz w:val="1"/>
                <w:szCs w:val="1"/>
                <w:color w:val="auto"/>
              </w:rPr>
            </w:pPr>
          </w:p>
        </w:tc>
        <w:tc>
          <w:tcPr>
            <w:tcW w:w="340" w:type="dxa"/>
            <w:vAlign w:val="bottom"/>
            <w:shd w:val="clear" w:color="auto" w:fill="F2F2F2"/>
          </w:tcPr>
          <w:p>
            <w:pPr>
              <w:spacing w:after="0" w:line="20" w:lineRule="exact"/>
              <w:rPr>
                <w:sz w:val="1"/>
                <w:szCs w:val="1"/>
                <w:color w:val="auto"/>
              </w:rPr>
            </w:pPr>
          </w:p>
        </w:tc>
        <w:tc>
          <w:tcPr>
            <w:tcW w:w="640" w:type="dxa"/>
            <w:vAlign w:val="bottom"/>
            <w:tcBorders>
              <w:right w:val="single" w:sz="8" w:color="F2F2F2"/>
            </w:tcBorders>
            <w:vMerge w:val="continue"/>
            <w:shd w:val="clear" w:color="auto" w:fill="F2F2F2"/>
          </w:tcPr>
          <w:p>
            <w:pPr>
              <w:spacing w:after="0" w:line="20" w:lineRule="exact"/>
              <w:rPr>
                <w:sz w:val="1"/>
                <w:szCs w:val="1"/>
                <w:color w:val="auto"/>
              </w:rPr>
            </w:pPr>
          </w:p>
        </w:tc>
        <w:tc>
          <w:tcPr>
            <w:tcW w:w="3860" w:type="dxa"/>
            <w:vAlign w:val="bottom"/>
            <w:gridSpan w:val="14"/>
            <w:vMerge w:val="continue"/>
            <w:shd w:val="clear" w:color="auto" w:fill="F2F2F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1000" w:type="dxa"/>
            <w:vAlign w:val="bottom"/>
            <w:vMerge w:val="continue"/>
            <w:shd w:val="clear" w:color="auto" w:fill="F2F2F2"/>
          </w:tcPr>
          <w:p>
            <w:pPr>
              <w:spacing w:after="0"/>
              <w:rPr>
                <w:sz w:val="5"/>
                <w:szCs w:val="5"/>
                <w:color w:val="auto"/>
              </w:rPr>
            </w:pPr>
          </w:p>
        </w:tc>
        <w:tc>
          <w:tcPr>
            <w:tcW w:w="3940" w:type="dxa"/>
            <w:vAlign w:val="bottom"/>
            <w:tcBorders>
              <w:left w:val="single" w:sz="8" w:color="F2F2F2"/>
            </w:tcBorders>
            <w:gridSpan w:val="13"/>
            <w:vMerge w:val="restart"/>
            <w:shd w:val="clear" w:color="auto" w:fill="F2F2F2"/>
          </w:tcPr>
          <w:p>
            <w:pPr>
              <w:spacing w:after="0" w:line="169" w:lineRule="exact"/>
              <w:rPr>
                <w:sz w:val="20"/>
                <w:szCs w:val="20"/>
                <w:color w:val="auto"/>
              </w:rPr>
            </w:pPr>
            <w:r>
              <w:rPr>
                <w:rFonts w:ascii="Arial" w:cs="Arial" w:eastAsia="Arial" w:hAnsi="Arial"/>
                <w:sz w:val="16"/>
                <w:szCs w:val="16"/>
                <w:b w:val="1"/>
                <w:bCs w:val="1"/>
                <w:color w:val="4A7EBB"/>
              </w:rPr>
              <w:t>PROGRAM―WHAT WE PAY AND WHY</w:t>
            </w:r>
          </w:p>
        </w:tc>
        <w:tc>
          <w:tcPr>
            <w:tcW w:w="140" w:type="dxa"/>
            <w:vAlign w:val="bottom"/>
            <w:shd w:val="clear" w:color="auto" w:fill="F2F2F2"/>
          </w:tcPr>
          <w:p>
            <w:pPr>
              <w:spacing w:after="0"/>
              <w:rPr>
                <w:sz w:val="5"/>
                <w:szCs w:val="5"/>
                <w:color w:val="auto"/>
              </w:rPr>
            </w:pPr>
          </w:p>
        </w:tc>
        <w:tc>
          <w:tcPr>
            <w:tcW w:w="340" w:type="dxa"/>
            <w:vAlign w:val="bottom"/>
            <w:shd w:val="clear" w:color="auto" w:fill="F2F2F2"/>
          </w:tcPr>
          <w:p>
            <w:pPr>
              <w:spacing w:after="0"/>
              <w:rPr>
                <w:sz w:val="5"/>
                <w:szCs w:val="5"/>
                <w:color w:val="auto"/>
              </w:rPr>
            </w:pPr>
          </w:p>
        </w:tc>
        <w:tc>
          <w:tcPr>
            <w:tcW w:w="640" w:type="dxa"/>
            <w:vAlign w:val="bottom"/>
            <w:tcBorders>
              <w:right w:val="single" w:sz="8" w:color="F2F2F2"/>
            </w:tcBorders>
            <w:vMerge w:val="continue"/>
            <w:shd w:val="clear" w:color="auto" w:fill="F2F2F2"/>
          </w:tcPr>
          <w:p>
            <w:pPr>
              <w:spacing w:after="0"/>
              <w:rPr>
                <w:sz w:val="5"/>
                <w:szCs w:val="5"/>
                <w:color w:val="auto"/>
              </w:rPr>
            </w:pPr>
          </w:p>
        </w:tc>
        <w:tc>
          <w:tcPr>
            <w:tcW w:w="3860" w:type="dxa"/>
            <w:vAlign w:val="bottom"/>
            <w:gridSpan w:val="14"/>
            <w:vMerge w:val="continue"/>
            <w:shd w:val="clear" w:color="auto" w:fill="F2F2F2"/>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1000" w:type="dxa"/>
            <w:vAlign w:val="bottom"/>
            <w:tcBorders>
              <w:top w:val="single" w:sz="8" w:color="F2F2F2"/>
            </w:tcBorders>
            <w:vMerge w:val="continue"/>
            <w:shd w:val="clear" w:color="auto" w:fill="F2F2F2"/>
          </w:tcPr>
          <w:p>
            <w:pPr>
              <w:spacing w:after="0"/>
              <w:rPr>
                <w:sz w:val="7"/>
                <w:szCs w:val="7"/>
                <w:color w:val="auto"/>
              </w:rPr>
            </w:pPr>
          </w:p>
        </w:tc>
        <w:tc>
          <w:tcPr>
            <w:tcW w:w="3940" w:type="dxa"/>
            <w:vAlign w:val="bottom"/>
            <w:tcBorders>
              <w:top w:val="single" w:sz="8" w:color="F2F2F2"/>
              <w:left w:val="single" w:sz="8" w:color="F2F2F2"/>
            </w:tcBorders>
            <w:gridSpan w:val="13"/>
            <w:vMerge w:val="continue"/>
            <w:shd w:val="clear" w:color="auto" w:fill="F2F2F2"/>
          </w:tcPr>
          <w:p>
            <w:pPr>
              <w:spacing w:after="0"/>
              <w:rPr>
                <w:sz w:val="7"/>
                <w:szCs w:val="7"/>
                <w:color w:val="auto"/>
              </w:rPr>
            </w:pPr>
          </w:p>
        </w:tc>
        <w:tc>
          <w:tcPr>
            <w:tcW w:w="140" w:type="dxa"/>
            <w:vAlign w:val="bottom"/>
            <w:tcBorders>
              <w:top w:val="single" w:sz="8" w:color="F2F2F2"/>
            </w:tcBorders>
            <w:shd w:val="clear" w:color="auto" w:fill="F2F2F2"/>
          </w:tcPr>
          <w:p>
            <w:pPr>
              <w:spacing w:after="0"/>
              <w:rPr>
                <w:sz w:val="7"/>
                <w:szCs w:val="7"/>
                <w:color w:val="auto"/>
              </w:rPr>
            </w:pPr>
          </w:p>
        </w:tc>
        <w:tc>
          <w:tcPr>
            <w:tcW w:w="340" w:type="dxa"/>
            <w:vAlign w:val="bottom"/>
            <w:tcBorders>
              <w:top w:val="single" w:sz="8" w:color="F2F2F2"/>
            </w:tcBorders>
            <w:shd w:val="clear" w:color="auto" w:fill="F2F2F2"/>
          </w:tcPr>
          <w:p>
            <w:pPr>
              <w:spacing w:after="0"/>
              <w:rPr>
                <w:sz w:val="7"/>
                <w:szCs w:val="7"/>
                <w:color w:val="auto"/>
              </w:rPr>
            </w:pPr>
          </w:p>
        </w:tc>
        <w:tc>
          <w:tcPr>
            <w:tcW w:w="640" w:type="dxa"/>
            <w:vAlign w:val="bottom"/>
            <w:tcBorders>
              <w:top w:val="single" w:sz="8" w:color="F2F2F2"/>
              <w:right w:val="single" w:sz="8" w:color="F2F2F2"/>
            </w:tcBorders>
            <w:shd w:val="clear" w:color="auto" w:fill="F2F2F2"/>
          </w:tcPr>
          <w:p>
            <w:pPr>
              <w:spacing w:after="0"/>
              <w:rPr>
                <w:sz w:val="7"/>
                <w:szCs w:val="7"/>
                <w:color w:val="auto"/>
              </w:rPr>
            </w:pPr>
          </w:p>
        </w:tc>
        <w:tc>
          <w:tcPr>
            <w:tcW w:w="1460" w:type="dxa"/>
            <w:vAlign w:val="bottom"/>
            <w:tcBorders>
              <w:top w:val="single" w:sz="8" w:color="0000EE"/>
              <w:right w:val="single" w:sz="8" w:color="F2F2F2"/>
            </w:tcBorders>
            <w:shd w:val="clear" w:color="auto" w:fill="F2F2F2"/>
          </w:tcPr>
          <w:p>
            <w:pPr>
              <w:spacing w:after="0"/>
              <w:rPr>
                <w:sz w:val="7"/>
                <w:szCs w:val="7"/>
                <w:color w:val="auto"/>
              </w:rPr>
            </w:pPr>
          </w:p>
        </w:tc>
        <w:tc>
          <w:tcPr>
            <w:tcW w:w="360" w:type="dxa"/>
            <w:vAlign w:val="bottom"/>
            <w:tcBorders>
              <w:top w:val="single" w:sz="8" w:color="F2F2F2"/>
            </w:tcBorders>
            <w:shd w:val="clear" w:color="auto" w:fill="F2F2F2"/>
          </w:tcPr>
          <w:p>
            <w:pPr>
              <w:spacing w:after="0"/>
              <w:rPr>
                <w:sz w:val="7"/>
                <w:szCs w:val="7"/>
                <w:color w:val="auto"/>
              </w:rPr>
            </w:pPr>
          </w:p>
        </w:tc>
        <w:tc>
          <w:tcPr>
            <w:tcW w:w="20" w:type="dxa"/>
            <w:vAlign w:val="bottom"/>
            <w:tcBorders>
              <w:top w:val="single" w:sz="8" w:color="F2F2F2"/>
            </w:tcBorders>
            <w:shd w:val="clear" w:color="auto" w:fill="F2F2F2"/>
          </w:tcPr>
          <w:p>
            <w:pPr>
              <w:spacing w:after="0"/>
              <w:rPr>
                <w:sz w:val="7"/>
                <w:szCs w:val="7"/>
                <w:color w:val="auto"/>
              </w:rPr>
            </w:pPr>
          </w:p>
        </w:tc>
        <w:tc>
          <w:tcPr>
            <w:tcW w:w="40" w:type="dxa"/>
            <w:vAlign w:val="bottom"/>
            <w:tcBorders>
              <w:top w:val="single" w:sz="8" w:color="F2F2F2"/>
            </w:tcBorders>
            <w:shd w:val="clear" w:color="auto" w:fill="F2F2F2"/>
          </w:tcPr>
          <w:p>
            <w:pPr>
              <w:spacing w:after="0"/>
              <w:rPr>
                <w:sz w:val="7"/>
                <w:szCs w:val="7"/>
                <w:color w:val="auto"/>
              </w:rPr>
            </w:pPr>
          </w:p>
        </w:tc>
        <w:tc>
          <w:tcPr>
            <w:tcW w:w="160" w:type="dxa"/>
            <w:vAlign w:val="bottom"/>
            <w:tcBorders>
              <w:top w:val="single" w:sz="8" w:color="F2F2F2"/>
            </w:tcBorders>
            <w:shd w:val="clear" w:color="auto" w:fill="F2F2F2"/>
          </w:tcPr>
          <w:p>
            <w:pPr>
              <w:spacing w:after="0"/>
              <w:rPr>
                <w:sz w:val="7"/>
                <w:szCs w:val="7"/>
                <w:color w:val="auto"/>
              </w:rPr>
            </w:pPr>
          </w:p>
        </w:tc>
        <w:tc>
          <w:tcPr>
            <w:tcW w:w="180" w:type="dxa"/>
            <w:vAlign w:val="bottom"/>
            <w:tcBorders>
              <w:top w:val="single" w:sz="8" w:color="F2F2F2"/>
            </w:tcBorders>
            <w:shd w:val="clear" w:color="auto" w:fill="F2F2F2"/>
          </w:tcPr>
          <w:p>
            <w:pPr>
              <w:spacing w:after="0"/>
              <w:rPr>
                <w:sz w:val="7"/>
                <w:szCs w:val="7"/>
                <w:color w:val="auto"/>
              </w:rPr>
            </w:pPr>
          </w:p>
        </w:tc>
        <w:tc>
          <w:tcPr>
            <w:tcW w:w="820" w:type="dxa"/>
            <w:vAlign w:val="bottom"/>
            <w:tcBorders>
              <w:top w:val="single" w:sz="8" w:color="F2F2F2"/>
            </w:tcBorders>
            <w:shd w:val="clear" w:color="auto" w:fill="F2F2F2"/>
          </w:tcPr>
          <w:p>
            <w:pPr>
              <w:spacing w:after="0"/>
              <w:rPr>
                <w:sz w:val="7"/>
                <w:szCs w:val="7"/>
                <w:color w:val="auto"/>
              </w:rPr>
            </w:pPr>
          </w:p>
        </w:tc>
        <w:tc>
          <w:tcPr>
            <w:tcW w:w="200" w:type="dxa"/>
            <w:vAlign w:val="bottom"/>
            <w:tcBorders>
              <w:top w:val="single" w:sz="8" w:color="F2F2F2"/>
            </w:tcBorders>
            <w:shd w:val="clear" w:color="auto" w:fill="F2F2F2"/>
          </w:tcPr>
          <w:p>
            <w:pPr>
              <w:spacing w:after="0"/>
              <w:rPr>
                <w:sz w:val="7"/>
                <w:szCs w:val="7"/>
                <w:color w:val="auto"/>
              </w:rPr>
            </w:pPr>
          </w:p>
        </w:tc>
        <w:tc>
          <w:tcPr>
            <w:tcW w:w="60" w:type="dxa"/>
            <w:vAlign w:val="bottom"/>
            <w:tcBorders>
              <w:top w:val="single" w:sz="8" w:color="F2F2F2"/>
            </w:tcBorders>
            <w:shd w:val="clear" w:color="auto" w:fill="F2F2F2"/>
          </w:tcPr>
          <w:p>
            <w:pPr>
              <w:spacing w:after="0"/>
              <w:rPr>
                <w:sz w:val="7"/>
                <w:szCs w:val="7"/>
                <w:color w:val="auto"/>
              </w:rPr>
            </w:pPr>
          </w:p>
        </w:tc>
        <w:tc>
          <w:tcPr>
            <w:tcW w:w="220" w:type="dxa"/>
            <w:vAlign w:val="bottom"/>
            <w:tcBorders>
              <w:top w:val="single" w:sz="8" w:color="F2F2F2"/>
            </w:tcBorders>
            <w:shd w:val="clear" w:color="auto" w:fill="F2F2F2"/>
          </w:tcPr>
          <w:p>
            <w:pPr>
              <w:spacing w:after="0"/>
              <w:rPr>
                <w:sz w:val="7"/>
                <w:szCs w:val="7"/>
                <w:color w:val="auto"/>
              </w:rPr>
            </w:pPr>
          </w:p>
        </w:tc>
        <w:tc>
          <w:tcPr>
            <w:tcW w:w="20" w:type="dxa"/>
            <w:vAlign w:val="bottom"/>
            <w:tcBorders>
              <w:top w:val="single" w:sz="8" w:color="F2F2F2"/>
            </w:tcBorders>
            <w:shd w:val="clear" w:color="auto" w:fill="F2F2F2"/>
          </w:tcPr>
          <w:p>
            <w:pPr>
              <w:spacing w:after="0"/>
              <w:rPr>
                <w:sz w:val="7"/>
                <w:szCs w:val="7"/>
                <w:color w:val="auto"/>
              </w:rPr>
            </w:pPr>
          </w:p>
        </w:tc>
        <w:tc>
          <w:tcPr>
            <w:tcW w:w="160" w:type="dxa"/>
            <w:vAlign w:val="bottom"/>
            <w:tcBorders>
              <w:top w:val="single" w:sz="8" w:color="F2F2F2"/>
            </w:tcBorders>
            <w:shd w:val="clear" w:color="auto" w:fill="F2F2F2"/>
          </w:tcPr>
          <w:p>
            <w:pPr>
              <w:spacing w:after="0"/>
              <w:rPr>
                <w:sz w:val="7"/>
                <w:szCs w:val="7"/>
                <w:color w:val="auto"/>
              </w:rPr>
            </w:pPr>
          </w:p>
        </w:tc>
        <w:tc>
          <w:tcPr>
            <w:tcW w:w="80" w:type="dxa"/>
            <w:vAlign w:val="bottom"/>
            <w:tcBorders>
              <w:top w:val="single" w:sz="8" w:color="F2F2F2"/>
            </w:tcBorders>
            <w:shd w:val="clear" w:color="auto" w:fill="F2F2F2"/>
          </w:tcPr>
          <w:p>
            <w:pPr>
              <w:spacing w:after="0"/>
              <w:rPr>
                <w:sz w:val="7"/>
                <w:szCs w:val="7"/>
                <w:color w:val="auto"/>
              </w:rPr>
            </w:pPr>
          </w:p>
        </w:tc>
        <w:tc>
          <w:tcPr>
            <w:tcW w:w="80" w:type="dxa"/>
            <w:vAlign w:val="bottom"/>
            <w:tcBorders>
              <w:top w:val="single" w:sz="8" w:color="F2F2F2"/>
            </w:tcBorders>
            <w:shd w:val="clear" w:color="auto" w:fill="F2F2F2"/>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1000" w:type="dxa"/>
            <w:vAlign w:val="bottom"/>
            <w:tcBorders>
              <w:top w:val="single" w:sz="8" w:color="F2F2F2"/>
              <w:bottom w:val="single" w:sz="8" w:color="F2F2F2"/>
            </w:tcBorders>
            <w:shd w:val="clear" w:color="auto" w:fill="F2F2F2"/>
          </w:tcPr>
          <w:p>
            <w:pPr>
              <w:spacing w:after="0"/>
              <w:rPr>
                <w:sz w:val="6"/>
                <w:szCs w:val="6"/>
                <w:color w:val="auto"/>
              </w:rPr>
            </w:pPr>
          </w:p>
        </w:tc>
        <w:tc>
          <w:tcPr>
            <w:tcW w:w="740" w:type="dxa"/>
            <w:vAlign w:val="bottom"/>
            <w:tcBorders>
              <w:top w:val="single" w:sz="8" w:color="4A7EBB"/>
              <w:left w:val="single" w:sz="8" w:color="F2F2F2"/>
              <w:bottom w:val="single" w:sz="8" w:color="F2F2F2"/>
            </w:tcBorders>
            <w:shd w:val="clear" w:color="auto" w:fill="F2F2F2"/>
          </w:tcPr>
          <w:p>
            <w:pPr>
              <w:spacing w:after="0"/>
              <w:rPr>
                <w:sz w:val="6"/>
                <w:szCs w:val="6"/>
                <w:color w:val="auto"/>
              </w:rPr>
            </w:pPr>
          </w:p>
        </w:tc>
        <w:tc>
          <w:tcPr>
            <w:tcW w:w="140" w:type="dxa"/>
            <w:vAlign w:val="bottom"/>
            <w:tcBorders>
              <w:top w:val="single" w:sz="8" w:color="4A7EBB"/>
              <w:bottom w:val="single" w:sz="8" w:color="F2F2F2"/>
            </w:tcBorders>
            <w:shd w:val="clear" w:color="auto" w:fill="F2F2F2"/>
          </w:tcPr>
          <w:p>
            <w:pPr>
              <w:spacing w:after="0"/>
              <w:rPr>
                <w:sz w:val="6"/>
                <w:szCs w:val="6"/>
                <w:color w:val="auto"/>
              </w:rPr>
            </w:pPr>
          </w:p>
        </w:tc>
        <w:tc>
          <w:tcPr>
            <w:tcW w:w="420" w:type="dxa"/>
            <w:vAlign w:val="bottom"/>
            <w:tcBorders>
              <w:top w:val="single" w:sz="8" w:color="4A7EBB"/>
              <w:bottom w:val="single" w:sz="8" w:color="F2F2F2"/>
              <w:right w:val="single" w:sz="8" w:color="F2F2F2"/>
            </w:tcBorders>
            <w:shd w:val="clear" w:color="auto" w:fill="F2F2F2"/>
          </w:tcPr>
          <w:p>
            <w:pPr>
              <w:spacing w:after="0"/>
              <w:rPr>
                <w:sz w:val="6"/>
                <w:szCs w:val="6"/>
                <w:color w:val="auto"/>
              </w:rPr>
            </w:pPr>
          </w:p>
        </w:tc>
        <w:tc>
          <w:tcPr>
            <w:tcW w:w="280" w:type="dxa"/>
            <w:vAlign w:val="bottom"/>
            <w:tcBorders>
              <w:top w:val="single" w:sz="8" w:color="4A7EBB"/>
              <w:bottom w:val="single" w:sz="8" w:color="F2F2F2"/>
              <w:right w:val="single" w:sz="8" w:color="F2F2F2"/>
            </w:tcBorders>
            <w:shd w:val="clear" w:color="auto" w:fill="F2F2F2"/>
          </w:tcPr>
          <w:p>
            <w:pPr>
              <w:spacing w:after="0"/>
              <w:rPr>
                <w:sz w:val="6"/>
                <w:szCs w:val="6"/>
                <w:color w:val="auto"/>
              </w:rPr>
            </w:pPr>
          </w:p>
        </w:tc>
        <w:tc>
          <w:tcPr>
            <w:tcW w:w="220" w:type="dxa"/>
            <w:vAlign w:val="bottom"/>
            <w:tcBorders>
              <w:top w:val="single" w:sz="8" w:color="4A7EBB"/>
              <w:bottom w:val="single" w:sz="8" w:color="F2F2F2"/>
              <w:right w:val="single" w:sz="8" w:color="F2F2F2"/>
            </w:tcBorders>
            <w:shd w:val="clear" w:color="auto" w:fill="F2F2F2"/>
          </w:tcPr>
          <w:p>
            <w:pPr>
              <w:spacing w:after="0"/>
              <w:rPr>
                <w:sz w:val="6"/>
                <w:szCs w:val="6"/>
                <w:color w:val="auto"/>
              </w:rPr>
            </w:pPr>
          </w:p>
        </w:tc>
        <w:tc>
          <w:tcPr>
            <w:tcW w:w="400" w:type="dxa"/>
            <w:vAlign w:val="bottom"/>
            <w:tcBorders>
              <w:top w:val="single" w:sz="8" w:color="4A7EBB"/>
              <w:bottom w:val="single" w:sz="8" w:color="F2F2F2"/>
            </w:tcBorders>
            <w:shd w:val="clear" w:color="auto" w:fill="F2F2F2"/>
          </w:tcPr>
          <w:p>
            <w:pPr>
              <w:spacing w:after="0"/>
              <w:rPr>
                <w:sz w:val="6"/>
                <w:szCs w:val="6"/>
                <w:color w:val="auto"/>
              </w:rPr>
            </w:pPr>
          </w:p>
        </w:tc>
        <w:tc>
          <w:tcPr>
            <w:tcW w:w="320" w:type="dxa"/>
            <w:vAlign w:val="bottom"/>
            <w:tcBorders>
              <w:top w:val="single" w:sz="8" w:color="4A7EBB"/>
              <w:bottom w:val="single" w:sz="8" w:color="F2F2F2"/>
            </w:tcBorders>
            <w:shd w:val="clear" w:color="auto" w:fill="F2F2F2"/>
          </w:tcPr>
          <w:p>
            <w:pPr>
              <w:spacing w:after="0"/>
              <w:rPr>
                <w:sz w:val="6"/>
                <w:szCs w:val="6"/>
                <w:color w:val="auto"/>
              </w:rPr>
            </w:pPr>
          </w:p>
        </w:tc>
        <w:tc>
          <w:tcPr>
            <w:tcW w:w="480" w:type="dxa"/>
            <w:vAlign w:val="bottom"/>
            <w:tcBorders>
              <w:top w:val="single" w:sz="8" w:color="4A7EBB"/>
              <w:bottom w:val="single" w:sz="8" w:color="F2F2F2"/>
              <w:right w:val="single" w:sz="8" w:color="F2F2F2"/>
            </w:tcBorders>
            <w:shd w:val="clear" w:color="auto" w:fill="F2F2F2"/>
          </w:tcPr>
          <w:p>
            <w:pPr>
              <w:spacing w:after="0"/>
              <w:rPr>
                <w:sz w:val="6"/>
                <w:szCs w:val="6"/>
                <w:color w:val="auto"/>
              </w:rPr>
            </w:pPr>
          </w:p>
        </w:tc>
        <w:tc>
          <w:tcPr>
            <w:tcW w:w="200" w:type="dxa"/>
            <w:vAlign w:val="bottom"/>
            <w:tcBorders>
              <w:top w:val="single" w:sz="8" w:color="F2F2F2"/>
              <w:bottom w:val="single" w:sz="8" w:color="F2F2F2"/>
            </w:tcBorders>
            <w:shd w:val="clear" w:color="auto" w:fill="F2F2F2"/>
          </w:tcPr>
          <w:p>
            <w:pPr>
              <w:spacing w:after="0"/>
              <w:rPr>
                <w:sz w:val="6"/>
                <w:szCs w:val="6"/>
                <w:color w:val="auto"/>
              </w:rPr>
            </w:pPr>
          </w:p>
        </w:tc>
        <w:tc>
          <w:tcPr>
            <w:tcW w:w="80" w:type="dxa"/>
            <w:vAlign w:val="bottom"/>
            <w:tcBorders>
              <w:top w:val="single" w:sz="8" w:color="F2F2F2"/>
              <w:bottom w:val="single" w:sz="8" w:color="F2F2F2"/>
            </w:tcBorders>
            <w:shd w:val="clear" w:color="auto" w:fill="F2F2F2"/>
          </w:tcPr>
          <w:p>
            <w:pPr>
              <w:spacing w:after="0"/>
              <w:rPr>
                <w:sz w:val="6"/>
                <w:szCs w:val="6"/>
                <w:color w:val="auto"/>
              </w:rPr>
            </w:pPr>
          </w:p>
        </w:tc>
        <w:tc>
          <w:tcPr>
            <w:tcW w:w="460" w:type="dxa"/>
            <w:vAlign w:val="bottom"/>
            <w:tcBorders>
              <w:top w:val="single" w:sz="8" w:color="F2F2F2"/>
              <w:bottom w:val="single" w:sz="8" w:color="F2F2F2"/>
            </w:tcBorders>
            <w:shd w:val="clear" w:color="auto" w:fill="F2F2F2"/>
          </w:tcPr>
          <w:p>
            <w:pPr>
              <w:spacing w:after="0"/>
              <w:rPr>
                <w:sz w:val="6"/>
                <w:szCs w:val="6"/>
                <w:color w:val="auto"/>
              </w:rPr>
            </w:pPr>
          </w:p>
        </w:tc>
        <w:tc>
          <w:tcPr>
            <w:tcW w:w="20" w:type="dxa"/>
            <w:vAlign w:val="bottom"/>
            <w:tcBorders>
              <w:top w:val="single" w:sz="8" w:color="F2F2F2"/>
              <w:bottom w:val="single" w:sz="8" w:color="F2F2F2"/>
            </w:tcBorders>
            <w:shd w:val="clear" w:color="auto" w:fill="F2F2F2"/>
          </w:tcPr>
          <w:p>
            <w:pPr>
              <w:spacing w:after="0"/>
              <w:rPr>
                <w:sz w:val="6"/>
                <w:szCs w:val="6"/>
                <w:color w:val="auto"/>
              </w:rPr>
            </w:pPr>
          </w:p>
        </w:tc>
        <w:tc>
          <w:tcPr>
            <w:tcW w:w="180" w:type="dxa"/>
            <w:vAlign w:val="bottom"/>
            <w:tcBorders>
              <w:top w:val="single" w:sz="8" w:color="F2F2F2"/>
              <w:bottom w:val="single" w:sz="8" w:color="F2F2F2"/>
            </w:tcBorders>
            <w:shd w:val="clear" w:color="auto" w:fill="F2F2F2"/>
          </w:tcPr>
          <w:p>
            <w:pPr>
              <w:spacing w:after="0"/>
              <w:rPr>
                <w:sz w:val="6"/>
                <w:szCs w:val="6"/>
                <w:color w:val="auto"/>
              </w:rPr>
            </w:pPr>
          </w:p>
        </w:tc>
        <w:tc>
          <w:tcPr>
            <w:tcW w:w="140" w:type="dxa"/>
            <w:vAlign w:val="bottom"/>
            <w:tcBorders>
              <w:top w:val="single" w:sz="8" w:color="F2F2F2"/>
              <w:bottom w:val="single" w:sz="8" w:color="F2F2F2"/>
            </w:tcBorders>
            <w:shd w:val="clear" w:color="auto" w:fill="F2F2F2"/>
          </w:tcPr>
          <w:p>
            <w:pPr>
              <w:spacing w:after="0"/>
              <w:rPr>
                <w:sz w:val="6"/>
                <w:szCs w:val="6"/>
                <w:color w:val="auto"/>
              </w:rPr>
            </w:pPr>
          </w:p>
        </w:tc>
        <w:tc>
          <w:tcPr>
            <w:tcW w:w="340" w:type="dxa"/>
            <w:vAlign w:val="bottom"/>
            <w:tcBorders>
              <w:top w:val="single" w:sz="8" w:color="F2F2F2"/>
              <w:bottom w:val="single" w:sz="8" w:color="548DD4"/>
            </w:tcBorders>
            <w:shd w:val="clear" w:color="auto" w:fill="F2F2F2"/>
          </w:tcPr>
          <w:p>
            <w:pPr>
              <w:spacing w:after="0"/>
              <w:rPr>
                <w:sz w:val="6"/>
                <w:szCs w:val="6"/>
                <w:color w:val="auto"/>
              </w:rPr>
            </w:pPr>
          </w:p>
        </w:tc>
        <w:tc>
          <w:tcPr>
            <w:tcW w:w="640" w:type="dxa"/>
            <w:vAlign w:val="bottom"/>
            <w:tcBorders>
              <w:top w:val="single" w:sz="8" w:color="F2F2F2"/>
              <w:bottom w:val="single" w:sz="8" w:color="548DD4"/>
              <w:right w:val="single" w:sz="8" w:color="F2F2F2"/>
            </w:tcBorders>
            <w:shd w:val="clear" w:color="auto" w:fill="F2F2F2"/>
          </w:tcPr>
          <w:p>
            <w:pPr>
              <w:spacing w:after="0"/>
              <w:rPr>
                <w:sz w:val="6"/>
                <w:szCs w:val="6"/>
                <w:color w:val="auto"/>
              </w:rPr>
            </w:pPr>
          </w:p>
        </w:tc>
        <w:tc>
          <w:tcPr>
            <w:tcW w:w="1460" w:type="dxa"/>
            <w:vAlign w:val="bottom"/>
            <w:tcBorders>
              <w:top w:val="single" w:sz="8" w:color="F2F2F2"/>
              <w:bottom w:val="single" w:sz="8" w:color="548DD4"/>
              <w:right w:val="single" w:sz="8" w:color="F2F2F2"/>
            </w:tcBorders>
            <w:shd w:val="clear" w:color="auto" w:fill="F2F2F2"/>
          </w:tcPr>
          <w:p>
            <w:pPr>
              <w:spacing w:after="0"/>
              <w:rPr>
                <w:sz w:val="6"/>
                <w:szCs w:val="6"/>
                <w:color w:val="auto"/>
              </w:rPr>
            </w:pPr>
          </w:p>
        </w:tc>
        <w:tc>
          <w:tcPr>
            <w:tcW w:w="360" w:type="dxa"/>
            <w:vAlign w:val="bottom"/>
            <w:tcBorders>
              <w:top w:val="single" w:sz="8" w:color="F2F2F2"/>
              <w:bottom w:val="single" w:sz="8" w:color="548DD4"/>
            </w:tcBorders>
            <w:shd w:val="clear" w:color="auto" w:fill="F2F2F2"/>
          </w:tcPr>
          <w:p>
            <w:pPr>
              <w:spacing w:after="0"/>
              <w:rPr>
                <w:sz w:val="6"/>
                <w:szCs w:val="6"/>
                <w:color w:val="auto"/>
              </w:rPr>
            </w:pPr>
          </w:p>
        </w:tc>
        <w:tc>
          <w:tcPr>
            <w:tcW w:w="20" w:type="dxa"/>
            <w:vAlign w:val="bottom"/>
            <w:tcBorders>
              <w:top w:val="single" w:sz="8" w:color="F2F2F2"/>
              <w:bottom w:val="single" w:sz="8" w:color="548DD4"/>
            </w:tcBorders>
            <w:shd w:val="clear" w:color="auto" w:fill="F2F2F2"/>
          </w:tcPr>
          <w:p>
            <w:pPr>
              <w:spacing w:after="0"/>
              <w:rPr>
                <w:sz w:val="6"/>
                <w:szCs w:val="6"/>
                <w:color w:val="auto"/>
              </w:rPr>
            </w:pPr>
          </w:p>
        </w:tc>
        <w:tc>
          <w:tcPr>
            <w:tcW w:w="40" w:type="dxa"/>
            <w:vAlign w:val="bottom"/>
            <w:tcBorders>
              <w:top w:val="single" w:sz="8" w:color="F2F2F2"/>
              <w:bottom w:val="single" w:sz="8" w:color="548DD4"/>
            </w:tcBorders>
            <w:shd w:val="clear" w:color="auto" w:fill="F2F2F2"/>
          </w:tcPr>
          <w:p>
            <w:pPr>
              <w:spacing w:after="0"/>
              <w:rPr>
                <w:sz w:val="6"/>
                <w:szCs w:val="6"/>
                <w:color w:val="auto"/>
              </w:rPr>
            </w:pPr>
          </w:p>
        </w:tc>
        <w:tc>
          <w:tcPr>
            <w:tcW w:w="160" w:type="dxa"/>
            <w:vAlign w:val="bottom"/>
            <w:tcBorders>
              <w:top w:val="single" w:sz="8" w:color="F2F2F2"/>
              <w:bottom w:val="single" w:sz="8" w:color="548DD4"/>
            </w:tcBorders>
            <w:shd w:val="clear" w:color="auto" w:fill="F2F2F2"/>
          </w:tcPr>
          <w:p>
            <w:pPr>
              <w:spacing w:after="0"/>
              <w:rPr>
                <w:sz w:val="6"/>
                <w:szCs w:val="6"/>
                <w:color w:val="auto"/>
              </w:rPr>
            </w:pPr>
          </w:p>
        </w:tc>
        <w:tc>
          <w:tcPr>
            <w:tcW w:w="180" w:type="dxa"/>
            <w:vAlign w:val="bottom"/>
            <w:tcBorders>
              <w:top w:val="single" w:sz="8" w:color="F2F2F2"/>
              <w:bottom w:val="single" w:sz="8" w:color="548DD4"/>
            </w:tcBorders>
            <w:shd w:val="clear" w:color="auto" w:fill="F2F2F2"/>
          </w:tcPr>
          <w:p>
            <w:pPr>
              <w:spacing w:after="0"/>
              <w:rPr>
                <w:sz w:val="6"/>
                <w:szCs w:val="6"/>
                <w:color w:val="auto"/>
              </w:rPr>
            </w:pPr>
          </w:p>
        </w:tc>
        <w:tc>
          <w:tcPr>
            <w:tcW w:w="820" w:type="dxa"/>
            <w:vAlign w:val="bottom"/>
            <w:tcBorders>
              <w:top w:val="single" w:sz="8" w:color="F2F2F2"/>
              <w:bottom w:val="single" w:sz="8" w:color="548DD4"/>
            </w:tcBorders>
            <w:shd w:val="clear" w:color="auto" w:fill="F2F2F2"/>
          </w:tcPr>
          <w:p>
            <w:pPr>
              <w:spacing w:after="0"/>
              <w:rPr>
                <w:sz w:val="6"/>
                <w:szCs w:val="6"/>
                <w:color w:val="auto"/>
              </w:rPr>
            </w:pPr>
          </w:p>
        </w:tc>
        <w:tc>
          <w:tcPr>
            <w:tcW w:w="200" w:type="dxa"/>
            <w:vAlign w:val="bottom"/>
            <w:tcBorders>
              <w:top w:val="single" w:sz="8" w:color="F2F2F2"/>
              <w:bottom w:val="single" w:sz="8" w:color="548DD4"/>
            </w:tcBorders>
            <w:shd w:val="clear" w:color="auto" w:fill="F2F2F2"/>
          </w:tcPr>
          <w:p>
            <w:pPr>
              <w:spacing w:after="0"/>
              <w:rPr>
                <w:sz w:val="6"/>
                <w:szCs w:val="6"/>
                <w:color w:val="auto"/>
              </w:rPr>
            </w:pPr>
          </w:p>
        </w:tc>
        <w:tc>
          <w:tcPr>
            <w:tcW w:w="60" w:type="dxa"/>
            <w:vAlign w:val="bottom"/>
            <w:tcBorders>
              <w:top w:val="single" w:sz="8" w:color="F2F2F2"/>
              <w:bottom w:val="single" w:sz="8" w:color="548DD4"/>
            </w:tcBorders>
            <w:shd w:val="clear" w:color="auto" w:fill="F2F2F2"/>
          </w:tcPr>
          <w:p>
            <w:pPr>
              <w:spacing w:after="0"/>
              <w:rPr>
                <w:sz w:val="6"/>
                <w:szCs w:val="6"/>
                <w:color w:val="auto"/>
              </w:rPr>
            </w:pPr>
          </w:p>
        </w:tc>
        <w:tc>
          <w:tcPr>
            <w:tcW w:w="220" w:type="dxa"/>
            <w:vAlign w:val="bottom"/>
            <w:tcBorders>
              <w:top w:val="single" w:sz="8" w:color="F2F2F2"/>
              <w:bottom w:val="single" w:sz="8" w:color="548DD4"/>
            </w:tcBorders>
            <w:shd w:val="clear" w:color="auto" w:fill="F2F2F2"/>
          </w:tcPr>
          <w:p>
            <w:pPr>
              <w:spacing w:after="0"/>
              <w:rPr>
                <w:sz w:val="6"/>
                <w:szCs w:val="6"/>
                <w:color w:val="auto"/>
              </w:rPr>
            </w:pPr>
          </w:p>
        </w:tc>
        <w:tc>
          <w:tcPr>
            <w:tcW w:w="20" w:type="dxa"/>
            <w:vAlign w:val="bottom"/>
            <w:tcBorders>
              <w:top w:val="single" w:sz="8" w:color="F2F2F2"/>
              <w:bottom w:val="single" w:sz="8" w:color="548DD4"/>
            </w:tcBorders>
            <w:shd w:val="clear" w:color="auto" w:fill="F2F2F2"/>
          </w:tcPr>
          <w:p>
            <w:pPr>
              <w:spacing w:after="0"/>
              <w:rPr>
                <w:sz w:val="6"/>
                <w:szCs w:val="6"/>
                <w:color w:val="auto"/>
              </w:rPr>
            </w:pPr>
          </w:p>
        </w:tc>
        <w:tc>
          <w:tcPr>
            <w:tcW w:w="160" w:type="dxa"/>
            <w:vAlign w:val="bottom"/>
            <w:tcBorders>
              <w:top w:val="single" w:sz="8" w:color="F2F2F2"/>
              <w:bottom w:val="single" w:sz="8" w:color="548DD4"/>
            </w:tcBorders>
            <w:shd w:val="clear" w:color="auto" w:fill="F2F2F2"/>
          </w:tcPr>
          <w:p>
            <w:pPr>
              <w:spacing w:after="0"/>
              <w:rPr>
                <w:sz w:val="6"/>
                <w:szCs w:val="6"/>
                <w:color w:val="auto"/>
              </w:rPr>
            </w:pPr>
          </w:p>
        </w:tc>
        <w:tc>
          <w:tcPr>
            <w:tcW w:w="80" w:type="dxa"/>
            <w:vAlign w:val="bottom"/>
            <w:tcBorders>
              <w:top w:val="single" w:sz="8" w:color="F2F2F2"/>
              <w:bottom w:val="single" w:sz="8" w:color="548DD4"/>
            </w:tcBorders>
            <w:shd w:val="clear" w:color="auto" w:fill="F2F2F2"/>
          </w:tcPr>
          <w:p>
            <w:pPr>
              <w:spacing w:after="0"/>
              <w:rPr>
                <w:sz w:val="6"/>
                <w:szCs w:val="6"/>
                <w:color w:val="auto"/>
              </w:rPr>
            </w:pPr>
          </w:p>
        </w:tc>
        <w:tc>
          <w:tcPr>
            <w:tcW w:w="80" w:type="dxa"/>
            <w:vAlign w:val="bottom"/>
            <w:tcBorders>
              <w:top w:val="single" w:sz="8" w:color="F2F2F2"/>
              <w:bottom w:val="single" w:sz="8" w:color="548DD4"/>
            </w:tcBorders>
            <w:shd w:val="clear" w:color="auto" w:fill="F2F2F2"/>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1000" w:type="dxa"/>
            <w:vAlign w:val="bottom"/>
            <w:shd w:val="clear" w:color="auto" w:fill="F2F2F2"/>
          </w:tcPr>
          <w:p>
            <w:pPr>
              <w:jc w:val="right"/>
              <w:ind w:right="15"/>
              <w:spacing w:after="0" w:line="169" w:lineRule="exact"/>
              <w:rPr>
                <w:sz w:val="20"/>
                <w:szCs w:val="20"/>
                <w:color w:val="auto"/>
              </w:rPr>
            </w:pPr>
            <w:r>
              <w:rPr>
                <w:rFonts w:ascii="Arial" w:cs="Arial" w:eastAsia="Arial" w:hAnsi="Arial"/>
                <w:sz w:val="16"/>
                <w:szCs w:val="16"/>
                <w:color w:val="auto"/>
              </w:rPr>
              <w:t>31</w:t>
            </w:r>
          </w:p>
        </w:tc>
        <w:tc>
          <w:tcPr>
            <w:tcW w:w="3940" w:type="dxa"/>
            <w:vAlign w:val="bottom"/>
            <w:tcBorders>
              <w:left w:val="single" w:sz="8" w:color="F2F2F2"/>
            </w:tcBorders>
            <w:gridSpan w:val="13"/>
            <w:shd w:val="clear" w:color="auto" w:fill="F2F2F2"/>
          </w:tcPr>
          <w:p>
            <w:pPr>
              <w:spacing w:after="0" w:line="169" w:lineRule="exact"/>
              <w:rPr>
                <w:sz w:val="20"/>
                <w:szCs w:val="20"/>
                <w:color w:val="auto"/>
              </w:rPr>
            </w:pPr>
            <w:r>
              <w:rPr>
                <w:rFonts w:ascii="Arial" w:cs="Arial" w:eastAsia="Arial" w:hAnsi="Arial"/>
                <w:sz w:val="16"/>
                <w:szCs w:val="16"/>
                <w:color w:val="0000EE"/>
              </w:rPr>
              <w:t>Our Compensation Philosophy</w:t>
            </w:r>
          </w:p>
        </w:tc>
        <w:tc>
          <w:tcPr>
            <w:tcW w:w="140" w:type="dxa"/>
            <w:vAlign w:val="bottom"/>
            <w:shd w:val="clear" w:color="auto" w:fill="F2F2F2"/>
          </w:tcPr>
          <w:p>
            <w:pPr>
              <w:spacing w:after="0"/>
              <w:rPr>
                <w:sz w:val="15"/>
                <w:szCs w:val="15"/>
                <w:color w:val="auto"/>
              </w:rPr>
            </w:pPr>
          </w:p>
        </w:tc>
        <w:tc>
          <w:tcPr>
            <w:tcW w:w="340" w:type="dxa"/>
            <w:vAlign w:val="bottom"/>
            <w:shd w:val="clear" w:color="auto" w:fill="F2F2F2"/>
          </w:tcPr>
          <w:p>
            <w:pPr>
              <w:spacing w:after="0"/>
              <w:rPr>
                <w:sz w:val="15"/>
                <w:szCs w:val="15"/>
                <w:color w:val="auto"/>
              </w:rPr>
            </w:pPr>
          </w:p>
        </w:tc>
        <w:tc>
          <w:tcPr>
            <w:tcW w:w="640" w:type="dxa"/>
            <w:vAlign w:val="bottom"/>
            <w:tcBorders>
              <w:right w:val="single" w:sz="8" w:color="F2F2F2"/>
            </w:tcBorders>
            <w:shd w:val="clear" w:color="auto" w:fill="F2F2F2"/>
          </w:tcPr>
          <w:p>
            <w:pPr>
              <w:jc w:val="right"/>
              <w:ind w:right="16"/>
              <w:spacing w:after="0" w:line="169" w:lineRule="exact"/>
              <w:rPr>
                <w:sz w:val="20"/>
                <w:szCs w:val="20"/>
                <w:color w:val="auto"/>
              </w:rPr>
            </w:pPr>
            <w:r>
              <w:rPr>
                <w:rFonts w:ascii="Arial" w:cs="Arial" w:eastAsia="Arial" w:hAnsi="Arial"/>
                <w:sz w:val="19"/>
                <w:szCs w:val="19"/>
                <w:b w:val="1"/>
                <w:bCs w:val="1"/>
                <w:color w:val="4A7EBB"/>
              </w:rPr>
              <w:t>36</w:t>
            </w:r>
          </w:p>
        </w:tc>
        <w:tc>
          <w:tcPr>
            <w:tcW w:w="3860" w:type="dxa"/>
            <w:vAlign w:val="bottom"/>
            <w:gridSpan w:val="14"/>
            <w:shd w:val="clear" w:color="auto" w:fill="F2F2F2"/>
          </w:tcPr>
          <w:p>
            <w:pPr>
              <w:spacing w:after="0" w:line="169" w:lineRule="exact"/>
              <w:rPr>
                <w:sz w:val="20"/>
                <w:szCs w:val="20"/>
                <w:color w:val="auto"/>
              </w:rPr>
            </w:pPr>
            <w:r>
              <w:rPr>
                <w:rFonts w:ascii="Arial" w:cs="Arial" w:eastAsia="Arial" w:hAnsi="Arial"/>
                <w:sz w:val="16"/>
                <w:szCs w:val="16"/>
                <w:b w:val="1"/>
                <w:bCs w:val="1"/>
                <w:color w:val="4A7EBB"/>
              </w:rPr>
              <w:t>HOW WE MAKE COMPENSATION DECISIONS</w:t>
            </w:r>
          </w:p>
        </w:tc>
        <w:tc>
          <w:tcPr>
            <w:tcW w:w="0" w:type="dxa"/>
            <w:vAlign w:val="bottom"/>
          </w:tcPr>
          <w:p>
            <w:pPr>
              <w:spacing w:after="0"/>
              <w:rPr>
                <w:sz w:val="1"/>
                <w:szCs w:val="1"/>
                <w:color w:val="auto"/>
              </w:rPr>
            </w:pPr>
          </w:p>
        </w:tc>
      </w:tr>
      <w:tr>
        <w:trPr>
          <w:trHeight w:val="263"/>
        </w:trPr>
        <w:tc>
          <w:tcPr>
            <w:tcW w:w="1000" w:type="dxa"/>
            <w:vAlign w:val="bottom"/>
            <w:tcBorders>
              <w:top w:val="single" w:sz="8" w:color="F2F2F2"/>
            </w:tcBorders>
            <w:shd w:val="clear" w:color="auto" w:fill="F2F2F2"/>
          </w:tcPr>
          <w:p>
            <w:pPr>
              <w:jc w:val="right"/>
              <w:ind w:right="15"/>
              <w:spacing w:after="0"/>
              <w:rPr>
                <w:sz w:val="20"/>
                <w:szCs w:val="20"/>
                <w:color w:val="auto"/>
              </w:rPr>
            </w:pPr>
            <w:r>
              <w:rPr>
                <w:rFonts w:ascii="Arial" w:cs="Arial" w:eastAsia="Arial" w:hAnsi="Arial"/>
                <w:sz w:val="16"/>
                <w:szCs w:val="16"/>
                <w:color w:val="auto"/>
              </w:rPr>
              <w:t>31</w:t>
            </w:r>
          </w:p>
        </w:tc>
        <w:tc>
          <w:tcPr>
            <w:tcW w:w="2200" w:type="dxa"/>
            <w:vAlign w:val="bottom"/>
            <w:tcBorders>
              <w:top w:val="single" w:sz="8" w:color="0000EE"/>
              <w:left w:val="single" w:sz="8" w:color="F2F2F2"/>
            </w:tcBorders>
            <w:gridSpan w:val="6"/>
            <w:shd w:val="clear" w:color="auto" w:fill="F2F2F2"/>
          </w:tcPr>
          <w:p>
            <w:pPr>
              <w:spacing w:after="0"/>
              <w:rPr>
                <w:sz w:val="20"/>
                <w:szCs w:val="20"/>
                <w:color w:val="auto"/>
              </w:rPr>
            </w:pPr>
            <w:r>
              <w:rPr>
                <w:rFonts w:ascii="Arial" w:cs="Arial" w:eastAsia="Arial" w:hAnsi="Arial"/>
                <w:sz w:val="16"/>
                <w:szCs w:val="16"/>
                <w:color w:val="0000EE"/>
              </w:rPr>
              <w:t>Base Salary</w:t>
            </w:r>
          </w:p>
        </w:tc>
        <w:tc>
          <w:tcPr>
            <w:tcW w:w="1740" w:type="dxa"/>
            <w:vAlign w:val="bottom"/>
            <w:tcBorders>
              <w:top w:val="single" w:sz="8" w:color="F2F2F2"/>
            </w:tcBorders>
            <w:gridSpan w:val="7"/>
            <w:shd w:val="clear" w:color="auto" w:fill="F2F2F2"/>
          </w:tcPr>
          <w:p>
            <w:pPr>
              <w:spacing w:after="0"/>
              <w:rPr>
                <w:sz w:val="22"/>
                <w:szCs w:val="22"/>
                <w:color w:val="auto"/>
              </w:rPr>
            </w:pPr>
          </w:p>
        </w:tc>
        <w:tc>
          <w:tcPr>
            <w:tcW w:w="140" w:type="dxa"/>
            <w:vAlign w:val="bottom"/>
            <w:tcBorders>
              <w:top w:val="single" w:sz="8" w:color="F2F2F2"/>
            </w:tcBorders>
            <w:shd w:val="clear" w:color="auto" w:fill="F2F2F2"/>
          </w:tcPr>
          <w:p>
            <w:pPr>
              <w:spacing w:after="0"/>
              <w:rPr>
                <w:sz w:val="22"/>
                <w:szCs w:val="22"/>
                <w:color w:val="auto"/>
              </w:rPr>
            </w:pPr>
          </w:p>
        </w:tc>
        <w:tc>
          <w:tcPr>
            <w:tcW w:w="340" w:type="dxa"/>
            <w:vAlign w:val="bottom"/>
            <w:tcBorders>
              <w:top w:val="single" w:sz="8" w:color="F2F2F2"/>
            </w:tcBorders>
            <w:shd w:val="clear" w:color="auto" w:fill="F2F2F2"/>
          </w:tcPr>
          <w:p>
            <w:pPr>
              <w:spacing w:after="0"/>
              <w:rPr>
                <w:sz w:val="22"/>
                <w:szCs w:val="22"/>
                <w:color w:val="auto"/>
              </w:rPr>
            </w:pPr>
          </w:p>
        </w:tc>
        <w:tc>
          <w:tcPr>
            <w:tcW w:w="640" w:type="dxa"/>
            <w:vAlign w:val="bottom"/>
            <w:tcBorders>
              <w:top w:val="single" w:sz="8" w:color="F2F2F2"/>
              <w:right w:val="single" w:sz="8" w:color="F2F2F2"/>
            </w:tcBorders>
            <w:shd w:val="clear" w:color="auto" w:fill="F2F2F2"/>
          </w:tcPr>
          <w:p>
            <w:pPr>
              <w:jc w:val="right"/>
              <w:ind w:right="16"/>
              <w:spacing w:after="0"/>
              <w:rPr>
                <w:sz w:val="20"/>
                <w:szCs w:val="20"/>
                <w:color w:val="auto"/>
              </w:rPr>
            </w:pPr>
            <w:r>
              <w:rPr>
                <w:rFonts w:ascii="Arial" w:cs="Arial" w:eastAsia="Arial" w:hAnsi="Arial"/>
                <w:sz w:val="16"/>
                <w:szCs w:val="16"/>
                <w:color w:val="auto"/>
              </w:rPr>
              <w:t>36</w:t>
            </w:r>
          </w:p>
        </w:tc>
        <w:tc>
          <w:tcPr>
            <w:tcW w:w="3520" w:type="dxa"/>
            <w:vAlign w:val="bottom"/>
            <w:tcBorders>
              <w:top w:val="single" w:sz="8" w:color="4A7EBB"/>
            </w:tcBorders>
            <w:gridSpan w:val="10"/>
            <w:shd w:val="clear" w:color="auto" w:fill="F2F2F2"/>
          </w:tcPr>
          <w:p>
            <w:pPr>
              <w:spacing w:after="0"/>
              <w:rPr>
                <w:sz w:val="20"/>
                <w:szCs w:val="20"/>
                <w:color w:val="auto"/>
              </w:rPr>
            </w:pPr>
            <w:r>
              <w:rPr>
                <w:rFonts w:ascii="Arial" w:cs="Arial" w:eastAsia="Arial" w:hAnsi="Arial"/>
                <w:sz w:val="16"/>
                <w:szCs w:val="16"/>
                <w:color w:val="0000EE"/>
              </w:rPr>
              <w:t>The Role of the Compensation Committee</w:t>
            </w:r>
          </w:p>
        </w:tc>
        <w:tc>
          <w:tcPr>
            <w:tcW w:w="340" w:type="dxa"/>
            <w:vAlign w:val="bottom"/>
            <w:tcBorders>
              <w:top w:val="single" w:sz="8" w:color="F2F2F2"/>
            </w:tcBorders>
            <w:gridSpan w:val="4"/>
            <w:shd w:val="clear" w:color="auto" w:fill="F2F2F2"/>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00" w:type="dxa"/>
            <w:vAlign w:val="bottom"/>
            <w:shd w:val="clear" w:color="auto" w:fill="F2F2F2"/>
          </w:tcPr>
          <w:p>
            <w:pPr>
              <w:spacing w:after="0" w:line="20" w:lineRule="exact"/>
              <w:rPr>
                <w:sz w:val="1"/>
                <w:szCs w:val="1"/>
                <w:color w:val="auto"/>
              </w:rPr>
            </w:pPr>
          </w:p>
        </w:tc>
        <w:tc>
          <w:tcPr>
            <w:tcW w:w="880" w:type="dxa"/>
            <w:vAlign w:val="bottom"/>
            <w:tcBorders>
              <w:left w:val="single" w:sz="8" w:color="0000EE"/>
            </w:tcBorders>
            <w:gridSpan w:val="2"/>
            <w:shd w:val="clear" w:color="auto" w:fill="0000EE"/>
          </w:tcPr>
          <w:p>
            <w:pPr>
              <w:spacing w:after="0" w:line="20" w:lineRule="exact"/>
              <w:rPr>
                <w:sz w:val="1"/>
                <w:szCs w:val="1"/>
                <w:color w:val="auto"/>
              </w:rPr>
            </w:pPr>
          </w:p>
        </w:tc>
        <w:tc>
          <w:tcPr>
            <w:tcW w:w="420" w:type="dxa"/>
            <w:vAlign w:val="bottom"/>
            <w:tcBorders>
              <w:right w:val="single" w:sz="8" w:color="F2F2F2"/>
            </w:tcBorders>
            <w:shd w:val="clear" w:color="auto" w:fill="F2F2F2"/>
          </w:tcPr>
          <w:p>
            <w:pPr>
              <w:spacing w:after="0" w:line="20" w:lineRule="exact"/>
              <w:rPr>
                <w:sz w:val="1"/>
                <w:szCs w:val="1"/>
                <w:color w:val="auto"/>
              </w:rPr>
            </w:pPr>
          </w:p>
        </w:tc>
        <w:tc>
          <w:tcPr>
            <w:tcW w:w="280" w:type="dxa"/>
            <w:vAlign w:val="bottom"/>
            <w:tcBorders>
              <w:right w:val="single" w:sz="8" w:color="F2F2F2"/>
            </w:tcBorders>
            <w:shd w:val="clear" w:color="auto" w:fill="F2F2F2"/>
          </w:tcPr>
          <w:p>
            <w:pPr>
              <w:spacing w:after="0" w:line="20" w:lineRule="exact"/>
              <w:rPr>
                <w:sz w:val="1"/>
                <w:szCs w:val="1"/>
                <w:color w:val="auto"/>
              </w:rPr>
            </w:pPr>
          </w:p>
        </w:tc>
        <w:tc>
          <w:tcPr>
            <w:tcW w:w="220" w:type="dxa"/>
            <w:vAlign w:val="bottom"/>
            <w:tcBorders>
              <w:right w:val="single" w:sz="8" w:color="F2F2F2"/>
            </w:tcBorders>
            <w:shd w:val="clear" w:color="auto" w:fill="F2F2F2"/>
          </w:tcPr>
          <w:p>
            <w:pPr>
              <w:spacing w:after="0" w:line="20" w:lineRule="exact"/>
              <w:rPr>
                <w:sz w:val="1"/>
                <w:szCs w:val="1"/>
                <w:color w:val="auto"/>
              </w:rPr>
            </w:pPr>
          </w:p>
        </w:tc>
        <w:tc>
          <w:tcPr>
            <w:tcW w:w="1480" w:type="dxa"/>
            <w:vAlign w:val="bottom"/>
            <w:gridSpan w:val="5"/>
            <w:shd w:val="clear" w:color="auto" w:fill="F2F2F2"/>
          </w:tcPr>
          <w:p>
            <w:pPr>
              <w:spacing w:after="0" w:line="20" w:lineRule="exact"/>
              <w:rPr>
                <w:sz w:val="1"/>
                <w:szCs w:val="1"/>
                <w:color w:val="auto"/>
              </w:rPr>
            </w:pPr>
          </w:p>
        </w:tc>
        <w:tc>
          <w:tcPr>
            <w:tcW w:w="660" w:type="dxa"/>
            <w:vAlign w:val="bottom"/>
            <w:gridSpan w:val="3"/>
            <w:shd w:val="clear" w:color="auto" w:fill="F2F2F2"/>
          </w:tcPr>
          <w:p>
            <w:pPr>
              <w:spacing w:after="0" w:line="20" w:lineRule="exact"/>
              <w:rPr>
                <w:sz w:val="1"/>
                <w:szCs w:val="1"/>
                <w:color w:val="auto"/>
              </w:rPr>
            </w:pPr>
          </w:p>
        </w:tc>
        <w:tc>
          <w:tcPr>
            <w:tcW w:w="140" w:type="dxa"/>
            <w:vAlign w:val="bottom"/>
            <w:shd w:val="clear" w:color="auto" w:fill="F2F2F2"/>
          </w:tcPr>
          <w:p>
            <w:pPr>
              <w:spacing w:after="0" w:line="20" w:lineRule="exact"/>
              <w:rPr>
                <w:sz w:val="1"/>
                <w:szCs w:val="1"/>
                <w:color w:val="auto"/>
              </w:rPr>
            </w:pPr>
          </w:p>
        </w:tc>
        <w:tc>
          <w:tcPr>
            <w:tcW w:w="340" w:type="dxa"/>
            <w:vAlign w:val="bottom"/>
            <w:shd w:val="clear" w:color="auto" w:fill="F2F2F2"/>
          </w:tcPr>
          <w:p>
            <w:pPr>
              <w:spacing w:after="0" w:line="20" w:lineRule="exact"/>
              <w:rPr>
                <w:sz w:val="1"/>
                <w:szCs w:val="1"/>
                <w:color w:val="auto"/>
              </w:rPr>
            </w:pPr>
          </w:p>
        </w:tc>
        <w:tc>
          <w:tcPr>
            <w:tcW w:w="640" w:type="dxa"/>
            <w:vAlign w:val="bottom"/>
            <w:tcBorders>
              <w:right w:val="single" w:sz="8" w:color="F2F2F2"/>
            </w:tcBorders>
            <w:shd w:val="clear" w:color="auto" w:fill="F2F2F2"/>
          </w:tcPr>
          <w:p>
            <w:pPr>
              <w:spacing w:after="0" w:line="20" w:lineRule="exact"/>
              <w:rPr>
                <w:sz w:val="1"/>
                <w:szCs w:val="1"/>
                <w:color w:val="auto"/>
              </w:rPr>
            </w:pPr>
          </w:p>
        </w:tc>
        <w:tc>
          <w:tcPr>
            <w:tcW w:w="146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0" w:type="dxa"/>
            <w:vAlign w:val="bottom"/>
            <w:shd w:val="clear" w:color="auto" w:fill="F2F2F2"/>
          </w:tcPr>
          <w:p>
            <w:pPr>
              <w:spacing w:after="0" w:line="20" w:lineRule="exact"/>
              <w:rPr>
                <w:sz w:val="1"/>
                <w:szCs w:val="1"/>
                <w:color w:val="auto"/>
              </w:rPr>
            </w:pPr>
          </w:p>
        </w:tc>
        <w:tc>
          <w:tcPr>
            <w:tcW w:w="60" w:type="dxa"/>
            <w:vAlign w:val="bottom"/>
            <w:shd w:val="clear" w:color="auto" w:fill="F2F2F2"/>
          </w:tcPr>
          <w:p>
            <w:pPr>
              <w:spacing w:after="0" w:line="20" w:lineRule="exact"/>
              <w:rPr>
                <w:sz w:val="1"/>
                <w:szCs w:val="1"/>
                <w:color w:val="auto"/>
              </w:rPr>
            </w:pPr>
          </w:p>
        </w:tc>
        <w:tc>
          <w:tcPr>
            <w:tcW w:w="220" w:type="dxa"/>
            <w:vAlign w:val="bottom"/>
            <w:shd w:val="clear" w:color="auto" w:fill="F2F2F2"/>
          </w:tcPr>
          <w:p>
            <w:pPr>
              <w:spacing w:after="0" w:line="20" w:lineRule="exact"/>
              <w:rPr>
                <w:sz w:val="1"/>
                <w:szCs w:val="1"/>
                <w:color w:val="auto"/>
              </w:rPr>
            </w:pPr>
          </w:p>
        </w:tc>
        <w:tc>
          <w:tcPr>
            <w:tcW w:w="20" w:type="dxa"/>
            <w:vAlign w:val="bottom"/>
            <w:shd w:val="clear" w:color="auto" w:fill="F2F2F2"/>
          </w:tcPr>
          <w:p>
            <w:pPr>
              <w:spacing w:after="0" w:line="20" w:lineRule="exact"/>
              <w:rPr>
                <w:sz w:val="1"/>
                <w:szCs w:val="1"/>
                <w:color w:val="auto"/>
              </w:rPr>
            </w:pPr>
          </w:p>
        </w:tc>
        <w:tc>
          <w:tcPr>
            <w:tcW w:w="160" w:type="dxa"/>
            <w:vAlign w:val="bottom"/>
            <w:shd w:val="clear" w:color="auto" w:fill="F2F2F2"/>
          </w:tcPr>
          <w:p>
            <w:pPr>
              <w:spacing w:after="0" w:line="20" w:lineRule="exact"/>
              <w:rPr>
                <w:sz w:val="1"/>
                <w:szCs w:val="1"/>
                <w:color w:val="auto"/>
              </w:rPr>
            </w:pPr>
          </w:p>
        </w:tc>
        <w:tc>
          <w:tcPr>
            <w:tcW w:w="80" w:type="dxa"/>
            <w:vAlign w:val="bottom"/>
            <w:shd w:val="clear" w:color="auto" w:fill="F2F2F2"/>
          </w:tcPr>
          <w:p>
            <w:pPr>
              <w:spacing w:after="0" w:line="20" w:lineRule="exact"/>
              <w:rPr>
                <w:sz w:val="1"/>
                <w:szCs w:val="1"/>
                <w:color w:val="auto"/>
              </w:rPr>
            </w:pPr>
          </w:p>
        </w:tc>
        <w:tc>
          <w:tcPr>
            <w:tcW w:w="80" w:type="dxa"/>
            <w:vAlign w:val="bottom"/>
            <w:shd w:val="clear" w:color="auto" w:fill="F2F2F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00" w:type="dxa"/>
            <w:vAlign w:val="bottom"/>
            <w:vMerge w:val="restart"/>
            <w:shd w:val="clear" w:color="auto" w:fill="F2F2F2"/>
          </w:tcPr>
          <w:p>
            <w:pPr>
              <w:jc w:val="right"/>
              <w:ind w:right="15"/>
              <w:spacing w:after="0"/>
              <w:rPr>
                <w:sz w:val="20"/>
                <w:szCs w:val="20"/>
                <w:color w:val="auto"/>
              </w:rPr>
            </w:pPr>
            <w:r>
              <w:rPr>
                <w:rFonts w:ascii="Arial" w:cs="Arial" w:eastAsia="Arial" w:hAnsi="Arial"/>
                <w:sz w:val="16"/>
                <w:szCs w:val="16"/>
                <w:color w:val="auto"/>
              </w:rPr>
              <w:t>31</w:t>
            </w:r>
          </w:p>
        </w:tc>
        <w:tc>
          <w:tcPr>
            <w:tcW w:w="3940" w:type="dxa"/>
            <w:vAlign w:val="bottom"/>
            <w:tcBorders>
              <w:left w:val="single" w:sz="8" w:color="F2F2F2"/>
            </w:tcBorders>
            <w:gridSpan w:val="13"/>
            <w:shd w:val="clear" w:color="auto" w:fill="F2F2F2"/>
          </w:tcPr>
          <w:p>
            <w:pPr>
              <w:spacing w:after="0"/>
              <w:rPr>
                <w:sz w:val="20"/>
                <w:szCs w:val="20"/>
                <w:color w:val="auto"/>
              </w:rPr>
            </w:pPr>
            <w:r>
              <w:rPr>
                <w:rFonts w:ascii="Arial" w:cs="Arial" w:eastAsia="Arial" w:hAnsi="Arial"/>
                <w:sz w:val="16"/>
                <w:szCs w:val="16"/>
                <w:color w:val="0000EE"/>
              </w:rPr>
              <w:t>Annual Cash Incentives for Our Other Named</w:t>
            </w:r>
          </w:p>
        </w:tc>
        <w:tc>
          <w:tcPr>
            <w:tcW w:w="140" w:type="dxa"/>
            <w:vAlign w:val="bottom"/>
            <w:shd w:val="clear" w:color="auto" w:fill="F2F2F2"/>
          </w:tcPr>
          <w:p>
            <w:pPr>
              <w:spacing w:after="0"/>
              <w:rPr>
                <w:sz w:val="20"/>
                <w:szCs w:val="20"/>
                <w:color w:val="auto"/>
              </w:rPr>
            </w:pPr>
          </w:p>
        </w:tc>
        <w:tc>
          <w:tcPr>
            <w:tcW w:w="340" w:type="dxa"/>
            <w:vAlign w:val="bottom"/>
            <w:shd w:val="clear" w:color="auto" w:fill="F2F2F2"/>
          </w:tcPr>
          <w:p>
            <w:pPr>
              <w:spacing w:after="0"/>
              <w:rPr>
                <w:sz w:val="20"/>
                <w:szCs w:val="20"/>
                <w:color w:val="auto"/>
              </w:rPr>
            </w:pPr>
          </w:p>
        </w:tc>
        <w:tc>
          <w:tcPr>
            <w:tcW w:w="640" w:type="dxa"/>
            <w:vAlign w:val="bottom"/>
            <w:tcBorders>
              <w:right w:val="single" w:sz="8" w:color="F2F2F2"/>
            </w:tcBorders>
            <w:vMerge w:val="restart"/>
            <w:shd w:val="clear" w:color="auto" w:fill="F2F2F2"/>
          </w:tcPr>
          <w:p>
            <w:pPr>
              <w:jc w:val="right"/>
              <w:ind w:right="16"/>
              <w:spacing w:after="0"/>
              <w:rPr>
                <w:sz w:val="20"/>
                <w:szCs w:val="20"/>
                <w:color w:val="auto"/>
              </w:rPr>
            </w:pPr>
            <w:r>
              <w:rPr>
                <w:rFonts w:ascii="Arial" w:cs="Arial" w:eastAsia="Arial" w:hAnsi="Arial"/>
                <w:sz w:val="16"/>
                <w:szCs w:val="16"/>
                <w:color w:val="auto"/>
              </w:rPr>
              <w:t>37</w:t>
            </w:r>
          </w:p>
        </w:tc>
        <w:tc>
          <w:tcPr>
            <w:tcW w:w="1840" w:type="dxa"/>
            <w:vAlign w:val="bottom"/>
            <w:gridSpan w:val="3"/>
            <w:vMerge w:val="restart"/>
            <w:shd w:val="clear" w:color="auto" w:fill="F2F2F2"/>
          </w:tcPr>
          <w:p>
            <w:pPr>
              <w:spacing w:after="0"/>
              <w:rPr>
                <w:sz w:val="20"/>
                <w:szCs w:val="20"/>
                <w:color w:val="auto"/>
              </w:rPr>
            </w:pPr>
            <w:r>
              <w:rPr>
                <w:rFonts w:ascii="Arial" w:cs="Arial" w:eastAsia="Arial" w:hAnsi="Arial"/>
                <w:sz w:val="16"/>
                <w:szCs w:val="16"/>
                <w:color w:val="0000EE"/>
              </w:rPr>
              <w:t>The Role of Management</w:t>
            </w:r>
          </w:p>
        </w:tc>
        <w:tc>
          <w:tcPr>
            <w:tcW w:w="40" w:type="dxa"/>
            <w:vAlign w:val="bottom"/>
            <w:shd w:val="clear" w:color="auto" w:fill="F2F2F2"/>
          </w:tcPr>
          <w:p>
            <w:pPr>
              <w:spacing w:after="0"/>
              <w:rPr>
                <w:sz w:val="20"/>
                <w:szCs w:val="20"/>
                <w:color w:val="auto"/>
              </w:rPr>
            </w:pPr>
          </w:p>
        </w:tc>
        <w:tc>
          <w:tcPr>
            <w:tcW w:w="160" w:type="dxa"/>
            <w:vAlign w:val="bottom"/>
            <w:shd w:val="clear" w:color="auto" w:fill="F2F2F2"/>
          </w:tcPr>
          <w:p>
            <w:pPr>
              <w:spacing w:after="0"/>
              <w:rPr>
                <w:sz w:val="20"/>
                <w:szCs w:val="20"/>
                <w:color w:val="auto"/>
              </w:rPr>
            </w:pPr>
          </w:p>
        </w:tc>
        <w:tc>
          <w:tcPr>
            <w:tcW w:w="180" w:type="dxa"/>
            <w:vAlign w:val="bottom"/>
            <w:shd w:val="clear" w:color="auto" w:fill="F2F2F2"/>
          </w:tcPr>
          <w:p>
            <w:pPr>
              <w:spacing w:after="0"/>
              <w:rPr>
                <w:sz w:val="20"/>
                <w:szCs w:val="20"/>
                <w:color w:val="auto"/>
              </w:rPr>
            </w:pPr>
          </w:p>
        </w:tc>
        <w:tc>
          <w:tcPr>
            <w:tcW w:w="820" w:type="dxa"/>
            <w:vAlign w:val="bottom"/>
            <w:shd w:val="clear" w:color="auto" w:fill="F2F2F2"/>
          </w:tcPr>
          <w:p>
            <w:pPr>
              <w:spacing w:after="0"/>
              <w:rPr>
                <w:sz w:val="20"/>
                <w:szCs w:val="20"/>
                <w:color w:val="auto"/>
              </w:rPr>
            </w:pPr>
          </w:p>
        </w:tc>
        <w:tc>
          <w:tcPr>
            <w:tcW w:w="200" w:type="dxa"/>
            <w:vAlign w:val="bottom"/>
            <w:shd w:val="clear" w:color="auto" w:fill="F2F2F2"/>
          </w:tcPr>
          <w:p>
            <w:pPr>
              <w:spacing w:after="0"/>
              <w:rPr>
                <w:sz w:val="20"/>
                <w:szCs w:val="20"/>
                <w:color w:val="auto"/>
              </w:rPr>
            </w:pPr>
          </w:p>
        </w:tc>
        <w:tc>
          <w:tcPr>
            <w:tcW w:w="60" w:type="dxa"/>
            <w:vAlign w:val="bottom"/>
            <w:shd w:val="clear" w:color="auto" w:fill="F2F2F2"/>
          </w:tcPr>
          <w:p>
            <w:pPr>
              <w:spacing w:after="0"/>
              <w:rPr>
                <w:sz w:val="20"/>
                <w:szCs w:val="20"/>
                <w:color w:val="auto"/>
              </w:rPr>
            </w:pPr>
          </w:p>
        </w:tc>
        <w:tc>
          <w:tcPr>
            <w:tcW w:w="220" w:type="dxa"/>
            <w:vAlign w:val="bottom"/>
            <w:shd w:val="clear" w:color="auto" w:fill="F2F2F2"/>
          </w:tcPr>
          <w:p>
            <w:pPr>
              <w:spacing w:after="0"/>
              <w:rPr>
                <w:sz w:val="20"/>
                <w:szCs w:val="20"/>
                <w:color w:val="auto"/>
              </w:rPr>
            </w:pPr>
          </w:p>
        </w:tc>
        <w:tc>
          <w:tcPr>
            <w:tcW w:w="20" w:type="dxa"/>
            <w:vAlign w:val="bottom"/>
            <w:shd w:val="clear" w:color="auto" w:fill="F2F2F2"/>
          </w:tcPr>
          <w:p>
            <w:pPr>
              <w:spacing w:after="0"/>
              <w:rPr>
                <w:sz w:val="20"/>
                <w:szCs w:val="20"/>
                <w:color w:val="auto"/>
              </w:rPr>
            </w:pPr>
          </w:p>
        </w:tc>
        <w:tc>
          <w:tcPr>
            <w:tcW w:w="160" w:type="dxa"/>
            <w:vAlign w:val="bottom"/>
            <w:shd w:val="clear" w:color="auto" w:fill="F2F2F2"/>
          </w:tcPr>
          <w:p>
            <w:pPr>
              <w:spacing w:after="0"/>
              <w:rPr>
                <w:sz w:val="20"/>
                <w:szCs w:val="20"/>
                <w:color w:val="auto"/>
              </w:rPr>
            </w:pPr>
          </w:p>
        </w:tc>
        <w:tc>
          <w:tcPr>
            <w:tcW w:w="80" w:type="dxa"/>
            <w:vAlign w:val="bottom"/>
            <w:shd w:val="clear" w:color="auto" w:fill="F2F2F2"/>
          </w:tcPr>
          <w:p>
            <w:pPr>
              <w:spacing w:after="0"/>
              <w:rPr>
                <w:sz w:val="20"/>
                <w:szCs w:val="20"/>
                <w:color w:val="auto"/>
              </w:rPr>
            </w:pPr>
          </w:p>
        </w:tc>
        <w:tc>
          <w:tcPr>
            <w:tcW w:w="80" w:type="dxa"/>
            <w:vAlign w:val="bottom"/>
            <w:shd w:val="clear" w:color="auto" w:fill="F2F2F2"/>
          </w:tcPr>
          <w:p>
            <w:pPr>
              <w:spacing w:after="0"/>
              <w:rPr>
                <w:sz w:val="20"/>
                <w:szCs w:val="20"/>
                <w:color w:val="auto"/>
              </w:rPr>
            </w:pPr>
          </w:p>
        </w:tc>
        <w:tc>
          <w:tcPr>
            <w:tcW w:w="0" w:type="dxa"/>
            <w:vAlign w:val="bottom"/>
          </w:tcPr>
          <w:p>
            <w:pPr>
              <w:spacing w:after="0"/>
              <w:rPr>
                <w:sz w:val="1"/>
                <w:szCs w:val="1"/>
                <w:color w:val="auto"/>
              </w:rPr>
            </w:pPr>
          </w:p>
        </w:tc>
      </w:tr>
      <w:tr>
        <w:trPr>
          <w:trHeight w:val="75"/>
        </w:trPr>
        <w:tc>
          <w:tcPr>
            <w:tcW w:w="1000" w:type="dxa"/>
            <w:vAlign w:val="bottom"/>
            <w:tcBorders>
              <w:top w:val="single" w:sz="8" w:color="F2F2F2"/>
              <w:bottom w:val="single" w:sz="8" w:color="F2F2F2"/>
            </w:tcBorders>
            <w:vMerge w:val="continue"/>
            <w:shd w:val="clear" w:color="auto" w:fill="F2F2F2"/>
          </w:tcPr>
          <w:p>
            <w:pPr>
              <w:spacing w:after="0"/>
              <w:rPr>
                <w:sz w:val="6"/>
                <w:szCs w:val="6"/>
                <w:color w:val="auto"/>
              </w:rPr>
            </w:pPr>
          </w:p>
        </w:tc>
        <w:tc>
          <w:tcPr>
            <w:tcW w:w="3280" w:type="dxa"/>
            <w:vAlign w:val="bottom"/>
            <w:tcBorders>
              <w:top w:val="single" w:sz="8" w:color="0000EE"/>
              <w:left w:val="single" w:sz="8" w:color="F2F2F2"/>
              <w:bottom w:val="single" w:sz="8" w:color="0000EE"/>
            </w:tcBorders>
            <w:gridSpan w:val="10"/>
            <w:vMerge w:val="restart"/>
            <w:shd w:val="clear" w:color="auto" w:fill="F2F2F2"/>
          </w:tcPr>
          <w:p>
            <w:pPr>
              <w:spacing w:after="0" w:line="169" w:lineRule="exact"/>
              <w:rPr>
                <w:sz w:val="20"/>
                <w:szCs w:val="20"/>
                <w:color w:val="auto"/>
              </w:rPr>
            </w:pPr>
            <w:r>
              <w:rPr>
                <w:rFonts w:ascii="Arial" w:cs="Arial" w:eastAsia="Arial" w:hAnsi="Arial"/>
                <w:sz w:val="16"/>
                <w:szCs w:val="16"/>
                <w:color w:val="0000EE"/>
              </w:rPr>
              <w:t>Executive Officers</w:t>
            </w:r>
          </w:p>
        </w:tc>
        <w:tc>
          <w:tcPr>
            <w:tcW w:w="660" w:type="dxa"/>
            <w:vAlign w:val="bottom"/>
            <w:tcBorders>
              <w:top w:val="single" w:sz="8" w:color="F2F2F2"/>
              <w:bottom w:val="single" w:sz="8" w:color="F2F2F2"/>
            </w:tcBorders>
            <w:gridSpan w:val="3"/>
            <w:shd w:val="clear" w:color="auto" w:fill="F2F2F2"/>
          </w:tcPr>
          <w:p>
            <w:pPr>
              <w:spacing w:after="0"/>
              <w:rPr>
                <w:sz w:val="6"/>
                <w:szCs w:val="6"/>
                <w:color w:val="auto"/>
              </w:rPr>
            </w:pPr>
          </w:p>
        </w:tc>
        <w:tc>
          <w:tcPr>
            <w:tcW w:w="140" w:type="dxa"/>
            <w:vAlign w:val="bottom"/>
            <w:tcBorders>
              <w:top w:val="single" w:sz="8" w:color="F2F2F2"/>
              <w:bottom w:val="single" w:sz="8" w:color="F2F2F2"/>
            </w:tcBorders>
            <w:shd w:val="clear" w:color="auto" w:fill="F2F2F2"/>
          </w:tcPr>
          <w:p>
            <w:pPr>
              <w:spacing w:after="0"/>
              <w:rPr>
                <w:sz w:val="6"/>
                <w:szCs w:val="6"/>
                <w:color w:val="auto"/>
              </w:rPr>
            </w:pPr>
          </w:p>
        </w:tc>
        <w:tc>
          <w:tcPr>
            <w:tcW w:w="340" w:type="dxa"/>
            <w:vAlign w:val="bottom"/>
            <w:tcBorders>
              <w:top w:val="single" w:sz="8" w:color="F2F2F2"/>
              <w:bottom w:val="single" w:sz="8" w:color="F2F2F2"/>
            </w:tcBorders>
            <w:shd w:val="clear" w:color="auto" w:fill="F2F2F2"/>
          </w:tcPr>
          <w:p>
            <w:pPr>
              <w:spacing w:after="0"/>
              <w:rPr>
                <w:sz w:val="6"/>
                <w:szCs w:val="6"/>
                <w:color w:val="auto"/>
              </w:rPr>
            </w:pPr>
          </w:p>
        </w:tc>
        <w:tc>
          <w:tcPr>
            <w:tcW w:w="640" w:type="dxa"/>
            <w:vAlign w:val="bottom"/>
            <w:tcBorders>
              <w:top w:val="single" w:sz="8" w:color="F2F2F2"/>
              <w:bottom w:val="single" w:sz="8" w:color="F2F2F2"/>
              <w:right w:val="single" w:sz="8" w:color="F2F2F2"/>
            </w:tcBorders>
            <w:vMerge w:val="continue"/>
            <w:shd w:val="clear" w:color="auto" w:fill="F2F2F2"/>
          </w:tcPr>
          <w:p>
            <w:pPr>
              <w:spacing w:after="0"/>
              <w:rPr>
                <w:sz w:val="6"/>
                <w:szCs w:val="6"/>
                <w:color w:val="auto"/>
              </w:rPr>
            </w:pPr>
          </w:p>
        </w:tc>
        <w:tc>
          <w:tcPr>
            <w:tcW w:w="1840" w:type="dxa"/>
            <w:vAlign w:val="bottom"/>
            <w:tcBorders>
              <w:top w:val="single" w:sz="8" w:color="F2F2F2"/>
              <w:bottom w:val="single" w:sz="8" w:color="0000EE"/>
            </w:tcBorders>
            <w:gridSpan w:val="3"/>
            <w:vMerge w:val="continue"/>
            <w:shd w:val="clear" w:color="auto" w:fill="F2F2F2"/>
          </w:tcPr>
          <w:p>
            <w:pPr>
              <w:spacing w:after="0"/>
              <w:rPr>
                <w:sz w:val="6"/>
                <w:szCs w:val="6"/>
                <w:color w:val="auto"/>
              </w:rPr>
            </w:pPr>
          </w:p>
        </w:tc>
        <w:tc>
          <w:tcPr>
            <w:tcW w:w="40" w:type="dxa"/>
            <w:vAlign w:val="bottom"/>
            <w:tcBorders>
              <w:top w:val="single" w:sz="8" w:color="F2F2F2"/>
              <w:bottom w:val="single" w:sz="8" w:color="F2F2F2"/>
            </w:tcBorders>
            <w:vMerge w:val="restart"/>
            <w:shd w:val="clear" w:color="auto" w:fill="F2F2F2"/>
          </w:tcPr>
          <w:p>
            <w:pPr>
              <w:spacing w:after="0"/>
              <w:rPr>
                <w:sz w:val="6"/>
                <w:szCs w:val="6"/>
                <w:color w:val="auto"/>
              </w:rPr>
            </w:pPr>
          </w:p>
        </w:tc>
        <w:tc>
          <w:tcPr>
            <w:tcW w:w="1420" w:type="dxa"/>
            <w:vAlign w:val="bottom"/>
            <w:tcBorders>
              <w:top w:val="single" w:sz="8" w:color="F2F2F2"/>
              <w:bottom w:val="single" w:sz="8" w:color="F2F2F2"/>
            </w:tcBorders>
            <w:gridSpan w:val="5"/>
            <w:vMerge w:val="restart"/>
            <w:shd w:val="clear" w:color="auto" w:fill="F2F2F2"/>
          </w:tcPr>
          <w:p>
            <w:pPr>
              <w:spacing w:after="0"/>
              <w:rPr>
                <w:sz w:val="6"/>
                <w:szCs w:val="6"/>
                <w:color w:val="auto"/>
              </w:rPr>
            </w:pPr>
          </w:p>
        </w:tc>
        <w:tc>
          <w:tcPr>
            <w:tcW w:w="480" w:type="dxa"/>
            <w:vAlign w:val="bottom"/>
            <w:tcBorders>
              <w:top w:val="single" w:sz="8" w:color="F2F2F2"/>
              <w:bottom w:val="single" w:sz="8" w:color="F2F2F2"/>
            </w:tcBorders>
            <w:gridSpan w:val="4"/>
            <w:vMerge w:val="restart"/>
            <w:shd w:val="clear" w:color="auto" w:fill="F2F2F2"/>
          </w:tcPr>
          <w:p>
            <w:pPr>
              <w:spacing w:after="0"/>
              <w:rPr>
                <w:sz w:val="6"/>
                <w:szCs w:val="6"/>
                <w:color w:val="auto"/>
              </w:rPr>
            </w:pPr>
          </w:p>
        </w:tc>
        <w:tc>
          <w:tcPr>
            <w:tcW w:w="80" w:type="dxa"/>
            <w:vAlign w:val="bottom"/>
            <w:tcBorders>
              <w:top w:val="single" w:sz="8" w:color="F2F2F2"/>
              <w:bottom w:val="single" w:sz="8" w:color="F2F2F2"/>
            </w:tcBorders>
            <w:vMerge w:val="restart"/>
            <w:shd w:val="clear" w:color="auto" w:fill="F2F2F2"/>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1000" w:type="dxa"/>
            <w:vAlign w:val="bottom"/>
            <w:vMerge w:val="continue"/>
            <w:shd w:val="clear" w:color="auto" w:fill="F2F2F2"/>
          </w:tcPr>
          <w:p>
            <w:pPr>
              <w:spacing w:after="0"/>
              <w:rPr>
                <w:sz w:val="6"/>
                <w:szCs w:val="6"/>
                <w:color w:val="auto"/>
              </w:rPr>
            </w:pPr>
          </w:p>
        </w:tc>
        <w:tc>
          <w:tcPr>
            <w:tcW w:w="3280" w:type="dxa"/>
            <w:vAlign w:val="bottom"/>
            <w:tcBorders>
              <w:left w:val="single" w:sz="8" w:color="F2F2F2"/>
            </w:tcBorders>
            <w:gridSpan w:val="10"/>
            <w:vMerge w:val="continue"/>
            <w:shd w:val="clear" w:color="auto" w:fill="F2F2F2"/>
          </w:tcPr>
          <w:p>
            <w:pPr>
              <w:spacing w:after="0"/>
              <w:rPr>
                <w:sz w:val="6"/>
                <w:szCs w:val="6"/>
                <w:color w:val="auto"/>
              </w:rPr>
            </w:pPr>
          </w:p>
        </w:tc>
        <w:tc>
          <w:tcPr>
            <w:tcW w:w="460" w:type="dxa"/>
            <w:vAlign w:val="bottom"/>
            <w:shd w:val="clear" w:color="auto" w:fill="F2F2F2"/>
          </w:tcPr>
          <w:p>
            <w:pPr>
              <w:spacing w:after="0"/>
              <w:rPr>
                <w:sz w:val="6"/>
                <w:szCs w:val="6"/>
                <w:color w:val="auto"/>
              </w:rPr>
            </w:pPr>
          </w:p>
        </w:tc>
        <w:tc>
          <w:tcPr>
            <w:tcW w:w="20" w:type="dxa"/>
            <w:vAlign w:val="bottom"/>
            <w:shd w:val="clear" w:color="auto" w:fill="F2F2F2"/>
          </w:tcPr>
          <w:p>
            <w:pPr>
              <w:spacing w:after="0"/>
              <w:rPr>
                <w:sz w:val="6"/>
                <w:szCs w:val="6"/>
                <w:color w:val="auto"/>
              </w:rPr>
            </w:pPr>
          </w:p>
        </w:tc>
        <w:tc>
          <w:tcPr>
            <w:tcW w:w="180" w:type="dxa"/>
            <w:vAlign w:val="bottom"/>
            <w:shd w:val="clear" w:color="auto" w:fill="F2F2F2"/>
          </w:tcPr>
          <w:p>
            <w:pPr>
              <w:spacing w:after="0"/>
              <w:rPr>
                <w:sz w:val="6"/>
                <w:szCs w:val="6"/>
                <w:color w:val="auto"/>
              </w:rPr>
            </w:pPr>
          </w:p>
        </w:tc>
        <w:tc>
          <w:tcPr>
            <w:tcW w:w="140" w:type="dxa"/>
            <w:vAlign w:val="bottom"/>
            <w:shd w:val="clear" w:color="auto" w:fill="F2F2F2"/>
          </w:tcPr>
          <w:p>
            <w:pPr>
              <w:spacing w:after="0"/>
              <w:rPr>
                <w:sz w:val="6"/>
                <w:szCs w:val="6"/>
                <w:color w:val="auto"/>
              </w:rPr>
            </w:pPr>
          </w:p>
        </w:tc>
        <w:tc>
          <w:tcPr>
            <w:tcW w:w="340" w:type="dxa"/>
            <w:vAlign w:val="bottom"/>
            <w:shd w:val="clear" w:color="auto" w:fill="F2F2F2"/>
          </w:tcPr>
          <w:p>
            <w:pPr>
              <w:spacing w:after="0"/>
              <w:rPr>
                <w:sz w:val="6"/>
                <w:szCs w:val="6"/>
                <w:color w:val="auto"/>
              </w:rPr>
            </w:pPr>
          </w:p>
        </w:tc>
        <w:tc>
          <w:tcPr>
            <w:tcW w:w="640" w:type="dxa"/>
            <w:vAlign w:val="bottom"/>
            <w:tcBorders>
              <w:right w:val="single" w:sz="8" w:color="F2F2F2"/>
            </w:tcBorders>
            <w:vMerge w:val="continue"/>
            <w:shd w:val="clear" w:color="auto" w:fill="F2F2F2"/>
          </w:tcPr>
          <w:p>
            <w:pPr>
              <w:spacing w:after="0"/>
              <w:rPr>
                <w:sz w:val="6"/>
                <w:szCs w:val="6"/>
                <w:color w:val="auto"/>
              </w:rPr>
            </w:pPr>
          </w:p>
        </w:tc>
        <w:tc>
          <w:tcPr>
            <w:tcW w:w="1840" w:type="dxa"/>
            <w:vAlign w:val="bottom"/>
            <w:gridSpan w:val="3"/>
            <w:shd w:val="clear" w:color="auto" w:fill="F2F2F2"/>
          </w:tcPr>
          <w:p>
            <w:pPr>
              <w:spacing w:after="0"/>
              <w:rPr>
                <w:sz w:val="6"/>
                <w:szCs w:val="6"/>
                <w:color w:val="auto"/>
              </w:rPr>
            </w:pPr>
          </w:p>
        </w:tc>
        <w:tc>
          <w:tcPr>
            <w:tcW w:w="40" w:type="dxa"/>
            <w:vAlign w:val="bottom"/>
            <w:vMerge w:val="continue"/>
            <w:shd w:val="clear" w:color="auto" w:fill="F2F2F2"/>
          </w:tcPr>
          <w:p>
            <w:pPr>
              <w:spacing w:after="0"/>
              <w:rPr>
                <w:sz w:val="6"/>
                <w:szCs w:val="6"/>
                <w:color w:val="auto"/>
              </w:rPr>
            </w:pPr>
          </w:p>
        </w:tc>
        <w:tc>
          <w:tcPr>
            <w:tcW w:w="1420" w:type="dxa"/>
            <w:vAlign w:val="bottom"/>
            <w:gridSpan w:val="5"/>
            <w:vMerge w:val="continue"/>
            <w:shd w:val="clear" w:color="auto" w:fill="F2F2F2"/>
          </w:tcPr>
          <w:p>
            <w:pPr>
              <w:spacing w:after="0"/>
              <w:rPr>
                <w:sz w:val="6"/>
                <w:szCs w:val="6"/>
                <w:color w:val="auto"/>
              </w:rPr>
            </w:pPr>
          </w:p>
        </w:tc>
        <w:tc>
          <w:tcPr>
            <w:tcW w:w="480" w:type="dxa"/>
            <w:vAlign w:val="bottom"/>
            <w:gridSpan w:val="4"/>
            <w:vMerge w:val="continue"/>
            <w:shd w:val="clear" w:color="auto" w:fill="F2F2F2"/>
          </w:tcPr>
          <w:p>
            <w:pPr>
              <w:spacing w:after="0"/>
              <w:rPr>
                <w:sz w:val="6"/>
                <w:szCs w:val="6"/>
                <w:color w:val="auto"/>
              </w:rPr>
            </w:pPr>
          </w:p>
        </w:tc>
        <w:tc>
          <w:tcPr>
            <w:tcW w:w="80" w:type="dxa"/>
            <w:vAlign w:val="bottom"/>
            <w:vMerge w:val="continue"/>
            <w:shd w:val="clear" w:color="auto" w:fill="F2F2F2"/>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000" w:type="dxa"/>
            <w:vAlign w:val="bottom"/>
            <w:shd w:val="clear" w:color="auto" w:fill="F2F2F2"/>
          </w:tcPr>
          <w:p>
            <w:pPr>
              <w:spacing w:after="0" w:line="20" w:lineRule="exact"/>
              <w:rPr>
                <w:sz w:val="1"/>
                <w:szCs w:val="1"/>
                <w:color w:val="auto"/>
              </w:rPr>
            </w:pPr>
          </w:p>
        </w:tc>
        <w:tc>
          <w:tcPr>
            <w:tcW w:w="130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280" w:type="dxa"/>
            <w:vAlign w:val="bottom"/>
            <w:tcBorders>
              <w:right w:val="single" w:sz="8" w:color="F2F2F2"/>
            </w:tcBorders>
            <w:shd w:val="clear" w:color="auto" w:fill="F2F2F2"/>
          </w:tcPr>
          <w:p>
            <w:pPr>
              <w:spacing w:after="0" w:line="20" w:lineRule="exact"/>
              <w:rPr>
                <w:sz w:val="1"/>
                <w:szCs w:val="1"/>
                <w:color w:val="auto"/>
              </w:rPr>
            </w:pPr>
          </w:p>
        </w:tc>
        <w:tc>
          <w:tcPr>
            <w:tcW w:w="220" w:type="dxa"/>
            <w:vAlign w:val="bottom"/>
            <w:tcBorders>
              <w:right w:val="single" w:sz="8" w:color="F2F2F2"/>
            </w:tcBorders>
            <w:shd w:val="clear" w:color="auto" w:fill="F2F2F2"/>
          </w:tcPr>
          <w:p>
            <w:pPr>
              <w:spacing w:after="0" w:line="20" w:lineRule="exact"/>
              <w:rPr>
                <w:sz w:val="1"/>
                <w:szCs w:val="1"/>
                <w:color w:val="auto"/>
              </w:rPr>
            </w:pPr>
          </w:p>
        </w:tc>
        <w:tc>
          <w:tcPr>
            <w:tcW w:w="2140" w:type="dxa"/>
            <w:vAlign w:val="bottom"/>
            <w:gridSpan w:val="8"/>
            <w:shd w:val="clear" w:color="auto" w:fill="F2F2F2"/>
          </w:tcPr>
          <w:p>
            <w:pPr>
              <w:spacing w:after="0" w:line="20" w:lineRule="exact"/>
              <w:rPr>
                <w:sz w:val="1"/>
                <w:szCs w:val="1"/>
                <w:color w:val="auto"/>
              </w:rPr>
            </w:pPr>
          </w:p>
        </w:tc>
        <w:tc>
          <w:tcPr>
            <w:tcW w:w="140" w:type="dxa"/>
            <w:vAlign w:val="bottom"/>
            <w:shd w:val="clear" w:color="auto" w:fill="F2F2F2"/>
          </w:tcPr>
          <w:p>
            <w:pPr>
              <w:spacing w:after="0" w:line="20" w:lineRule="exact"/>
              <w:rPr>
                <w:sz w:val="1"/>
                <w:szCs w:val="1"/>
                <w:color w:val="auto"/>
              </w:rPr>
            </w:pPr>
          </w:p>
        </w:tc>
        <w:tc>
          <w:tcPr>
            <w:tcW w:w="340" w:type="dxa"/>
            <w:vAlign w:val="bottom"/>
            <w:shd w:val="clear" w:color="auto" w:fill="F2F2F2"/>
          </w:tcPr>
          <w:p>
            <w:pPr>
              <w:spacing w:after="0" w:line="20" w:lineRule="exact"/>
              <w:rPr>
                <w:sz w:val="1"/>
                <w:szCs w:val="1"/>
                <w:color w:val="auto"/>
              </w:rPr>
            </w:pPr>
          </w:p>
        </w:tc>
        <w:tc>
          <w:tcPr>
            <w:tcW w:w="640" w:type="dxa"/>
            <w:vAlign w:val="bottom"/>
            <w:tcBorders>
              <w:right w:val="single" w:sz="8" w:color="F2F2F2"/>
            </w:tcBorders>
            <w:shd w:val="clear" w:color="auto" w:fill="F2F2F2"/>
          </w:tcPr>
          <w:p>
            <w:pPr>
              <w:spacing w:after="0" w:line="20" w:lineRule="exact"/>
              <w:rPr>
                <w:sz w:val="1"/>
                <w:szCs w:val="1"/>
                <w:color w:val="auto"/>
              </w:rPr>
            </w:pPr>
          </w:p>
        </w:tc>
        <w:tc>
          <w:tcPr>
            <w:tcW w:w="1840" w:type="dxa"/>
            <w:vAlign w:val="bottom"/>
            <w:gridSpan w:val="3"/>
            <w:shd w:val="clear" w:color="auto" w:fill="F2F2F2"/>
          </w:tcPr>
          <w:p>
            <w:pPr>
              <w:spacing w:after="0" w:line="20" w:lineRule="exact"/>
              <w:rPr>
                <w:sz w:val="1"/>
                <w:szCs w:val="1"/>
                <w:color w:val="auto"/>
              </w:rPr>
            </w:pPr>
          </w:p>
        </w:tc>
        <w:tc>
          <w:tcPr>
            <w:tcW w:w="40" w:type="dxa"/>
            <w:vAlign w:val="bottom"/>
            <w:shd w:val="clear" w:color="auto" w:fill="F2F2F2"/>
          </w:tcPr>
          <w:p>
            <w:pPr>
              <w:spacing w:after="0" w:line="20" w:lineRule="exact"/>
              <w:rPr>
                <w:sz w:val="1"/>
                <w:szCs w:val="1"/>
                <w:color w:val="auto"/>
              </w:rPr>
            </w:pPr>
          </w:p>
        </w:tc>
        <w:tc>
          <w:tcPr>
            <w:tcW w:w="1420" w:type="dxa"/>
            <w:vAlign w:val="bottom"/>
            <w:gridSpan w:val="5"/>
            <w:shd w:val="clear" w:color="auto" w:fill="F2F2F2"/>
          </w:tcPr>
          <w:p>
            <w:pPr>
              <w:spacing w:after="0" w:line="20" w:lineRule="exact"/>
              <w:rPr>
                <w:sz w:val="1"/>
                <w:szCs w:val="1"/>
                <w:color w:val="auto"/>
              </w:rPr>
            </w:pPr>
          </w:p>
        </w:tc>
        <w:tc>
          <w:tcPr>
            <w:tcW w:w="480" w:type="dxa"/>
            <w:vAlign w:val="bottom"/>
            <w:gridSpan w:val="4"/>
            <w:shd w:val="clear" w:color="auto" w:fill="F2F2F2"/>
          </w:tcPr>
          <w:p>
            <w:pPr>
              <w:spacing w:after="0" w:line="20" w:lineRule="exact"/>
              <w:rPr>
                <w:sz w:val="1"/>
                <w:szCs w:val="1"/>
                <w:color w:val="auto"/>
              </w:rPr>
            </w:pPr>
          </w:p>
        </w:tc>
        <w:tc>
          <w:tcPr>
            <w:tcW w:w="80" w:type="dxa"/>
            <w:vAlign w:val="bottom"/>
            <w:shd w:val="clear" w:color="auto" w:fill="F2F2F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00" w:type="dxa"/>
            <w:vAlign w:val="bottom"/>
            <w:shd w:val="clear" w:color="auto" w:fill="F2F2F2"/>
          </w:tcPr>
          <w:p>
            <w:pPr>
              <w:jc w:val="right"/>
              <w:ind w:right="15"/>
              <w:spacing w:after="0"/>
              <w:rPr>
                <w:sz w:val="20"/>
                <w:szCs w:val="20"/>
                <w:color w:val="auto"/>
              </w:rPr>
            </w:pPr>
            <w:r>
              <w:rPr>
                <w:rFonts w:ascii="Arial" w:cs="Arial" w:eastAsia="Arial" w:hAnsi="Arial"/>
                <w:sz w:val="16"/>
                <w:szCs w:val="16"/>
                <w:color w:val="auto"/>
              </w:rPr>
              <w:t>33</w:t>
            </w:r>
          </w:p>
        </w:tc>
        <w:tc>
          <w:tcPr>
            <w:tcW w:w="1580" w:type="dxa"/>
            <w:vAlign w:val="bottom"/>
            <w:tcBorders>
              <w:left w:val="single" w:sz="8" w:color="F2F2F2"/>
              <w:right w:val="single" w:sz="8" w:color="F2F2F2"/>
            </w:tcBorders>
            <w:gridSpan w:val="4"/>
            <w:shd w:val="clear" w:color="auto" w:fill="F2F2F2"/>
          </w:tcPr>
          <w:p>
            <w:pPr>
              <w:spacing w:after="0"/>
              <w:rPr>
                <w:sz w:val="20"/>
                <w:szCs w:val="20"/>
                <w:color w:val="auto"/>
              </w:rPr>
            </w:pPr>
            <w:r>
              <w:rPr>
                <w:rFonts w:ascii="Arial" w:cs="Arial" w:eastAsia="Arial" w:hAnsi="Arial"/>
                <w:sz w:val="16"/>
                <w:szCs w:val="16"/>
                <w:color w:val="0000EE"/>
                <w:w w:val="99"/>
              </w:rPr>
              <w:t>Long-Term Incentives</w:t>
            </w:r>
          </w:p>
        </w:tc>
        <w:tc>
          <w:tcPr>
            <w:tcW w:w="2360" w:type="dxa"/>
            <w:vAlign w:val="bottom"/>
            <w:gridSpan w:val="9"/>
            <w:shd w:val="clear" w:color="auto" w:fill="F2F2F2"/>
          </w:tcPr>
          <w:p>
            <w:pPr>
              <w:spacing w:after="0"/>
              <w:rPr>
                <w:sz w:val="20"/>
                <w:szCs w:val="20"/>
                <w:color w:val="auto"/>
              </w:rPr>
            </w:pPr>
          </w:p>
        </w:tc>
        <w:tc>
          <w:tcPr>
            <w:tcW w:w="140" w:type="dxa"/>
            <w:vAlign w:val="bottom"/>
            <w:shd w:val="clear" w:color="auto" w:fill="F2F2F2"/>
          </w:tcPr>
          <w:p>
            <w:pPr>
              <w:spacing w:after="0"/>
              <w:rPr>
                <w:sz w:val="20"/>
                <w:szCs w:val="20"/>
                <w:color w:val="auto"/>
              </w:rPr>
            </w:pPr>
          </w:p>
        </w:tc>
        <w:tc>
          <w:tcPr>
            <w:tcW w:w="340" w:type="dxa"/>
            <w:vAlign w:val="bottom"/>
            <w:shd w:val="clear" w:color="auto" w:fill="F2F2F2"/>
          </w:tcPr>
          <w:p>
            <w:pPr>
              <w:spacing w:after="0"/>
              <w:rPr>
                <w:sz w:val="20"/>
                <w:szCs w:val="20"/>
                <w:color w:val="auto"/>
              </w:rPr>
            </w:pPr>
          </w:p>
        </w:tc>
        <w:tc>
          <w:tcPr>
            <w:tcW w:w="640" w:type="dxa"/>
            <w:vAlign w:val="bottom"/>
            <w:tcBorders>
              <w:right w:val="single" w:sz="8" w:color="F2F2F2"/>
            </w:tcBorders>
            <w:shd w:val="clear" w:color="auto" w:fill="F2F2F2"/>
          </w:tcPr>
          <w:p>
            <w:pPr>
              <w:jc w:val="right"/>
              <w:ind w:right="16"/>
              <w:spacing w:after="0"/>
              <w:rPr>
                <w:sz w:val="20"/>
                <w:szCs w:val="20"/>
                <w:color w:val="auto"/>
              </w:rPr>
            </w:pPr>
            <w:r>
              <w:rPr>
                <w:rFonts w:ascii="Arial" w:cs="Arial" w:eastAsia="Arial" w:hAnsi="Arial"/>
                <w:sz w:val="16"/>
                <w:szCs w:val="16"/>
                <w:color w:val="auto"/>
              </w:rPr>
              <w:t>37</w:t>
            </w:r>
          </w:p>
        </w:tc>
        <w:tc>
          <w:tcPr>
            <w:tcW w:w="3860" w:type="dxa"/>
            <w:vAlign w:val="bottom"/>
            <w:gridSpan w:val="14"/>
            <w:shd w:val="clear" w:color="auto" w:fill="F2F2F2"/>
          </w:tcPr>
          <w:p>
            <w:pPr>
              <w:spacing w:after="0"/>
              <w:rPr>
                <w:sz w:val="20"/>
                <w:szCs w:val="20"/>
                <w:color w:val="auto"/>
              </w:rPr>
            </w:pPr>
            <w:r>
              <w:rPr>
                <w:rFonts w:ascii="Arial" w:cs="Arial" w:eastAsia="Arial" w:hAnsi="Arial"/>
                <w:sz w:val="16"/>
                <w:szCs w:val="16"/>
                <w:color w:val="0000EE"/>
              </w:rPr>
              <w:t>The Role of Independent Compensation Consultants</w:t>
            </w:r>
          </w:p>
        </w:tc>
        <w:tc>
          <w:tcPr>
            <w:tcW w:w="0" w:type="dxa"/>
            <w:vAlign w:val="bottom"/>
          </w:tcPr>
          <w:p>
            <w:pPr>
              <w:spacing w:after="0"/>
              <w:rPr>
                <w:sz w:val="1"/>
                <w:szCs w:val="1"/>
                <w:color w:val="auto"/>
              </w:rPr>
            </w:pPr>
          </w:p>
        </w:tc>
      </w:tr>
      <w:tr>
        <w:trPr>
          <w:trHeight w:val="237"/>
        </w:trPr>
        <w:tc>
          <w:tcPr>
            <w:tcW w:w="1000" w:type="dxa"/>
            <w:vAlign w:val="bottom"/>
            <w:tcBorders>
              <w:top w:val="single" w:sz="8" w:color="F2F2F2"/>
            </w:tcBorders>
            <w:shd w:val="clear" w:color="auto" w:fill="F2F2F2"/>
          </w:tcPr>
          <w:p>
            <w:pPr>
              <w:jc w:val="right"/>
              <w:ind w:right="15"/>
              <w:spacing w:after="0"/>
              <w:rPr>
                <w:sz w:val="20"/>
                <w:szCs w:val="20"/>
                <w:color w:val="auto"/>
              </w:rPr>
            </w:pPr>
            <w:r>
              <w:rPr>
                <w:rFonts w:ascii="Arial" w:cs="Arial" w:eastAsia="Arial" w:hAnsi="Arial"/>
                <w:sz w:val="16"/>
                <w:szCs w:val="16"/>
                <w:color w:val="auto"/>
              </w:rPr>
              <w:t>34</w:t>
            </w:r>
          </w:p>
        </w:tc>
        <w:tc>
          <w:tcPr>
            <w:tcW w:w="1300" w:type="dxa"/>
            <w:vAlign w:val="bottom"/>
            <w:tcBorders>
              <w:top w:val="single" w:sz="8" w:color="0000EE"/>
              <w:left w:val="single" w:sz="8" w:color="F2F2F2"/>
              <w:right w:val="single" w:sz="8" w:color="F2F2F2"/>
            </w:tcBorders>
            <w:gridSpan w:val="3"/>
            <w:shd w:val="clear" w:color="auto" w:fill="F2F2F2"/>
          </w:tcPr>
          <w:p>
            <w:pPr>
              <w:spacing w:after="0"/>
              <w:rPr>
                <w:sz w:val="20"/>
                <w:szCs w:val="20"/>
                <w:color w:val="auto"/>
              </w:rPr>
            </w:pPr>
            <w:r>
              <w:rPr>
                <w:rFonts w:ascii="Arial" w:cs="Arial" w:eastAsia="Arial" w:hAnsi="Arial"/>
                <w:sz w:val="16"/>
                <w:szCs w:val="16"/>
                <w:color w:val="0000EE"/>
              </w:rPr>
              <w:t>Retention Grants</w:t>
            </w:r>
          </w:p>
        </w:tc>
        <w:tc>
          <w:tcPr>
            <w:tcW w:w="280" w:type="dxa"/>
            <w:vAlign w:val="bottom"/>
            <w:tcBorders>
              <w:top w:val="single" w:sz="8" w:color="0000EE"/>
              <w:right w:val="single" w:sz="8" w:color="F2F2F2"/>
            </w:tcBorders>
            <w:shd w:val="clear" w:color="auto" w:fill="F2F2F2"/>
          </w:tcPr>
          <w:p>
            <w:pPr>
              <w:spacing w:after="0"/>
              <w:rPr>
                <w:sz w:val="20"/>
                <w:szCs w:val="20"/>
                <w:color w:val="auto"/>
              </w:rPr>
            </w:pPr>
          </w:p>
        </w:tc>
        <w:tc>
          <w:tcPr>
            <w:tcW w:w="2360" w:type="dxa"/>
            <w:vAlign w:val="bottom"/>
            <w:tcBorders>
              <w:top w:val="single" w:sz="8" w:color="F2F2F2"/>
            </w:tcBorders>
            <w:gridSpan w:val="9"/>
            <w:shd w:val="clear" w:color="auto" w:fill="F2F2F2"/>
          </w:tcPr>
          <w:p>
            <w:pPr>
              <w:spacing w:after="0"/>
              <w:rPr>
                <w:sz w:val="20"/>
                <w:szCs w:val="20"/>
                <w:color w:val="auto"/>
              </w:rPr>
            </w:pPr>
          </w:p>
        </w:tc>
        <w:tc>
          <w:tcPr>
            <w:tcW w:w="140" w:type="dxa"/>
            <w:vAlign w:val="bottom"/>
            <w:tcBorders>
              <w:top w:val="single" w:sz="8" w:color="F2F2F2"/>
            </w:tcBorders>
            <w:shd w:val="clear" w:color="auto" w:fill="F2F2F2"/>
          </w:tcPr>
          <w:p>
            <w:pPr>
              <w:spacing w:after="0"/>
              <w:rPr>
                <w:sz w:val="20"/>
                <w:szCs w:val="20"/>
                <w:color w:val="auto"/>
              </w:rPr>
            </w:pPr>
          </w:p>
        </w:tc>
        <w:tc>
          <w:tcPr>
            <w:tcW w:w="340" w:type="dxa"/>
            <w:vAlign w:val="bottom"/>
            <w:tcBorders>
              <w:top w:val="single" w:sz="8" w:color="F2F2F2"/>
            </w:tcBorders>
            <w:shd w:val="clear" w:color="auto" w:fill="F2F2F2"/>
          </w:tcPr>
          <w:p>
            <w:pPr>
              <w:spacing w:after="0"/>
              <w:rPr>
                <w:sz w:val="20"/>
                <w:szCs w:val="20"/>
                <w:color w:val="auto"/>
              </w:rPr>
            </w:pPr>
          </w:p>
        </w:tc>
        <w:tc>
          <w:tcPr>
            <w:tcW w:w="640" w:type="dxa"/>
            <w:vAlign w:val="bottom"/>
            <w:tcBorders>
              <w:top w:val="single" w:sz="8" w:color="F2F2F2"/>
              <w:right w:val="single" w:sz="8" w:color="F2F2F2"/>
            </w:tcBorders>
            <w:shd w:val="clear" w:color="auto" w:fill="F2F2F2"/>
          </w:tcPr>
          <w:p>
            <w:pPr>
              <w:jc w:val="right"/>
              <w:ind w:right="16"/>
              <w:spacing w:after="0"/>
              <w:rPr>
                <w:sz w:val="20"/>
                <w:szCs w:val="20"/>
                <w:color w:val="auto"/>
              </w:rPr>
            </w:pPr>
            <w:r>
              <w:rPr>
                <w:rFonts w:ascii="Arial" w:cs="Arial" w:eastAsia="Arial" w:hAnsi="Arial"/>
                <w:sz w:val="16"/>
                <w:szCs w:val="16"/>
                <w:color w:val="auto"/>
              </w:rPr>
              <w:t>37</w:t>
            </w:r>
          </w:p>
        </w:tc>
        <w:tc>
          <w:tcPr>
            <w:tcW w:w="3780" w:type="dxa"/>
            <w:vAlign w:val="bottom"/>
            <w:tcBorders>
              <w:top w:val="single" w:sz="8" w:color="0000EE"/>
            </w:tcBorders>
            <w:gridSpan w:val="13"/>
            <w:shd w:val="clear" w:color="auto" w:fill="F2F2F2"/>
          </w:tcPr>
          <w:p>
            <w:pPr>
              <w:spacing w:after="0"/>
              <w:rPr>
                <w:sz w:val="20"/>
                <w:szCs w:val="20"/>
                <w:color w:val="auto"/>
              </w:rPr>
            </w:pPr>
            <w:r>
              <w:rPr>
                <w:rFonts w:ascii="Arial" w:cs="Arial" w:eastAsia="Arial" w:hAnsi="Arial"/>
                <w:sz w:val="16"/>
                <w:szCs w:val="16"/>
                <w:color w:val="0000EE"/>
              </w:rPr>
              <w:t>The Role of Competitive Marketplace Practice</w:t>
            </w:r>
          </w:p>
        </w:tc>
        <w:tc>
          <w:tcPr>
            <w:tcW w:w="80" w:type="dxa"/>
            <w:vAlign w:val="bottom"/>
            <w:tcBorders>
              <w:top w:val="single" w:sz="8" w:color="F2F2F2"/>
            </w:tcBorders>
            <w:shd w:val="clear" w:color="auto" w:fill="F2F2F2"/>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00" w:type="dxa"/>
            <w:vAlign w:val="bottom"/>
            <w:shd w:val="clear" w:color="auto" w:fill="F2F2F2"/>
          </w:tcPr>
          <w:p>
            <w:pPr>
              <w:spacing w:after="0" w:line="20" w:lineRule="exact"/>
              <w:rPr>
                <w:sz w:val="1"/>
                <w:szCs w:val="1"/>
                <w:color w:val="auto"/>
              </w:rPr>
            </w:pPr>
          </w:p>
        </w:tc>
        <w:tc>
          <w:tcPr>
            <w:tcW w:w="1300" w:type="dxa"/>
            <w:vAlign w:val="bottom"/>
            <w:tcBorders>
              <w:left w:val="single" w:sz="8" w:color="0000EE"/>
              <w:right w:val="single" w:sz="8" w:color="F2F2F2"/>
            </w:tcBorders>
            <w:gridSpan w:val="3"/>
            <w:shd w:val="clear" w:color="auto" w:fill="0000EE"/>
          </w:tcPr>
          <w:p>
            <w:pPr>
              <w:spacing w:after="0" w:line="20" w:lineRule="exact"/>
              <w:rPr>
                <w:sz w:val="1"/>
                <w:szCs w:val="1"/>
                <w:color w:val="auto"/>
              </w:rPr>
            </w:pPr>
          </w:p>
        </w:tc>
        <w:tc>
          <w:tcPr>
            <w:tcW w:w="500" w:type="dxa"/>
            <w:vAlign w:val="bottom"/>
            <w:tcBorders>
              <w:right w:val="single" w:sz="8" w:color="F2F2F2"/>
            </w:tcBorders>
            <w:gridSpan w:val="2"/>
            <w:shd w:val="clear" w:color="auto" w:fill="F2F2F2"/>
          </w:tcPr>
          <w:p>
            <w:pPr>
              <w:spacing w:after="0" w:line="20" w:lineRule="exact"/>
              <w:rPr>
                <w:sz w:val="1"/>
                <w:szCs w:val="1"/>
                <w:color w:val="auto"/>
              </w:rPr>
            </w:pPr>
          </w:p>
        </w:tc>
        <w:tc>
          <w:tcPr>
            <w:tcW w:w="2140" w:type="dxa"/>
            <w:vAlign w:val="bottom"/>
            <w:gridSpan w:val="8"/>
            <w:shd w:val="clear" w:color="auto" w:fill="F2F2F2"/>
          </w:tcPr>
          <w:p>
            <w:pPr>
              <w:spacing w:after="0" w:line="20" w:lineRule="exact"/>
              <w:rPr>
                <w:sz w:val="1"/>
                <w:szCs w:val="1"/>
                <w:color w:val="auto"/>
              </w:rPr>
            </w:pPr>
          </w:p>
        </w:tc>
        <w:tc>
          <w:tcPr>
            <w:tcW w:w="140" w:type="dxa"/>
            <w:vAlign w:val="bottom"/>
            <w:shd w:val="clear" w:color="auto" w:fill="F2F2F2"/>
          </w:tcPr>
          <w:p>
            <w:pPr>
              <w:spacing w:after="0" w:line="20" w:lineRule="exact"/>
              <w:rPr>
                <w:sz w:val="1"/>
                <w:szCs w:val="1"/>
                <w:color w:val="auto"/>
              </w:rPr>
            </w:pPr>
          </w:p>
        </w:tc>
        <w:tc>
          <w:tcPr>
            <w:tcW w:w="340" w:type="dxa"/>
            <w:vAlign w:val="bottom"/>
            <w:shd w:val="clear" w:color="auto" w:fill="F2F2F2"/>
          </w:tcPr>
          <w:p>
            <w:pPr>
              <w:spacing w:after="0" w:line="20" w:lineRule="exact"/>
              <w:rPr>
                <w:sz w:val="1"/>
                <w:szCs w:val="1"/>
                <w:color w:val="auto"/>
              </w:rPr>
            </w:pPr>
          </w:p>
        </w:tc>
        <w:tc>
          <w:tcPr>
            <w:tcW w:w="640" w:type="dxa"/>
            <w:vAlign w:val="bottom"/>
            <w:tcBorders>
              <w:right w:val="single" w:sz="8" w:color="F2F2F2"/>
            </w:tcBorders>
            <w:shd w:val="clear" w:color="auto" w:fill="F2F2F2"/>
          </w:tcPr>
          <w:p>
            <w:pPr>
              <w:spacing w:after="0" w:line="20" w:lineRule="exact"/>
              <w:rPr>
                <w:sz w:val="1"/>
                <w:szCs w:val="1"/>
                <w:color w:val="auto"/>
              </w:rPr>
            </w:pPr>
          </w:p>
        </w:tc>
        <w:tc>
          <w:tcPr>
            <w:tcW w:w="1880" w:type="dxa"/>
            <w:vAlign w:val="bottom"/>
            <w:gridSpan w:val="4"/>
            <w:shd w:val="clear" w:color="auto" w:fill="0000EE"/>
          </w:tcPr>
          <w:p>
            <w:pPr>
              <w:spacing w:after="0" w:line="20" w:lineRule="exact"/>
              <w:rPr>
                <w:sz w:val="1"/>
                <w:szCs w:val="1"/>
                <w:color w:val="auto"/>
              </w:rPr>
            </w:pPr>
          </w:p>
        </w:tc>
        <w:tc>
          <w:tcPr>
            <w:tcW w:w="1420" w:type="dxa"/>
            <w:vAlign w:val="bottom"/>
            <w:gridSpan w:val="5"/>
            <w:shd w:val="clear" w:color="auto" w:fill="0000EE"/>
          </w:tcPr>
          <w:p>
            <w:pPr>
              <w:spacing w:after="0" w:line="20" w:lineRule="exact"/>
              <w:rPr>
                <w:sz w:val="1"/>
                <w:szCs w:val="1"/>
                <w:color w:val="auto"/>
              </w:rPr>
            </w:pPr>
          </w:p>
        </w:tc>
        <w:tc>
          <w:tcPr>
            <w:tcW w:w="560" w:type="dxa"/>
            <w:vAlign w:val="bottom"/>
            <w:gridSpan w:val="5"/>
            <w:shd w:val="clear" w:color="auto" w:fill="F2F2F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00" w:type="dxa"/>
            <w:vAlign w:val="bottom"/>
            <w:shd w:val="clear" w:color="auto" w:fill="F2F2F2"/>
          </w:tcPr>
          <w:p>
            <w:pPr>
              <w:jc w:val="right"/>
              <w:ind w:right="15"/>
              <w:spacing w:after="0"/>
              <w:rPr>
                <w:sz w:val="20"/>
                <w:szCs w:val="20"/>
                <w:color w:val="auto"/>
              </w:rPr>
            </w:pPr>
            <w:r>
              <w:rPr>
                <w:rFonts w:ascii="Arial" w:cs="Arial" w:eastAsia="Arial" w:hAnsi="Arial"/>
                <w:sz w:val="16"/>
                <w:szCs w:val="16"/>
                <w:color w:val="auto"/>
              </w:rPr>
              <w:t>35</w:t>
            </w:r>
          </w:p>
        </w:tc>
        <w:tc>
          <w:tcPr>
            <w:tcW w:w="3940" w:type="dxa"/>
            <w:vAlign w:val="bottom"/>
            <w:tcBorders>
              <w:left w:val="single" w:sz="8" w:color="F2F2F2"/>
            </w:tcBorders>
            <w:gridSpan w:val="13"/>
            <w:shd w:val="clear" w:color="auto" w:fill="F2F2F2"/>
          </w:tcPr>
          <w:p>
            <w:pPr>
              <w:spacing w:after="0"/>
              <w:rPr>
                <w:sz w:val="20"/>
                <w:szCs w:val="20"/>
                <w:color w:val="auto"/>
              </w:rPr>
            </w:pPr>
            <w:r>
              <w:rPr>
                <w:rFonts w:ascii="Arial" w:cs="Arial" w:eastAsia="Arial" w:hAnsi="Arial"/>
                <w:sz w:val="16"/>
                <w:szCs w:val="16"/>
                <w:color w:val="0000EE"/>
              </w:rPr>
              <w:t>Timing of Equity Awards</w:t>
            </w:r>
          </w:p>
        </w:tc>
        <w:tc>
          <w:tcPr>
            <w:tcW w:w="140" w:type="dxa"/>
            <w:vAlign w:val="bottom"/>
            <w:shd w:val="clear" w:color="auto" w:fill="F2F2F2"/>
          </w:tcPr>
          <w:p>
            <w:pPr>
              <w:spacing w:after="0"/>
              <w:rPr>
                <w:sz w:val="20"/>
                <w:szCs w:val="20"/>
                <w:color w:val="auto"/>
              </w:rPr>
            </w:pPr>
          </w:p>
        </w:tc>
        <w:tc>
          <w:tcPr>
            <w:tcW w:w="340" w:type="dxa"/>
            <w:vAlign w:val="bottom"/>
            <w:shd w:val="clear" w:color="auto" w:fill="F2F2F2"/>
          </w:tcPr>
          <w:p>
            <w:pPr>
              <w:spacing w:after="0"/>
              <w:rPr>
                <w:sz w:val="20"/>
                <w:szCs w:val="20"/>
                <w:color w:val="auto"/>
              </w:rPr>
            </w:pPr>
          </w:p>
        </w:tc>
        <w:tc>
          <w:tcPr>
            <w:tcW w:w="640" w:type="dxa"/>
            <w:vAlign w:val="bottom"/>
            <w:tcBorders>
              <w:right w:val="single" w:sz="8" w:color="F2F2F2"/>
            </w:tcBorders>
            <w:shd w:val="clear" w:color="auto" w:fill="F2F2F2"/>
          </w:tcPr>
          <w:p>
            <w:pPr>
              <w:jc w:val="right"/>
              <w:ind w:right="16"/>
              <w:spacing w:after="0"/>
              <w:rPr>
                <w:sz w:val="20"/>
                <w:szCs w:val="20"/>
                <w:color w:val="auto"/>
              </w:rPr>
            </w:pPr>
            <w:r>
              <w:rPr>
                <w:rFonts w:ascii="Arial" w:cs="Arial" w:eastAsia="Arial" w:hAnsi="Arial"/>
                <w:sz w:val="16"/>
                <w:szCs w:val="16"/>
                <w:color w:val="auto"/>
              </w:rPr>
              <w:t>38</w:t>
            </w:r>
          </w:p>
        </w:tc>
        <w:tc>
          <w:tcPr>
            <w:tcW w:w="3860" w:type="dxa"/>
            <w:vAlign w:val="bottom"/>
            <w:gridSpan w:val="14"/>
            <w:shd w:val="clear" w:color="auto" w:fill="F2F2F2"/>
          </w:tcPr>
          <w:p>
            <w:pPr>
              <w:spacing w:after="0"/>
              <w:rPr>
                <w:sz w:val="20"/>
                <w:szCs w:val="20"/>
                <w:color w:val="auto"/>
              </w:rPr>
            </w:pPr>
            <w:r>
              <w:rPr>
                <w:rFonts w:ascii="Arial" w:cs="Arial" w:eastAsia="Arial" w:hAnsi="Arial"/>
                <w:sz w:val="16"/>
                <w:szCs w:val="16"/>
                <w:color w:val="0000EE"/>
              </w:rPr>
              <w:t>The Consideration of Risk</w:t>
            </w:r>
          </w:p>
        </w:tc>
        <w:tc>
          <w:tcPr>
            <w:tcW w:w="0" w:type="dxa"/>
            <w:vAlign w:val="bottom"/>
          </w:tcPr>
          <w:p>
            <w:pPr>
              <w:spacing w:after="0"/>
              <w:rPr>
                <w:sz w:val="1"/>
                <w:szCs w:val="1"/>
                <w:color w:val="auto"/>
              </w:rPr>
            </w:pPr>
          </w:p>
        </w:tc>
      </w:tr>
      <w:tr>
        <w:trPr>
          <w:trHeight w:val="75"/>
        </w:trPr>
        <w:tc>
          <w:tcPr>
            <w:tcW w:w="1000" w:type="dxa"/>
            <w:vAlign w:val="bottom"/>
            <w:tcBorders>
              <w:top w:val="single" w:sz="8" w:color="F2F2F2"/>
            </w:tcBorders>
            <w:shd w:val="clear" w:color="auto" w:fill="F2F2F2"/>
          </w:tcPr>
          <w:p>
            <w:pPr>
              <w:spacing w:after="0"/>
              <w:rPr>
                <w:sz w:val="6"/>
                <w:szCs w:val="6"/>
                <w:color w:val="auto"/>
              </w:rPr>
            </w:pPr>
          </w:p>
        </w:tc>
        <w:tc>
          <w:tcPr>
            <w:tcW w:w="740" w:type="dxa"/>
            <w:vAlign w:val="bottom"/>
            <w:tcBorders>
              <w:top w:val="single" w:sz="8" w:color="0000EE"/>
              <w:left w:val="single" w:sz="8" w:color="F2F2F2"/>
            </w:tcBorders>
            <w:shd w:val="clear" w:color="auto" w:fill="F2F2F2"/>
          </w:tcPr>
          <w:p>
            <w:pPr>
              <w:spacing w:after="0"/>
              <w:rPr>
                <w:sz w:val="6"/>
                <w:szCs w:val="6"/>
                <w:color w:val="auto"/>
              </w:rPr>
            </w:pPr>
          </w:p>
        </w:tc>
        <w:tc>
          <w:tcPr>
            <w:tcW w:w="140" w:type="dxa"/>
            <w:vAlign w:val="bottom"/>
            <w:tcBorders>
              <w:top w:val="single" w:sz="8" w:color="0000EE"/>
            </w:tcBorders>
            <w:shd w:val="clear" w:color="auto" w:fill="F2F2F2"/>
          </w:tcPr>
          <w:p>
            <w:pPr>
              <w:spacing w:after="0"/>
              <w:rPr>
                <w:sz w:val="6"/>
                <w:szCs w:val="6"/>
                <w:color w:val="auto"/>
              </w:rPr>
            </w:pPr>
          </w:p>
        </w:tc>
        <w:tc>
          <w:tcPr>
            <w:tcW w:w="420" w:type="dxa"/>
            <w:vAlign w:val="bottom"/>
            <w:tcBorders>
              <w:top w:val="single" w:sz="8" w:color="0000EE"/>
              <w:right w:val="single" w:sz="8" w:color="F2F2F2"/>
            </w:tcBorders>
            <w:shd w:val="clear" w:color="auto" w:fill="F2F2F2"/>
          </w:tcPr>
          <w:p>
            <w:pPr>
              <w:spacing w:after="0"/>
              <w:rPr>
                <w:sz w:val="6"/>
                <w:szCs w:val="6"/>
                <w:color w:val="auto"/>
              </w:rPr>
            </w:pPr>
          </w:p>
        </w:tc>
        <w:tc>
          <w:tcPr>
            <w:tcW w:w="280" w:type="dxa"/>
            <w:vAlign w:val="bottom"/>
            <w:tcBorders>
              <w:top w:val="single" w:sz="8" w:color="0000EE"/>
              <w:right w:val="single" w:sz="8" w:color="F2F2F2"/>
            </w:tcBorders>
            <w:shd w:val="clear" w:color="auto" w:fill="F2F2F2"/>
          </w:tcPr>
          <w:p>
            <w:pPr>
              <w:spacing w:after="0"/>
              <w:rPr>
                <w:sz w:val="6"/>
                <w:szCs w:val="6"/>
                <w:color w:val="auto"/>
              </w:rPr>
            </w:pPr>
          </w:p>
        </w:tc>
        <w:tc>
          <w:tcPr>
            <w:tcW w:w="220" w:type="dxa"/>
            <w:vAlign w:val="bottom"/>
            <w:tcBorders>
              <w:top w:val="single" w:sz="8" w:color="0000EE"/>
              <w:right w:val="single" w:sz="8" w:color="F2F2F2"/>
            </w:tcBorders>
            <w:shd w:val="clear" w:color="auto" w:fill="F2F2F2"/>
          </w:tcPr>
          <w:p>
            <w:pPr>
              <w:spacing w:after="0"/>
              <w:rPr>
                <w:sz w:val="6"/>
                <w:szCs w:val="6"/>
                <w:color w:val="auto"/>
              </w:rPr>
            </w:pPr>
          </w:p>
        </w:tc>
        <w:tc>
          <w:tcPr>
            <w:tcW w:w="400" w:type="dxa"/>
            <w:vAlign w:val="bottom"/>
            <w:tcBorders>
              <w:top w:val="single" w:sz="8" w:color="F2F2F2"/>
            </w:tcBorders>
            <w:shd w:val="clear" w:color="auto" w:fill="F2F2F2"/>
          </w:tcPr>
          <w:p>
            <w:pPr>
              <w:spacing w:after="0"/>
              <w:rPr>
                <w:sz w:val="6"/>
                <w:szCs w:val="6"/>
                <w:color w:val="auto"/>
              </w:rPr>
            </w:pPr>
          </w:p>
        </w:tc>
        <w:tc>
          <w:tcPr>
            <w:tcW w:w="320" w:type="dxa"/>
            <w:vAlign w:val="bottom"/>
            <w:tcBorders>
              <w:top w:val="single" w:sz="8" w:color="F2F2F2"/>
            </w:tcBorders>
            <w:shd w:val="clear" w:color="auto" w:fill="F2F2F2"/>
          </w:tcPr>
          <w:p>
            <w:pPr>
              <w:spacing w:after="0"/>
              <w:rPr>
                <w:sz w:val="6"/>
                <w:szCs w:val="6"/>
                <w:color w:val="auto"/>
              </w:rPr>
            </w:pPr>
          </w:p>
        </w:tc>
        <w:tc>
          <w:tcPr>
            <w:tcW w:w="480" w:type="dxa"/>
            <w:vAlign w:val="bottom"/>
            <w:tcBorders>
              <w:top w:val="single" w:sz="8" w:color="F2F2F2"/>
              <w:right w:val="single" w:sz="8" w:color="F2F2F2"/>
            </w:tcBorders>
            <w:shd w:val="clear" w:color="auto" w:fill="F2F2F2"/>
          </w:tcPr>
          <w:p>
            <w:pPr>
              <w:spacing w:after="0"/>
              <w:rPr>
                <w:sz w:val="6"/>
                <w:szCs w:val="6"/>
                <w:color w:val="auto"/>
              </w:rPr>
            </w:pPr>
          </w:p>
        </w:tc>
        <w:tc>
          <w:tcPr>
            <w:tcW w:w="200" w:type="dxa"/>
            <w:vAlign w:val="bottom"/>
            <w:tcBorders>
              <w:top w:val="single" w:sz="8" w:color="F2F2F2"/>
            </w:tcBorders>
            <w:shd w:val="clear" w:color="auto" w:fill="F2F2F2"/>
          </w:tcPr>
          <w:p>
            <w:pPr>
              <w:spacing w:after="0"/>
              <w:rPr>
                <w:sz w:val="6"/>
                <w:szCs w:val="6"/>
                <w:color w:val="auto"/>
              </w:rPr>
            </w:pPr>
          </w:p>
        </w:tc>
        <w:tc>
          <w:tcPr>
            <w:tcW w:w="80" w:type="dxa"/>
            <w:vAlign w:val="bottom"/>
            <w:tcBorders>
              <w:top w:val="single" w:sz="8" w:color="F2F2F2"/>
            </w:tcBorders>
            <w:shd w:val="clear" w:color="auto" w:fill="F2F2F2"/>
          </w:tcPr>
          <w:p>
            <w:pPr>
              <w:spacing w:after="0"/>
              <w:rPr>
                <w:sz w:val="6"/>
                <w:szCs w:val="6"/>
                <w:color w:val="auto"/>
              </w:rPr>
            </w:pPr>
          </w:p>
        </w:tc>
        <w:tc>
          <w:tcPr>
            <w:tcW w:w="460" w:type="dxa"/>
            <w:vAlign w:val="bottom"/>
            <w:tcBorders>
              <w:top w:val="single" w:sz="8" w:color="F2F2F2"/>
            </w:tcBorders>
            <w:shd w:val="clear" w:color="auto" w:fill="F2F2F2"/>
          </w:tcPr>
          <w:p>
            <w:pPr>
              <w:spacing w:after="0"/>
              <w:rPr>
                <w:sz w:val="6"/>
                <w:szCs w:val="6"/>
                <w:color w:val="auto"/>
              </w:rPr>
            </w:pPr>
          </w:p>
        </w:tc>
        <w:tc>
          <w:tcPr>
            <w:tcW w:w="20" w:type="dxa"/>
            <w:vAlign w:val="bottom"/>
            <w:tcBorders>
              <w:top w:val="single" w:sz="8" w:color="F2F2F2"/>
            </w:tcBorders>
            <w:shd w:val="clear" w:color="auto" w:fill="F2F2F2"/>
          </w:tcPr>
          <w:p>
            <w:pPr>
              <w:spacing w:after="0"/>
              <w:rPr>
                <w:sz w:val="6"/>
                <w:szCs w:val="6"/>
                <w:color w:val="auto"/>
              </w:rPr>
            </w:pPr>
          </w:p>
        </w:tc>
        <w:tc>
          <w:tcPr>
            <w:tcW w:w="180" w:type="dxa"/>
            <w:vAlign w:val="bottom"/>
            <w:tcBorders>
              <w:top w:val="single" w:sz="8" w:color="F2F2F2"/>
            </w:tcBorders>
            <w:shd w:val="clear" w:color="auto" w:fill="F2F2F2"/>
          </w:tcPr>
          <w:p>
            <w:pPr>
              <w:spacing w:after="0"/>
              <w:rPr>
                <w:sz w:val="6"/>
                <w:szCs w:val="6"/>
                <w:color w:val="auto"/>
              </w:rPr>
            </w:pPr>
          </w:p>
        </w:tc>
        <w:tc>
          <w:tcPr>
            <w:tcW w:w="140" w:type="dxa"/>
            <w:vAlign w:val="bottom"/>
            <w:tcBorders>
              <w:top w:val="single" w:sz="8" w:color="F2F2F2"/>
            </w:tcBorders>
            <w:shd w:val="clear" w:color="auto" w:fill="F2F2F2"/>
          </w:tcPr>
          <w:p>
            <w:pPr>
              <w:spacing w:after="0"/>
              <w:rPr>
                <w:sz w:val="6"/>
                <w:szCs w:val="6"/>
                <w:color w:val="auto"/>
              </w:rPr>
            </w:pPr>
          </w:p>
        </w:tc>
        <w:tc>
          <w:tcPr>
            <w:tcW w:w="340" w:type="dxa"/>
            <w:vAlign w:val="bottom"/>
            <w:tcBorders>
              <w:top w:val="single" w:sz="8" w:color="F2F2F2"/>
            </w:tcBorders>
            <w:shd w:val="clear" w:color="auto" w:fill="F2F2F2"/>
          </w:tcPr>
          <w:p>
            <w:pPr>
              <w:spacing w:after="0"/>
              <w:rPr>
                <w:sz w:val="6"/>
                <w:szCs w:val="6"/>
                <w:color w:val="auto"/>
              </w:rPr>
            </w:pPr>
          </w:p>
        </w:tc>
        <w:tc>
          <w:tcPr>
            <w:tcW w:w="640" w:type="dxa"/>
            <w:vAlign w:val="bottom"/>
            <w:tcBorders>
              <w:top w:val="single" w:sz="8" w:color="F2F2F2"/>
              <w:right w:val="single" w:sz="8" w:color="F2F2F2"/>
            </w:tcBorders>
            <w:shd w:val="clear" w:color="auto" w:fill="F2F2F2"/>
          </w:tcPr>
          <w:p>
            <w:pPr>
              <w:spacing w:after="0"/>
              <w:rPr>
                <w:sz w:val="6"/>
                <w:szCs w:val="6"/>
                <w:color w:val="auto"/>
              </w:rPr>
            </w:pPr>
          </w:p>
        </w:tc>
        <w:tc>
          <w:tcPr>
            <w:tcW w:w="1460" w:type="dxa"/>
            <w:vAlign w:val="bottom"/>
            <w:tcBorders>
              <w:top w:val="single" w:sz="8" w:color="0000EE"/>
              <w:right w:val="single" w:sz="8" w:color="F2F2F2"/>
            </w:tcBorders>
            <w:shd w:val="clear" w:color="auto" w:fill="F2F2F2"/>
          </w:tcPr>
          <w:p>
            <w:pPr>
              <w:spacing w:after="0"/>
              <w:rPr>
                <w:sz w:val="6"/>
                <w:szCs w:val="6"/>
                <w:color w:val="auto"/>
              </w:rPr>
            </w:pPr>
          </w:p>
        </w:tc>
        <w:tc>
          <w:tcPr>
            <w:tcW w:w="360" w:type="dxa"/>
            <w:vAlign w:val="bottom"/>
            <w:tcBorders>
              <w:top w:val="single" w:sz="8" w:color="0000EE"/>
            </w:tcBorders>
            <w:shd w:val="clear" w:color="auto" w:fill="F2F2F2"/>
          </w:tcPr>
          <w:p>
            <w:pPr>
              <w:spacing w:after="0"/>
              <w:rPr>
                <w:sz w:val="6"/>
                <w:szCs w:val="6"/>
                <w:color w:val="auto"/>
              </w:rPr>
            </w:pPr>
          </w:p>
        </w:tc>
        <w:tc>
          <w:tcPr>
            <w:tcW w:w="20" w:type="dxa"/>
            <w:vAlign w:val="bottom"/>
            <w:tcBorders>
              <w:top w:val="single" w:sz="8" w:color="0000EE"/>
            </w:tcBorders>
            <w:shd w:val="clear" w:color="auto" w:fill="F2F2F2"/>
          </w:tcPr>
          <w:p>
            <w:pPr>
              <w:spacing w:after="0"/>
              <w:rPr>
                <w:sz w:val="6"/>
                <w:szCs w:val="6"/>
                <w:color w:val="auto"/>
              </w:rPr>
            </w:pPr>
          </w:p>
        </w:tc>
        <w:tc>
          <w:tcPr>
            <w:tcW w:w="40" w:type="dxa"/>
            <w:vAlign w:val="bottom"/>
            <w:tcBorders>
              <w:top w:val="single" w:sz="8" w:color="0000EE"/>
            </w:tcBorders>
            <w:shd w:val="clear" w:color="auto" w:fill="F2F2F2"/>
          </w:tcPr>
          <w:p>
            <w:pPr>
              <w:spacing w:after="0"/>
              <w:rPr>
                <w:sz w:val="6"/>
                <w:szCs w:val="6"/>
                <w:color w:val="auto"/>
              </w:rPr>
            </w:pPr>
          </w:p>
        </w:tc>
        <w:tc>
          <w:tcPr>
            <w:tcW w:w="160" w:type="dxa"/>
            <w:vAlign w:val="bottom"/>
            <w:tcBorders>
              <w:top w:val="single" w:sz="8" w:color="F2F2F2"/>
            </w:tcBorders>
            <w:shd w:val="clear" w:color="auto" w:fill="F2F2F2"/>
          </w:tcPr>
          <w:p>
            <w:pPr>
              <w:spacing w:after="0"/>
              <w:rPr>
                <w:sz w:val="6"/>
                <w:szCs w:val="6"/>
                <w:color w:val="auto"/>
              </w:rPr>
            </w:pPr>
          </w:p>
        </w:tc>
        <w:tc>
          <w:tcPr>
            <w:tcW w:w="180" w:type="dxa"/>
            <w:vAlign w:val="bottom"/>
            <w:tcBorders>
              <w:top w:val="single" w:sz="8" w:color="F2F2F2"/>
            </w:tcBorders>
            <w:shd w:val="clear" w:color="auto" w:fill="F2F2F2"/>
          </w:tcPr>
          <w:p>
            <w:pPr>
              <w:spacing w:after="0"/>
              <w:rPr>
                <w:sz w:val="6"/>
                <w:szCs w:val="6"/>
                <w:color w:val="auto"/>
              </w:rPr>
            </w:pPr>
          </w:p>
        </w:tc>
        <w:tc>
          <w:tcPr>
            <w:tcW w:w="820" w:type="dxa"/>
            <w:vAlign w:val="bottom"/>
            <w:tcBorders>
              <w:top w:val="single" w:sz="8" w:color="F2F2F2"/>
            </w:tcBorders>
            <w:shd w:val="clear" w:color="auto" w:fill="F2F2F2"/>
          </w:tcPr>
          <w:p>
            <w:pPr>
              <w:spacing w:after="0"/>
              <w:rPr>
                <w:sz w:val="6"/>
                <w:szCs w:val="6"/>
                <w:color w:val="auto"/>
              </w:rPr>
            </w:pPr>
          </w:p>
        </w:tc>
        <w:tc>
          <w:tcPr>
            <w:tcW w:w="200" w:type="dxa"/>
            <w:vAlign w:val="bottom"/>
            <w:tcBorders>
              <w:top w:val="single" w:sz="8" w:color="F2F2F2"/>
            </w:tcBorders>
            <w:shd w:val="clear" w:color="auto" w:fill="F2F2F2"/>
          </w:tcPr>
          <w:p>
            <w:pPr>
              <w:spacing w:after="0"/>
              <w:rPr>
                <w:sz w:val="6"/>
                <w:szCs w:val="6"/>
                <w:color w:val="auto"/>
              </w:rPr>
            </w:pPr>
          </w:p>
        </w:tc>
        <w:tc>
          <w:tcPr>
            <w:tcW w:w="60" w:type="dxa"/>
            <w:vAlign w:val="bottom"/>
            <w:tcBorders>
              <w:top w:val="single" w:sz="8" w:color="F2F2F2"/>
            </w:tcBorders>
            <w:shd w:val="clear" w:color="auto" w:fill="F2F2F2"/>
          </w:tcPr>
          <w:p>
            <w:pPr>
              <w:spacing w:after="0"/>
              <w:rPr>
                <w:sz w:val="6"/>
                <w:szCs w:val="6"/>
                <w:color w:val="auto"/>
              </w:rPr>
            </w:pPr>
          </w:p>
        </w:tc>
        <w:tc>
          <w:tcPr>
            <w:tcW w:w="220" w:type="dxa"/>
            <w:vAlign w:val="bottom"/>
            <w:tcBorders>
              <w:top w:val="single" w:sz="8" w:color="F2F2F2"/>
            </w:tcBorders>
            <w:shd w:val="clear" w:color="auto" w:fill="F2F2F2"/>
          </w:tcPr>
          <w:p>
            <w:pPr>
              <w:spacing w:after="0"/>
              <w:rPr>
                <w:sz w:val="6"/>
                <w:szCs w:val="6"/>
                <w:color w:val="auto"/>
              </w:rPr>
            </w:pPr>
          </w:p>
        </w:tc>
        <w:tc>
          <w:tcPr>
            <w:tcW w:w="20" w:type="dxa"/>
            <w:vAlign w:val="bottom"/>
            <w:tcBorders>
              <w:top w:val="single" w:sz="8" w:color="F2F2F2"/>
            </w:tcBorders>
            <w:shd w:val="clear" w:color="auto" w:fill="F2F2F2"/>
          </w:tcPr>
          <w:p>
            <w:pPr>
              <w:spacing w:after="0"/>
              <w:rPr>
                <w:sz w:val="6"/>
                <w:szCs w:val="6"/>
                <w:color w:val="auto"/>
              </w:rPr>
            </w:pPr>
          </w:p>
        </w:tc>
        <w:tc>
          <w:tcPr>
            <w:tcW w:w="160" w:type="dxa"/>
            <w:vAlign w:val="bottom"/>
            <w:tcBorders>
              <w:top w:val="single" w:sz="8" w:color="F2F2F2"/>
            </w:tcBorders>
            <w:shd w:val="clear" w:color="auto" w:fill="F2F2F2"/>
          </w:tcPr>
          <w:p>
            <w:pPr>
              <w:spacing w:after="0"/>
              <w:rPr>
                <w:sz w:val="6"/>
                <w:szCs w:val="6"/>
                <w:color w:val="auto"/>
              </w:rPr>
            </w:pPr>
          </w:p>
        </w:tc>
        <w:tc>
          <w:tcPr>
            <w:tcW w:w="80" w:type="dxa"/>
            <w:vAlign w:val="bottom"/>
            <w:tcBorders>
              <w:top w:val="single" w:sz="8" w:color="F2F2F2"/>
            </w:tcBorders>
            <w:shd w:val="clear" w:color="auto" w:fill="F2F2F2"/>
          </w:tcPr>
          <w:p>
            <w:pPr>
              <w:spacing w:after="0"/>
              <w:rPr>
                <w:sz w:val="6"/>
                <w:szCs w:val="6"/>
                <w:color w:val="auto"/>
              </w:rPr>
            </w:pPr>
          </w:p>
        </w:tc>
        <w:tc>
          <w:tcPr>
            <w:tcW w:w="80" w:type="dxa"/>
            <w:vAlign w:val="bottom"/>
            <w:tcBorders>
              <w:top w:val="single" w:sz="8" w:color="F2F2F2"/>
            </w:tcBorders>
            <w:shd w:val="clear" w:color="auto" w:fill="F2F2F2"/>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548640</wp:posOffset>
            </wp:positionV>
            <wp:extent cx="629221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3846195</wp:posOffset>
            </wp:positionH>
            <wp:positionV relativeFrom="paragraph">
              <wp:posOffset>-934085</wp:posOffset>
            </wp:positionV>
            <wp:extent cx="8255" cy="9347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255" cy="934720"/>
                    </a:xfrm>
                    <a:prstGeom prst="rect">
                      <a:avLst/>
                    </a:prstGeom>
                    <a:noFill/>
                  </pic:spPr>
                </pic:pic>
              </a:graphicData>
            </a:graphic>
          </wp:anchor>
        </w:drawing>
        <w:drawing>
          <wp:anchor simplePos="0" relativeHeight="251657728" behindDoc="1" locked="0" layoutInCell="0" allowOverlap="1">
            <wp:simplePos x="0" y="0"/>
            <wp:positionH relativeFrom="column">
              <wp:posOffset>3846195</wp:posOffset>
            </wp:positionH>
            <wp:positionV relativeFrom="paragraph">
              <wp:posOffset>-1876425</wp:posOffset>
            </wp:positionV>
            <wp:extent cx="8255" cy="7454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255" cy="745490"/>
                    </a:xfrm>
                    <a:prstGeom prst="rect">
                      <a:avLst/>
                    </a:prstGeom>
                    <a:noFill/>
                  </pic:spPr>
                </pic:pic>
              </a:graphicData>
            </a:graphic>
          </wp:anchor>
        </w:drawing>
        <w:drawing>
          <wp:anchor simplePos="0" relativeHeight="251657728" behindDoc="1" locked="0" layoutInCell="0" allowOverlap="1">
            <wp:simplePos x="0" y="0"/>
            <wp:positionH relativeFrom="column">
              <wp:posOffset>3846195</wp:posOffset>
            </wp:positionH>
            <wp:positionV relativeFrom="paragraph">
              <wp:posOffset>-2451100</wp:posOffset>
            </wp:positionV>
            <wp:extent cx="8255" cy="29146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25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2026 PROXY STATEMENT </w:t>
      </w:r>
      <w:r>
        <w:rPr>
          <w:rFonts w:ascii="Arial" w:cs="Arial" w:eastAsia="Arial" w:hAnsi="Arial"/>
          <w:sz w:val="19"/>
          <w:szCs w:val="19"/>
          <w:color w:val="808080"/>
        </w:rPr>
        <w:t>/</w:t>
      </w:r>
      <w:r>
        <w:rPr>
          <w:rFonts w:ascii="Arial" w:cs="Arial" w:eastAsia="Arial" w:hAnsi="Arial"/>
          <w:sz w:val="16"/>
          <w:szCs w:val="16"/>
          <w:color w:val="auto"/>
        </w:rPr>
        <w:t xml:space="preserve"> </w:t>
      </w:r>
      <w:r>
        <w:rPr>
          <w:rFonts w:ascii="Arial" w:cs="Arial" w:eastAsia="Arial" w:hAnsi="Arial"/>
          <w:sz w:val="19"/>
          <w:szCs w:val="19"/>
          <w:b w:val="1"/>
          <w:bCs w:val="1"/>
          <w:color w:val="4A7EBB"/>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365125</wp:posOffset>
            </wp:positionV>
            <wp:extent cx="6292215"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17780</wp:posOffset>
            </wp:positionV>
            <wp:extent cx="624903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249035"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29"/>
          <w:szCs w:val="29"/>
          <w:b w:val="1"/>
          <w:bCs w:val="1"/>
          <w:color w:val="4A7EBB"/>
        </w:rPr>
        <w:t>Executive Summary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During Fiscal 2026, the following individuals were our NEOs: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1760" w:type="dxa"/>
            <w:vAlign w:val="bottom"/>
            <w:tcBorders>
              <w:top w:val="single" w:sz="8" w:color="4A7EBB"/>
              <w:bottom w:val="single" w:sz="8" w:color="4A7EBB"/>
            </w:tcBorders>
            <w:shd w:val="clear" w:color="auto" w:fill="DBE5F1"/>
          </w:tcPr>
          <w:p>
            <w:pPr>
              <w:ind w:left="180"/>
              <w:spacing w:after="0"/>
              <w:rPr>
                <w:sz w:val="20"/>
                <w:szCs w:val="20"/>
                <w:color w:val="auto"/>
              </w:rPr>
            </w:pPr>
            <w:r>
              <w:rPr>
                <w:rFonts w:ascii="Arial" w:cs="Arial" w:eastAsia="Arial" w:hAnsi="Arial"/>
                <w:sz w:val="16"/>
                <w:szCs w:val="16"/>
                <w:b w:val="1"/>
                <w:bCs w:val="1"/>
                <w:color w:val="auto"/>
              </w:rPr>
              <w:t>Name</w:t>
            </w:r>
          </w:p>
        </w:tc>
        <w:tc>
          <w:tcPr>
            <w:tcW w:w="800" w:type="dxa"/>
            <w:vAlign w:val="bottom"/>
            <w:tcBorders>
              <w:top w:val="single" w:sz="8" w:color="4A7EBB"/>
              <w:bottom w:val="single" w:sz="8" w:color="4A7EBB"/>
            </w:tcBorders>
            <w:shd w:val="clear" w:color="auto" w:fill="DBE5F1"/>
          </w:tcPr>
          <w:p>
            <w:pPr>
              <w:jc w:val="center"/>
              <w:ind w:left="139"/>
              <w:spacing w:after="0"/>
              <w:rPr>
                <w:sz w:val="20"/>
                <w:szCs w:val="20"/>
                <w:color w:val="auto"/>
              </w:rPr>
            </w:pPr>
            <w:r>
              <w:rPr>
                <w:rFonts w:ascii="Arial" w:cs="Arial" w:eastAsia="Arial" w:hAnsi="Arial"/>
                <w:sz w:val="16"/>
                <w:szCs w:val="16"/>
                <w:b w:val="1"/>
                <w:bCs w:val="1"/>
                <w:color w:val="auto"/>
                <w:w w:val="99"/>
              </w:rPr>
              <w:t>Age</w:t>
            </w:r>
          </w:p>
        </w:tc>
        <w:tc>
          <w:tcPr>
            <w:tcW w:w="4840" w:type="dxa"/>
            <w:vAlign w:val="bottom"/>
            <w:tcBorders>
              <w:top w:val="single" w:sz="8" w:color="4A7EBB"/>
              <w:bottom w:val="single" w:sz="8" w:color="4A7EBB"/>
            </w:tcBorders>
            <w:shd w:val="clear" w:color="auto" w:fill="DBE5F1"/>
          </w:tcPr>
          <w:p>
            <w:pPr>
              <w:ind w:left="140"/>
              <w:spacing w:after="0"/>
              <w:rPr>
                <w:sz w:val="20"/>
                <w:szCs w:val="20"/>
                <w:color w:val="auto"/>
              </w:rPr>
            </w:pPr>
            <w:r>
              <w:rPr>
                <w:rFonts w:ascii="Arial" w:cs="Arial" w:eastAsia="Arial" w:hAnsi="Arial"/>
                <w:sz w:val="16"/>
                <w:szCs w:val="16"/>
                <w:b w:val="1"/>
                <w:bCs w:val="1"/>
                <w:color w:val="auto"/>
              </w:rPr>
              <w:t>Title</w:t>
            </w:r>
          </w:p>
        </w:tc>
        <w:tc>
          <w:tcPr>
            <w:tcW w:w="2520" w:type="dxa"/>
            <w:vAlign w:val="bottom"/>
            <w:tcBorders>
              <w:top w:val="single" w:sz="8" w:color="4A7EBB"/>
              <w:bottom w:val="single" w:sz="8" w:color="4A7EBB"/>
            </w:tcBorders>
            <w:shd w:val="clear" w:color="auto" w:fill="DBE5F1"/>
          </w:tcPr>
          <w:p>
            <w:pPr>
              <w:ind w:left="1080"/>
              <w:spacing w:after="0"/>
              <w:rPr>
                <w:sz w:val="20"/>
                <w:szCs w:val="20"/>
                <w:color w:val="auto"/>
              </w:rPr>
            </w:pPr>
            <w:r>
              <w:rPr>
                <w:rFonts w:ascii="Arial" w:cs="Arial" w:eastAsia="Arial" w:hAnsi="Arial"/>
                <w:sz w:val="16"/>
                <w:szCs w:val="16"/>
                <w:b w:val="1"/>
                <w:bCs w:val="1"/>
                <w:color w:val="auto"/>
              </w:rPr>
              <w:t>Years with G-III</w:t>
            </w:r>
          </w:p>
        </w:tc>
      </w:tr>
      <w:tr>
        <w:trPr>
          <w:trHeight w:val="516"/>
        </w:trPr>
        <w:tc>
          <w:tcPr>
            <w:tcW w:w="1760" w:type="dxa"/>
            <w:vAlign w:val="bottom"/>
          </w:tcPr>
          <w:p>
            <w:pPr>
              <w:ind w:left="120"/>
              <w:spacing w:after="0"/>
              <w:rPr>
                <w:sz w:val="20"/>
                <w:szCs w:val="20"/>
                <w:color w:val="auto"/>
              </w:rPr>
            </w:pPr>
            <w:r>
              <w:rPr>
                <w:rFonts w:ascii="Arial" w:cs="Arial" w:eastAsia="Arial" w:hAnsi="Arial"/>
                <w:sz w:val="16"/>
                <w:szCs w:val="16"/>
                <w:b w:val="1"/>
                <w:bCs w:val="1"/>
                <w:color w:val="4A7EBB"/>
              </w:rPr>
              <w:t>Morris Goldfarb</w:t>
            </w:r>
          </w:p>
        </w:tc>
        <w:tc>
          <w:tcPr>
            <w:tcW w:w="800" w:type="dxa"/>
            <w:vAlign w:val="bottom"/>
          </w:tcPr>
          <w:p>
            <w:pPr>
              <w:jc w:val="center"/>
              <w:ind w:left="139"/>
              <w:spacing w:after="0"/>
              <w:rPr>
                <w:sz w:val="20"/>
                <w:szCs w:val="20"/>
                <w:color w:val="auto"/>
              </w:rPr>
            </w:pPr>
            <w:r>
              <w:rPr>
                <w:rFonts w:ascii="Arial" w:cs="Arial" w:eastAsia="Arial" w:hAnsi="Arial"/>
                <w:sz w:val="16"/>
                <w:szCs w:val="16"/>
                <w:color w:val="auto"/>
              </w:rPr>
              <w:t>75</w:t>
            </w:r>
          </w:p>
        </w:tc>
        <w:tc>
          <w:tcPr>
            <w:tcW w:w="4840" w:type="dxa"/>
            <w:vAlign w:val="bottom"/>
          </w:tcPr>
          <w:p>
            <w:pPr>
              <w:ind w:left="140"/>
              <w:spacing w:after="0"/>
              <w:rPr>
                <w:sz w:val="20"/>
                <w:szCs w:val="20"/>
                <w:color w:val="auto"/>
              </w:rPr>
            </w:pPr>
            <w:r>
              <w:rPr>
                <w:rFonts w:ascii="Arial" w:cs="Arial" w:eastAsia="Arial" w:hAnsi="Arial"/>
                <w:sz w:val="16"/>
                <w:szCs w:val="16"/>
                <w:color w:val="auto"/>
              </w:rPr>
              <w:t>Chairman of the Board and Chief Executive Officer</w:t>
            </w:r>
          </w:p>
        </w:tc>
        <w:tc>
          <w:tcPr>
            <w:tcW w:w="2520" w:type="dxa"/>
            <w:vAlign w:val="bottom"/>
          </w:tcPr>
          <w:p>
            <w:pPr>
              <w:jc w:val="center"/>
              <w:ind w:left="739"/>
              <w:spacing w:after="0"/>
              <w:rPr>
                <w:sz w:val="20"/>
                <w:szCs w:val="20"/>
                <w:color w:val="auto"/>
              </w:rPr>
            </w:pPr>
            <w:r>
              <w:rPr>
                <w:rFonts w:ascii="Arial" w:cs="Arial" w:eastAsia="Arial" w:hAnsi="Arial"/>
                <w:sz w:val="16"/>
                <w:szCs w:val="16"/>
                <w:color w:val="auto"/>
              </w:rPr>
              <w:t>52</w:t>
            </w:r>
          </w:p>
        </w:tc>
      </w:tr>
      <w:tr>
        <w:trPr>
          <w:trHeight w:val="304"/>
        </w:trPr>
        <w:tc>
          <w:tcPr>
            <w:tcW w:w="1760" w:type="dxa"/>
            <w:vAlign w:val="bottom"/>
            <w:tcBorders>
              <w:bottom w:val="single" w:sz="8" w:color="4A7EBB"/>
            </w:tcBorders>
          </w:tcPr>
          <w:p>
            <w:pPr>
              <w:spacing w:after="0"/>
              <w:rPr>
                <w:sz w:val="24"/>
                <w:szCs w:val="24"/>
                <w:color w:val="auto"/>
              </w:rPr>
            </w:pPr>
          </w:p>
        </w:tc>
        <w:tc>
          <w:tcPr>
            <w:tcW w:w="800" w:type="dxa"/>
            <w:vAlign w:val="bottom"/>
            <w:tcBorders>
              <w:bottom w:val="single" w:sz="8" w:color="4A7EBB"/>
            </w:tcBorders>
          </w:tcPr>
          <w:p>
            <w:pPr>
              <w:spacing w:after="0"/>
              <w:rPr>
                <w:sz w:val="24"/>
                <w:szCs w:val="24"/>
                <w:color w:val="auto"/>
              </w:rPr>
            </w:pPr>
          </w:p>
        </w:tc>
        <w:tc>
          <w:tcPr>
            <w:tcW w:w="4840" w:type="dxa"/>
            <w:vAlign w:val="bottom"/>
            <w:tcBorders>
              <w:bottom w:val="single" w:sz="8" w:color="4A7EBB"/>
            </w:tcBorders>
          </w:tcPr>
          <w:p>
            <w:pPr>
              <w:spacing w:after="0"/>
              <w:rPr>
                <w:sz w:val="24"/>
                <w:szCs w:val="24"/>
                <w:color w:val="auto"/>
              </w:rPr>
            </w:pPr>
          </w:p>
        </w:tc>
        <w:tc>
          <w:tcPr>
            <w:tcW w:w="2520" w:type="dxa"/>
            <w:vAlign w:val="bottom"/>
            <w:tcBorders>
              <w:bottom w:val="single" w:sz="8" w:color="4A7EBB"/>
            </w:tcBorders>
          </w:tcPr>
          <w:p>
            <w:pPr>
              <w:spacing w:after="0"/>
              <w:rPr>
                <w:sz w:val="24"/>
                <w:szCs w:val="24"/>
                <w:color w:val="auto"/>
              </w:rPr>
            </w:pPr>
          </w:p>
        </w:tc>
      </w:tr>
      <w:tr>
        <w:trPr>
          <w:trHeight w:val="499"/>
        </w:trPr>
        <w:tc>
          <w:tcPr>
            <w:tcW w:w="1760" w:type="dxa"/>
            <w:vAlign w:val="bottom"/>
            <w:shd w:val="clear" w:color="auto" w:fill="F2F2F2"/>
          </w:tcPr>
          <w:p>
            <w:pPr>
              <w:ind w:left="120"/>
              <w:spacing w:after="0"/>
              <w:rPr>
                <w:sz w:val="20"/>
                <w:szCs w:val="20"/>
                <w:color w:val="auto"/>
              </w:rPr>
            </w:pPr>
            <w:r>
              <w:rPr>
                <w:rFonts w:ascii="Arial" w:cs="Arial" w:eastAsia="Arial" w:hAnsi="Arial"/>
                <w:sz w:val="16"/>
                <w:szCs w:val="16"/>
                <w:b w:val="1"/>
                <w:bCs w:val="1"/>
                <w:color w:val="4A7EBB"/>
              </w:rPr>
              <w:t>Neal S. Nackman</w:t>
            </w:r>
          </w:p>
        </w:tc>
        <w:tc>
          <w:tcPr>
            <w:tcW w:w="800" w:type="dxa"/>
            <w:vAlign w:val="bottom"/>
            <w:shd w:val="clear" w:color="auto" w:fill="F2F2F2"/>
          </w:tcPr>
          <w:p>
            <w:pPr>
              <w:jc w:val="center"/>
              <w:ind w:left="139"/>
              <w:spacing w:after="0"/>
              <w:rPr>
                <w:sz w:val="20"/>
                <w:szCs w:val="20"/>
                <w:color w:val="auto"/>
              </w:rPr>
            </w:pPr>
            <w:r>
              <w:rPr>
                <w:rFonts w:ascii="Arial" w:cs="Arial" w:eastAsia="Arial" w:hAnsi="Arial"/>
                <w:sz w:val="16"/>
                <w:szCs w:val="16"/>
                <w:color w:val="auto"/>
              </w:rPr>
              <w:t>66</w:t>
            </w:r>
          </w:p>
        </w:tc>
        <w:tc>
          <w:tcPr>
            <w:tcW w:w="4840" w:type="dxa"/>
            <w:vAlign w:val="bottom"/>
            <w:shd w:val="clear" w:color="auto" w:fill="F2F2F2"/>
          </w:tcPr>
          <w:p>
            <w:pPr>
              <w:ind w:left="140"/>
              <w:spacing w:after="0"/>
              <w:rPr>
                <w:sz w:val="20"/>
                <w:szCs w:val="20"/>
                <w:color w:val="auto"/>
              </w:rPr>
            </w:pPr>
            <w:r>
              <w:rPr>
                <w:rFonts w:ascii="Arial" w:cs="Arial" w:eastAsia="Arial" w:hAnsi="Arial"/>
                <w:sz w:val="16"/>
                <w:szCs w:val="16"/>
                <w:color w:val="auto"/>
              </w:rPr>
              <w:t>Chief Financial Officer</w:t>
            </w:r>
          </w:p>
        </w:tc>
        <w:tc>
          <w:tcPr>
            <w:tcW w:w="2520" w:type="dxa"/>
            <w:vAlign w:val="bottom"/>
            <w:shd w:val="clear" w:color="auto" w:fill="F2F2F2"/>
          </w:tcPr>
          <w:p>
            <w:pPr>
              <w:jc w:val="center"/>
              <w:ind w:left="739"/>
              <w:spacing w:after="0"/>
              <w:rPr>
                <w:sz w:val="20"/>
                <w:szCs w:val="20"/>
                <w:color w:val="auto"/>
              </w:rPr>
            </w:pPr>
            <w:r>
              <w:rPr>
                <w:rFonts w:ascii="Arial" w:cs="Arial" w:eastAsia="Arial" w:hAnsi="Arial"/>
                <w:sz w:val="16"/>
                <w:szCs w:val="16"/>
                <w:color w:val="auto"/>
              </w:rPr>
              <w:t>22</w:t>
            </w:r>
          </w:p>
        </w:tc>
      </w:tr>
      <w:tr>
        <w:trPr>
          <w:trHeight w:val="278"/>
        </w:trPr>
        <w:tc>
          <w:tcPr>
            <w:tcW w:w="1760" w:type="dxa"/>
            <w:vAlign w:val="bottom"/>
            <w:tcBorders>
              <w:bottom w:val="single" w:sz="8" w:color="4A7EBB"/>
            </w:tcBorders>
            <w:shd w:val="clear" w:color="auto" w:fill="F2F2F2"/>
          </w:tcPr>
          <w:p>
            <w:pPr>
              <w:spacing w:after="0"/>
              <w:rPr>
                <w:sz w:val="24"/>
                <w:szCs w:val="24"/>
                <w:color w:val="auto"/>
              </w:rPr>
            </w:pPr>
          </w:p>
        </w:tc>
        <w:tc>
          <w:tcPr>
            <w:tcW w:w="800" w:type="dxa"/>
            <w:vAlign w:val="bottom"/>
            <w:tcBorders>
              <w:bottom w:val="single" w:sz="8" w:color="4A7EBB"/>
            </w:tcBorders>
            <w:shd w:val="clear" w:color="auto" w:fill="F2F2F2"/>
          </w:tcPr>
          <w:p>
            <w:pPr>
              <w:spacing w:after="0"/>
              <w:rPr>
                <w:sz w:val="24"/>
                <w:szCs w:val="24"/>
                <w:color w:val="auto"/>
              </w:rPr>
            </w:pPr>
          </w:p>
        </w:tc>
        <w:tc>
          <w:tcPr>
            <w:tcW w:w="4840" w:type="dxa"/>
            <w:vAlign w:val="bottom"/>
            <w:tcBorders>
              <w:bottom w:val="single" w:sz="8" w:color="4A7EBB"/>
            </w:tcBorders>
            <w:shd w:val="clear" w:color="auto" w:fill="F2F2F2"/>
          </w:tcPr>
          <w:p>
            <w:pPr>
              <w:spacing w:after="0"/>
              <w:rPr>
                <w:sz w:val="24"/>
                <w:szCs w:val="24"/>
                <w:color w:val="auto"/>
              </w:rPr>
            </w:pPr>
          </w:p>
        </w:tc>
        <w:tc>
          <w:tcPr>
            <w:tcW w:w="2520" w:type="dxa"/>
            <w:vAlign w:val="bottom"/>
            <w:tcBorders>
              <w:bottom w:val="single" w:sz="8" w:color="4A7EBB"/>
            </w:tcBorders>
            <w:shd w:val="clear" w:color="auto" w:fill="F2F2F2"/>
          </w:tcPr>
          <w:p>
            <w:pPr>
              <w:spacing w:after="0"/>
              <w:rPr>
                <w:sz w:val="24"/>
                <w:szCs w:val="24"/>
                <w:color w:val="auto"/>
              </w:rPr>
            </w:pPr>
          </w:p>
        </w:tc>
      </w:tr>
      <w:tr>
        <w:trPr>
          <w:trHeight w:val="499"/>
        </w:trPr>
        <w:tc>
          <w:tcPr>
            <w:tcW w:w="1760" w:type="dxa"/>
            <w:vAlign w:val="bottom"/>
          </w:tcPr>
          <w:p>
            <w:pPr>
              <w:ind w:left="120"/>
              <w:spacing w:after="0"/>
              <w:rPr>
                <w:sz w:val="20"/>
                <w:szCs w:val="20"/>
                <w:color w:val="auto"/>
              </w:rPr>
            </w:pPr>
            <w:r>
              <w:rPr>
                <w:rFonts w:ascii="Arial" w:cs="Arial" w:eastAsia="Arial" w:hAnsi="Arial"/>
                <w:sz w:val="16"/>
                <w:szCs w:val="16"/>
                <w:b w:val="1"/>
                <w:bCs w:val="1"/>
                <w:color w:val="4A7EBB"/>
              </w:rPr>
              <w:t>Sammy Aaron</w:t>
            </w:r>
          </w:p>
        </w:tc>
        <w:tc>
          <w:tcPr>
            <w:tcW w:w="800" w:type="dxa"/>
            <w:vAlign w:val="bottom"/>
          </w:tcPr>
          <w:p>
            <w:pPr>
              <w:jc w:val="center"/>
              <w:ind w:left="139"/>
              <w:spacing w:after="0"/>
              <w:rPr>
                <w:sz w:val="20"/>
                <w:szCs w:val="20"/>
                <w:color w:val="auto"/>
              </w:rPr>
            </w:pPr>
            <w:r>
              <w:rPr>
                <w:rFonts w:ascii="Arial" w:cs="Arial" w:eastAsia="Arial" w:hAnsi="Arial"/>
                <w:sz w:val="16"/>
                <w:szCs w:val="16"/>
                <w:color w:val="auto"/>
              </w:rPr>
              <w:t>66</w:t>
            </w:r>
          </w:p>
        </w:tc>
        <w:tc>
          <w:tcPr>
            <w:tcW w:w="4840" w:type="dxa"/>
            <w:vAlign w:val="bottom"/>
          </w:tcPr>
          <w:p>
            <w:pPr>
              <w:ind w:left="140"/>
              <w:spacing w:after="0"/>
              <w:rPr>
                <w:sz w:val="20"/>
                <w:szCs w:val="20"/>
                <w:color w:val="auto"/>
              </w:rPr>
            </w:pPr>
            <w:r>
              <w:rPr>
                <w:rFonts w:ascii="Arial" w:cs="Arial" w:eastAsia="Arial" w:hAnsi="Arial"/>
                <w:sz w:val="16"/>
                <w:szCs w:val="16"/>
                <w:color w:val="auto"/>
              </w:rPr>
              <w:t>Vice Chairman and President</w:t>
            </w:r>
          </w:p>
        </w:tc>
        <w:tc>
          <w:tcPr>
            <w:tcW w:w="2520" w:type="dxa"/>
            <w:vAlign w:val="bottom"/>
          </w:tcPr>
          <w:p>
            <w:pPr>
              <w:jc w:val="center"/>
              <w:ind w:left="739"/>
              <w:spacing w:after="0"/>
              <w:rPr>
                <w:sz w:val="20"/>
                <w:szCs w:val="20"/>
                <w:color w:val="auto"/>
              </w:rPr>
            </w:pPr>
            <w:r>
              <w:rPr>
                <w:rFonts w:ascii="Arial" w:cs="Arial" w:eastAsia="Arial" w:hAnsi="Arial"/>
                <w:sz w:val="16"/>
                <w:szCs w:val="16"/>
                <w:color w:val="auto"/>
              </w:rPr>
              <w:t>20</w:t>
            </w:r>
          </w:p>
        </w:tc>
      </w:tr>
      <w:tr>
        <w:trPr>
          <w:trHeight w:val="278"/>
        </w:trPr>
        <w:tc>
          <w:tcPr>
            <w:tcW w:w="1760" w:type="dxa"/>
            <w:vAlign w:val="bottom"/>
            <w:tcBorders>
              <w:bottom w:val="single" w:sz="8" w:color="4A7EBB"/>
            </w:tcBorders>
          </w:tcPr>
          <w:p>
            <w:pPr>
              <w:spacing w:after="0"/>
              <w:rPr>
                <w:sz w:val="24"/>
                <w:szCs w:val="24"/>
                <w:color w:val="auto"/>
              </w:rPr>
            </w:pPr>
          </w:p>
        </w:tc>
        <w:tc>
          <w:tcPr>
            <w:tcW w:w="800" w:type="dxa"/>
            <w:vAlign w:val="bottom"/>
            <w:tcBorders>
              <w:bottom w:val="single" w:sz="8" w:color="4A7EBB"/>
            </w:tcBorders>
          </w:tcPr>
          <w:p>
            <w:pPr>
              <w:spacing w:after="0"/>
              <w:rPr>
                <w:sz w:val="24"/>
                <w:szCs w:val="24"/>
                <w:color w:val="auto"/>
              </w:rPr>
            </w:pPr>
          </w:p>
        </w:tc>
        <w:tc>
          <w:tcPr>
            <w:tcW w:w="4840" w:type="dxa"/>
            <w:vAlign w:val="bottom"/>
            <w:tcBorders>
              <w:bottom w:val="single" w:sz="8" w:color="4A7EBB"/>
            </w:tcBorders>
          </w:tcPr>
          <w:p>
            <w:pPr>
              <w:spacing w:after="0"/>
              <w:rPr>
                <w:sz w:val="24"/>
                <w:szCs w:val="24"/>
                <w:color w:val="auto"/>
              </w:rPr>
            </w:pPr>
          </w:p>
        </w:tc>
        <w:tc>
          <w:tcPr>
            <w:tcW w:w="2520" w:type="dxa"/>
            <w:vAlign w:val="bottom"/>
            <w:tcBorders>
              <w:bottom w:val="single" w:sz="8" w:color="4A7EBB"/>
            </w:tcBorders>
          </w:tcPr>
          <w:p>
            <w:pPr>
              <w:spacing w:after="0"/>
              <w:rPr>
                <w:sz w:val="24"/>
                <w:szCs w:val="24"/>
                <w:color w:val="auto"/>
              </w:rPr>
            </w:pPr>
          </w:p>
        </w:tc>
      </w:tr>
      <w:tr>
        <w:trPr>
          <w:trHeight w:val="486"/>
        </w:trPr>
        <w:tc>
          <w:tcPr>
            <w:tcW w:w="1760" w:type="dxa"/>
            <w:vAlign w:val="bottom"/>
            <w:shd w:val="clear" w:color="auto" w:fill="F2F2F2"/>
          </w:tcPr>
          <w:p>
            <w:pPr>
              <w:ind w:left="120"/>
              <w:spacing w:after="0"/>
              <w:rPr>
                <w:sz w:val="20"/>
                <w:szCs w:val="20"/>
                <w:color w:val="auto"/>
              </w:rPr>
            </w:pPr>
            <w:r>
              <w:rPr>
                <w:rFonts w:ascii="Arial" w:cs="Arial" w:eastAsia="Arial" w:hAnsi="Arial"/>
                <w:sz w:val="16"/>
                <w:szCs w:val="16"/>
                <w:b w:val="1"/>
                <w:bCs w:val="1"/>
                <w:color w:val="4A7EBB"/>
              </w:rPr>
              <w:t>Jeffrey Goldfarb</w:t>
            </w:r>
          </w:p>
        </w:tc>
        <w:tc>
          <w:tcPr>
            <w:tcW w:w="800" w:type="dxa"/>
            <w:vAlign w:val="bottom"/>
            <w:shd w:val="clear" w:color="auto" w:fill="F2F2F2"/>
          </w:tcPr>
          <w:p>
            <w:pPr>
              <w:jc w:val="center"/>
              <w:ind w:left="139"/>
              <w:spacing w:after="0"/>
              <w:rPr>
                <w:sz w:val="20"/>
                <w:szCs w:val="20"/>
                <w:color w:val="auto"/>
              </w:rPr>
            </w:pPr>
            <w:r>
              <w:rPr>
                <w:rFonts w:ascii="Arial" w:cs="Arial" w:eastAsia="Arial" w:hAnsi="Arial"/>
                <w:sz w:val="16"/>
                <w:szCs w:val="16"/>
                <w:color w:val="auto"/>
              </w:rPr>
              <w:t>49</w:t>
            </w:r>
          </w:p>
        </w:tc>
        <w:tc>
          <w:tcPr>
            <w:tcW w:w="4840" w:type="dxa"/>
            <w:vAlign w:val="bottom"/>
            <w:shd w:val="clear" w:color="auto" w:fill="F2F2F2"/>
          </w:tcPr>
          <w:p>
            <w:pPr>
              <w:ind w:left="140"/>
              <w:spacing w:after="0"/>
              <w:rPr>
                <w:sz w:val="20"/>
                <w:szCs w:val="20"/>
                <w:color w:val="auto"/>
              </w:rPr>
            </w:pPr>
            <w:r>
              <w:rPr>
                <w:rFonts w:ascii="Arial" w:cs="Arial" w:eastAsia="Arial" w:hAnsi="Arial"/>
                <w:sz w:val="16"/>
                <w:szCs w:val="16"/>
                <w:color w:val="auto"/>
              </w:rPr>
              <w:t>Executive Vice President</w:t>
            </w:r>
          </w:p>
        </w:tc>
        <w:tc>
          <w:tcPr>
            <w:tcW w:w="2520" w:type="dxa"/>
            <w:vAlign w:val="bottom"/>
            <w:shd w:val="clear" w:color="auto" w:fill="F2F2F2"/>
          </w:tcPr>
          <w:p>
            <w:pPr>
              <w:jc w:val="center"/>
              <w:ind w:left="739"/>
              <w:spacing w:after="0"/>
              <w:rPr>
                <w:sz w:val="20"/>
                <w:szCs w:val="20"/>
                <w:color w:val="auto"/>
              </w:rPr>
            </w:pPr>
            <w:r>
              <w:rPr>
                <w:rFonts w:ascii="Arial" w:cs="Arial" w:eastAsia="Arial" w:hAnsi="Arial"/>
                <w:sz w:val="16"/>
                <w:szCs w:val="16"/>
                <w:color w:val="auto"/>
              </w:rPr>
              <w:t>23</w:t>
            </w:r>
          </w:p>
        </w:tc>
      </w:tr>
      <w:tr>
        <w:trPr>
          <w:trHeight w:val="278"/>
        </w:trPr>
        <w:tc>
          <w:tcPr>
            <w:tcW w:w="1760" w:type="dxa"/>
            <w:vAlign w:val="bottom"/>
            <w:tcBorders>
              <w:bottom w:val="single" w:sz="8" w:color="4A7EBB"/>
            </w:tcBorders>
            <w:shd w:val="clear" w:color="auto" w:fill="F2F2F2"/>
          </w:tcPr>
          <w:p>
            <w:pPr>
              <w:spacing w:after="0"/>
              <w:rPr>
                <w:sz w:val="24"/>
                <w:szCs w:val="24"/>
                <w:color w:val="auto"/>
              </w:rPr>
            </w:pPr>
          </w:p>
        </w:tc>
        <w:tc>
          <w:tcPr>
            <w:tcW w:w="800" w:type="dxa"/>
            <w:vAlign w:val="bottom"/>
            <w:tcBorders>
              <w:bottom w:val="single" w:sz="8" w:color="4A7EBB"/>
            </w:tcBorders>
            <w:shd w:val="clear" w:color="auto" w:fill="F2F2F2"/>
          </w:tcPr>
          <w:p>
            <w:pPr>
              <w:spacing w:after="0"/>
              <w:rPr>
                <w:sz w:val="24"/>
                <w:szCs w:val="24"/>
                <w:color w:val="auto"/>
              </w:rPr>
            </w:pPr>
          </w:p>
        </w:tc>
        <w:tc>
          <w:tcPr>
            <w:tcW w:w="4840" w:type="dxa"/>
            <w:vAlign w:val="bottom"/>
            <w:tcBorders>
              <w:bottom w:val="single" w:sz="8" w:color="4A7EBB"/>
            </w:tcBorders>
            <w:shd w:val="clear" w:color="auto" w:fill="F2F2F2"/>
          </w:tcPr>
          <w:p>
            <w:pPr>
              <w:spacing w:after="0"/>
              <w:rPr>
                <w:sz w:val="24"/>
                <w:szCs w:val="24"/>
                <w:color w:val="auto"/>
              </w:rPr>
            </w:pPr>
          </w:p>
        </w:tc>
        <w:tc>
          <w:tcPr>
            <w:tcW w:w="2520" w:type="dxa"/>
            <w:vAlign w:val="bottom"/>
            <w:tcBorders>
              <w:bottom w:val="single" w:sz="8" w:color="4A7EBB"/>
            </w:tcBorders>
            <w:shd w:val="clear" w:color="auto" w:fill="F2F2F2"/>
          </w:tcPr>
          <w:p>
            <w:pPr>
              <w:spacing w:after="0"/>
              <w:rPr>
                <w:sz w:val="24"/>
                <w:szCs w:val="24"/>
                <w:color w:val="auto"/>
              </w:rPr>
            </w:pPr>
          </w:p>
        </w:tc>
      </w:tr>
      <w:tr>
        <w:trPr>
          <w:trHeight w:val="486"/>
        </w:trPr>
        <w:tc>
          <w:tcPr>
            <w:tcW w:w="1760" w:type="dxa"/>
            <w:vAlign w:val="bottom"/>
          </w:tcPr>
          <w:p>
            <w:pPr>
              <w:ind w:left="120"/>
              <w:spacing w:after="0"/>
              <w:rPr>
                <w:sz w:val="20"/>
                <w:szCs w:val="20"/>
                <w:color w:val="auto"/>
              </w:rPr>
            </w:pPr>
            <w:r>
              <w:rPr>
                <w:rFonts w:ascii="Arial" w:cs="Arial" w:eastAsia="Arial" w:hAnsi="Arial"/>
                <w:sz w:val="16"/>
                <w:szCs w:val="16"/>
                <w:b w:val="1"/>
                <w:bCs w:val="1"/>
                <w:color w:val="4A7EBB"/>
              </w:rPr>
              <w:t>Dana Perlman</w:t>
            </w:r>
          </w:p>
        </w:tc>
        <w:tc>
          <w:tcPr>
            <w:tcW w:w="800" w:type="dxa"/>
            <w:vAlign w:val="bottom"/>
          </w:tcPr>
          <w:p>
            <w:pPr>
              <w:jc w:val="center"/>
              <w:ind w:left="139"/>
              <w:spacing w:after="0"/>
              <w:rPr>
                <w:sz w:val="20"/>
                <w:szCs w:val="20"/>
                <w:color w:val="auto"/>
              </w:rPr>
            </w:pPr>
            <w:r>
              <w:rPr>
                <w:rFonts w:ascii="Arial" w:cs="Arial" w:eastAsia="Arial" w:hAnsi="Arial"/>
                <w:sz w:val="16"/>
                <w:szCs w:val="16"/>
                <w:color w:val="auto"/>
              </w:rPr>
              <w:t>45</w:t>
            </w:r>
          </w:p>
        </w:tc>
        <w:tc>
          <w:tcPr>
            <w:tcW w:w="4840" w:type="dxa"/>
            <w:vAlign w:val="bottom"/>
          </w:tcPr>
          <w:p>
            <w:pPr>
              <w:ind w:left="140"/>
              <w:spacing w:after="0"/>
              <w:rPr>
                <w:sz w:val="20"/>
                <w:szCs w:val="20"/>
                <w:color w:val="auto"/>
              </w:rPr>
            </w:pPr>
            <w:r>
              <w:rPr>
                <w:rFonts w:ascii="Arial" w:cs="Arial" w:eastAsia="Arial" w:hAnsi="Arial"/>
                <w:sz w:val="16"/>
                <w:szCs w:val="16"/>
                <w:color w:val="auto"/>
              </w:rPr>
              <w:t>Chief Growth and Operations Officer</w:t>
            </w:r>
          </w:p>
        </w:tc>
        <w:tc>
          <w:tcPr>
            <w:tcW w:w="2520" w:type="dxa"/>
            <w:vAlign w:val="bottom"/>
          </w:tcPr>
          <w:p>
            <w:pPr>
              <w:jc w:val="center"/>
              <w:ind w:left="739"/>
              <w:spacing w:after="0"/>
              <w:rPr>
                <w:sz w:val="20"/>
                <w:szCs w:val="20"/>
                <w:color w:val="auto"/>
              </w:rPr>
            </w:pPr>
            <w:r>
              <w:rPr>
                <w:rFonts w:ascii="Arial" w:cs="Arial" w:eastAsia="Arial" w:hAnsi="Arial"/>
                <w:sz w:val="16"/>
                <w:szCs w:val="16"/>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-2360295</wp:posOffset>
            </wp:positionV>
            <wp:extent cx="6292215" cy="25457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292215" cy="2545715"/>
                    </a:xfrm>
                    <a:prstGeom prst="rect">
                      <a:avLst/>
                    </a:prstGeom>
                    <a:noFill/>
                  </pic:spPr>
                </pic:pic>
              </a:graphicData>
            </a:graphic>
          </wp:anchor>
        </w:drawing>
      </w:r>
    </w:p>
    <w:p>
      <w:pPr>
        <w:spacing w:after="0" w:line="3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BUSINESS PERFORMANCE IN FISCAL 2026</w:t>
      </w:r>
    </w:p>
    <w:p>
      <w:pPr>
        <w:spacing w:after="0" w:line="108" w:lineRule="exact"/>
        <w:rPr>
          <w:sz w:val="20"/>
          <w:szCs w:val="20"/>
          <w:color w:val="auto"/>
        </w:rPr>
      </w:pPr>
    </w:p>
    <w:p>
      <w:pPr>
        <w:jc w:val="both"/>
        <w:spacing w:after="0"/>
        <w:rPr>
          <w:sz w:val="20"/>
          <w:szCs w:val="20"/>
          <w:color w:val="auto"/>
        </w:rPr>
      </w:pPr>
      <w:r>
        <w:rPr>
          <w:rFonts w:ascii="Arial" w:cs="Arial" w:eastAsia="Arial" w:hAnsi="Arial"/>
          <w:sz w:val="18"/>
          <w:szCs w:val="18"/>
          <w:color w:val="auto"/>
        </w:rPr>
        <w:t>Fiscal 2026 was a pivotal year for the Company. We made meaningful progress in advancing our long-term strategy despite a tough environment. Late in 2022, our long-time licensor partner, PVH Corp., informed us that it would not grant long-term renewals of our licenses for Calvin Klein and Tommy Hilfiger products. At that time, we entered into amendments to the license agreements for the Calvin Klein and Tommy Hilfiger products that provide for staggered extensions by category. These business lines represented approximately 28% (approximately $827 million) of our net sales in fiscal 2026, down from 48% (approximately $ 1.5 billion) of our net sales in fiscal 2023. We expect net sales of Calvin Klein and Tommy Hilfiger products to decline by approximately $470 million in fiscal 2027 before rolling off completely in fiscal 2028.</w:t>
      </w:r>
    </w:p>
    <w:p>
      <w:pPr>
        <w:spacing w:after="0" w:line="18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As a result of strategic planning by our management and Board, and proactive risk management and contingency planning, we were prepared for this challenge. Our team, led by our Chairman and CEO, Morris Goldfarb, Vice Chairman and President, Sammy Aaron, Executive Vice President, Jeffrey Goldfarb and our Chief Growth and Operations Officer, Dana Perlman, used their decades of apparel industry experience and extensive relationships with our retail customers and suppliers to pivot, reducing our dependence on these licenses and concentrating on new initiatives.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We are driving growth through four key initiatives:</w:t>
      </w:r>
    </w:p>
    <w:p>
      <w:pPr>
        <w:spacing w:after="0" w:line="212" w:lineRule="exact"/>
        <w:rPr>
          <w:sz w:val="20"/>
          <w:szCs w:val="20"/>
          <w:color w:val="auto"/>
        </w:rPr>
      </w:pPr>
    </w:p>
    <w:p>
      <w:pPr>
        <w:jc w:val="both"/>
        <w:ind w:left="1000" w:hanging="317"/>
        <w:spacing w:after="0" w:line="253" w:lineRule="auto"/>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Invest in brand-building initiatives to increase product and consumer engagement, particularly in our key owned brands, Donna Karan, DKNY, Karl Lagerfeld and Vilebrequin, as well as entering into new long-term licenses, including for the Halston, Champion, Converse, BCBG, French Connection and Nautica brands;</w:t>
      </w:r>
    </w:p>
    <w:p>
      <w:pPr>
        <w:spacing w:after="0" w:line="168" w:lineRule="exact"/>
        <w:rPr>
          <w:rFonts w:ascii="Arial" w:cs="Arial" w:eastAsia="Arial" w:hAnsi="Arial"/>
          <w:sz w:val="18"/>
          <w:szCs w:val="18"/>
          <w:color w:val="auto"/>
        </w:rPr>
      </w:pPr>
    </w:p>
    <w:p>
      <w:pPr>
        <w:ind w:left="1000" w:hanging="317"/>
        <w:spacing w:after="0" w:line="271" w:lineRule="auto"/>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Drive direct to consumer engagement by strengthening our digital business to boost traffic and conversion across owned and partner sites and execute on our retail segment turnaround initiatives in North America;</w:t>
      </w:r>
    </w:p>
    <w:p>
      <w:pPr>
        <w:spacing w:after="0" w:line="153" w:lineRule="exact"/>
        <w:rPr>
          <w:rFonts w:ascii="Arial" w:cs="Arial" w:eastAsia="Arial" w:hAnsi="Arial"/>
          <w:sz w:val="18"/>
          <w:szCs w:val="18"/>
          <w:color w:val="auto"/>
        </w:rPr>
      </w:pPr>
    </w:p>
    <w:p>
      <w:pPr>
        <w:ind w:left="1000" w:hanging="317"/>
        <w:spacing w:after="0" w:line="271" w:lineRule="auto"/>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Expand international sales by prioritizing the right markets, partners and infrastructure to ensure long-term sustainable growth; and</w:t>
      </w:r>
    </w:p>
    <w:p>
      <w:pPr>
        <w:spacing w:after="0" w:line="153" w:lineRule="exact"/>
        <w:rPr>
          <w:rFonts w:ascii="Arial" w:cs="Arial" w:eastAsia="Arial" w:hAnsi="Arial"/>
          <w:sz w:val="18"/>
          <w:szCs w:val="18"/>
          <w:color w:val="auto"/>
        </w:rPr>
      </w:pPr>
    </w:p>
    <w:p>
      <w:pPr>
        <w:ind w:left="1000" w:hanging="317"/>
        <w:spacing w:after="0" w:line="271" w:lineRule="auto"/>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Expand our brand reach into complementary lifestyle categories to grow our brands and deepen consumer connections.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263525</wp:posOffset>
            </wp:positionV>
            <wp:extent cx="629221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288925</wp:posOffset>
            </wp:positionH>
            <wp:positionV relativeFrom="paragraph">
              <wp:posOffset>314960</wp:posOffset>
            </wp:positionV>
            <wp:extent cx="265430" cy="1543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65430" cy="15430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0"/>
          <w:szCs w:val="20"/>
          <w:b w:val="1"/>
          <w:bCs w:val="1"/>
          <w:color w:val="4A7EBB"/>
        </w:rPr>
        <w:t xml:space="preserve">26 </w:t>
      </w:r>
      <w:r>
        <w:rPr>
          <w:rFonts w:ascii="Arial" w:cs="Arial" w:eastAsia="Arial" w:hAnsi="Arial"/>
          <w:sz w:val="20"/>
          <w:szCs w:val="20"/>
          <w:color w:val="80808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17780</wp:posOffset>
            </wp:positionV>
            <wp:extent cx="629221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172085</wp:posOffset>
            </wp:positionV>
            <wp:extent cx="6292215" cy="13290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292215" cy="1329055"/>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480" w:type="dxa"/>
            <w:vAlign w:val="bottom"/>
            <w:tcBorders>
              <w:top w:val="single" w:sz="8" w:color="auto"/>
            </w:tcBorders>
          </w:tcPr>
          <w:p>
            <w:pPr>
              <w:ind w:left="120"/>
              <w:spacing w:after="0"/>
              <w:rPr>
                <w:sz w:val="20"/>
                <w:szCs w:val="20"/>
                <w:color w:val="auto"/>
              </w:rPr>
            </w:pPr>
            <w:r>
              <w:rPr>
                <w:rFonts w:ascii="Arial" w:cs="Arial" w:eastAsia="Arial" w:hAnsi="Arial"/>
                <w:sz w:val="14"/>
                <w:szCs w:val="14"/>
                <w:b w:val="1"/>
                <w:bCs w:val="1"/>
                <w:color w:val="auto"/>
              </w:rPr>
              <w:t>Net Sales</w:t>
            </w:r>
          </w:p>
        </w:tc>
        <w:tc>
          <w:tcPr>
            <w:tcW w:w="2420" w:type="dxa"/>
            <w:vAlign w:val="bottom"/>
            <w:tcBorders>
              <w:top w:val="single" w:sz="8" w:color="auto"/>
            </w:tcBorders>
          </w:tcPr>
          <w:p>
            <w:pPr>
              <w:ind w:left="100"/>
              <w:spacing w:after="0" w:line="176" w:lineRule="exact"/>
              <w:rPr>
                <w:sz w:val="20"/>
                <w:szCs w:val="20"/>
                <w:color w:val="auto"/>
              </w:rPr>
            </w:pPr>
            <w:r>
              <w:rPr>
                <w:rFonts w:ascii="Arial" w:cs="Arial" w:eastAsia="Arial" w:hAnsi="Arial"/>
                <w:sz w:val="14"/>
                <w:szCs w:val="14"/>
                <w:b w:val="1"/>
                <w:bCs w:val="1"/>
                <w:color w:val="auto"/>
              </w:rPr>
              <w:t>Adjusted EBITDA</w:t>
            </w:r>
            <w:r>
              <w:rPr>
                <w:rFonts w:ascii="Arial" w:cs="Arial" w:eastAsia="Arial" w:hAnsi="Arial"/>
                <w:sz w:val="17"/>
                <w:szCs w:val="17"/>
                <w:b w:val="1"/>
                <w:bCs w:val="1"/>
                <w:color w:val="auto"/>
              </w:rPr>
              <w:t>*</w:t>
            </w:r>
          </w:p>
        </w:tc>
        <w:tc>
          <w:tcPr>
            <w:tcW w:w="2460" w:type="dxa"/>
            <w:vAlign w:val="bottom"/>
            <w:tcBorders>
              <w:top w:val="single" w:sz="8" w:color="auto"/>
            </w:tcBorders>
          </w:tcPr>
          <w:p>
            <w:pPr>
              <w:ind w:left="160"/>
              <w:spacing w:after="0" w:line="176" w:lineRule="exact"/>
              <w:rPr>
                <w:sz w:val="20"/>
                <w:szCs w:val="20"/>
                <w:color w:val="auto"/>
              </w:rPr>
            </w:pPr>
            <w:r>
              <w:rPr>
                <w:rFonts w:ascii="Arial" w:cs="Arial" w:eastAsia="Arial" w:hAnsi="Arial"/>
                <w:sz w:val="14"/>
                <w:szCs w:val="14"/>
                <w:b w:val="1"/>
                <w:bCs w:val="1"/>
                <w:color w:val="auto"/>
              </w:rPr>
              <w:t>Non-GAAP Net Income</w:t>
            </w:r>
            <w:r>
              <w:rPr>
                <w:rFonts w:ascii="Arial" w:cs="Arial" w:eastAsia="Arial" w:hAnsi="Arial"/>
                <w:sz w:val="17"/>
                <w:szCs w:val="17"/>
                <w:b w:val="1"/>
                <w:bCs w:val="1"/>
                <w:color w:val="auto"/>
              </w:rPr>
              <w:t>*</w:t>
            </w:r>
          </w:p>
        </w:tc>
        <w:tc>
          <w:tcPr>
            <w:tcW w:w="25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Non-GAAP  Diluted  Net  Income</w:t>
            </w:r>
          </w:p>
        </w:tc>
        <w:tc>
          <w:tcPr>
            <w:tcW w:w="0" w:type="dxa"/>
            <w:vAlign w:val="bottom"/>
          </w:tcPr>
          <w:p>
            <w:pPr>
              <w:spacing w:after="0"/>
              <w:rPr>
                <w:sz w:val="1"/>
                <w:szCs w:val="1"/>
                <w:color w:val="auto"/>
              </w:rPr>
            </w:pPr>
          </w:p>
        </w:tc>
      </w:tr>
      <w:tr>
        <w:trPr>
          <w:trHeight w:val="247"/>
        </w:trPr>
        <w:tc>
          <w:tcPr>
            <w:tcW w:w="2480" w:type="dxa"/>
            <w:vAlign w:val="bottom"/>
            <w:vMerge w:val="restart"/>
          </w:tcPr>
          <w:p>
            <w:pPr>
              <w:ind w:left="680"/>
              <w:spacing w:after="0"/>
              <w:rPr>
                <w:sz w:val="20"/>
                <w:szCs w:val="20"/>
                <w:color w:val="auto"/>
              </w:rPr>
            </w:pPr>
            <w:r>
              <w:rPr>
                <w:rFonts w:ascii="Arial" w:cs="Arial" w:eastAsia="Arial" w:hAnsi="Arial"/>
                <w:sz w:val="43"/>
                <w:szCs w:val="43"/>
                <w:b w:val="1"/>
                <w:bCs w:val="1"/>
                <w:color w:val="4A7EBB"/>
              </w:rPr>
              <w:t>$3.0B</w:t>
            </w:r>
          </w:p>
        </w:tc>
        <w:tc>
          <w:tcPr>
            <w:tcW w:w="242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2560" w:type="dxa"/>
            <w:vAlign w:val="bottom"/>
          </w:tcPr>
          <w:p>
            <w:pPr>
              <w:ind w:left="160"/>
              <w:spacing w:after="0"/>
              <w:rPr>
                <w:sz w:val="20"/>
                <w:szCs w:val="20"/>
                <w:color w:val="auto"/>
              </w:rPr>
            </w:pPr>
            <w:r>
              <w:rPr>
                <w:rFonts w:ascii="Arial" w:cs="Arial" w:eastAsia="Arial" w:hAnsi="Arial"/>
                <w:sz w:val="14"/>
                <w:szCs w:val="14"/>
                <w:b w:val="1"/>
                <w:bCs w:val="1"/>
                <w:color w:val="auto"/>
              </w:rPr>
              <w:t>Per Share</w:t>
            </w: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615"/>
        </w:trPr>
        <w:tc>
          <w:tcPr>
            <w:tcW w:w="2480" w:type="dxa"/>
            <w:vAlign w:val="bottom"/>
            <w:vMerge w:val="continue"/>
          </w:tcPr>
          <w:p>
            <w:pPr>
              <w:spacing w:after="0"/>
              <w:rPr>
                <w:sz w:val="24"/>
                <w:szCs w:val="24"/>
                <w:color w:val="auto"/>
              </w:rPr>
            </w:pPr>
          </w:p>
        </w:tc>
        <w:tc>
          <w:tcPr>
            <w:tcW w:w="2420" w:type="dxa"/>
            <w:vAlign w:val="bottom"/>
          </w:tcPr>
          <w:p>
            <w:pPr>
              <w:ind w:left="580"/>
              <w:spacing w:after="0"/>
              <w:rPr>
                <w:sz w:val="20"/>
                <w:szCs w:val="20"/>
                <w:color w:val="auto"/>
              </w:rPr>
            </w:pPr>
            <w:r>
              <w:rPr>
                <w:rFonts w:ascii="Arial" w:cs="Arial" w:eastAsia="Arial" w:hAnsi="Arial"/>
                <w:sz w:val="43"/>
                <w:szCs w:val="43"/>
                <w:b w:val="1"/>
                <w:bCs w:val="1"/>
                <w:color w:val="4A7EBB"/>
              </w:rPr>
              <w:t>$192M</w:t>
            </w:r>
          </w:p>
        </w:tc>
        <w:tc>
          <w:tcPr>
            <w:tcW w:w="2460" w:type="dxa"/>
            <w:vAlign w:val="bottom"/>
          </w:tcPr>
          <w:p>
            <w:pPr>
              <w:jc w:val="center"/>
              <w:spacing w:after="0"/>
              <w:rPr>
                <w:sz w:val="20"/>
                <w:szCs w:val="20"/>
                <w:color w:val="auto"/>
              </w:rPr>
            </w:pPr>
            <w:r>
              <w:rPr>
                <w:rFonts w:ascii="Arial" w:cs="Arial" w:eastAsia="Arial" w:hAnsi="Arial"/>
                <w:sz w:val="43"/>
                <w:szCs w:val="43"/>
                <w:b w:val="1"/>
                <w:bCs w:val="1"/>
                <w:color w:val="4A7EBB"/>
                <w:w w:val="98"/>
              </w:rPr>
              <w:t>$116M</w:t>
            </w:r>
          </w:p>
        </w:tc>
        <w:tc>
          <w:tcPr>
            <w:tcW w:w="2560" w:type="dxa"/>
            <w:vAlign w:val="bottom"/>
          </w:tcPr>
          <w:p>
            <w:pPr>
              <w:jc w:val="center"/>
              <w:spacing w:after="0"/>
              <w:rPr>
                <w:sz w:val="20"/>
                <w:szCs w:val="20"/>
                <w:color w:val="auto"/>
              </w:rPr>
            </w:pPr>
            <w:r>
              <w:rPr>
                <w:rFonts w:ascii="Arial" w:cs="Arial" w:eastAsia="Arial" w:hAnsi="Arial"/>
                <w:sz w:val="43"/>
                <w:szCs w:val="43"/>
                <w:b w:val="1"/>
                <w:bCs w:val="1"/>
                <w:color w:val="4A7EBB"/>
              </w:rPr>
              <w:t>$2.61</w:t>
            </w:r>
          </w:p>
        </w:tc>
        <w:tc>
          <w:tcPr>
            <w:tcW w:w="0" w:type="dxa"/>
            <w:vAlign w:val="bottom"/>
          </w:tcPr>
          <w:p>
            <w:pPr>
              <w:spacing w:after="0"/>
              <w:rPr>
                <w:sz w:val="1"/>
                <w:szCs w:val="1"/>
                <w:color w:val="auto"/>
              </w:rPr>
            </w:pPr>
          </w:p>
        </w:tc>
      </w:tr>
      <w:tr>
        <w:trPr>
          <w:trHeight w:val="299"/>
        </w:trPr>
        <w:tc>
          <w:tcPr>
            <w:tcW w:w="2480" w:type="dxa"/>
            <w:vAlign w:val="bottom"/>
          </w:tcPr>
          <w:p>
            <w:pPr>
              <w:jc w:val="center"/>
              <w:spacing w:after="0"/>
              <w:rPr>
                <w:sz w:val="20"/>
                <w:szCs w:val="20"/>
                <w:color w:val="auto"/>
              </w:rPr>
            </w:pPr>
            <w:r>
              <w:rPr>
                <w:rFonts w:ascii="Arial" w:cs="Arial" w:eastAsia="Arial" w:hAnsi="Arial"/>
                <w:sz w:val="14"/>
                <w:szCs w:val="14"/>
                <w:b w:val="1"/>
                <w:bCs w:val="1"/>
                <w:color w:val="auto"/>
              </w:rPr>
              <w:t>Compares to $3.2B last year</w:t>
            </w:r>
          </w:p>
        </w:tc>
        <w:tc>
          <w:tcPr>
            <w:tcW w:w="2420" w:type="dxa"/>
            <w:vAlign w:val="bottom"/>
          </w:tcPr>
          <w:p>
            <w:pPr>
              <w:ind w:left="280"/>
              <w:spacing w:after="0"/>
              <w:rPr>
                <w:sz w:val="20"/>
                <w:szCs w:val="20"/>
                <w:color w:val="auto"/>
              </w:rPr>
            </w:pPr>
            <w:r>
              <w:rPr>
                <w:rFonts w:ascii="Arial" w:cs="Arial" w:eastAsia="Arial" w:hAnsi="Arial"/>
                <w:sz w:val="14"/>
                <w:szCs w:val="14"/>
                <w:b w:val="1"/>
                <w:bCs w:val="1"/>
                <w:color w:val="auto"/>
              </w:rPr>
              <w:t>Compares to $326M last year</w:t>
            </w:r>
          </w:p>
        </w:tc>
        <w:tc>
          <w:tcPr>
            <w:tcW w:w="2460" w:type="dxa"/>
            <w:vAlign w:val="bottom"/>
          </w:tcPr>
          <w:p>
            <w:pPr>
              <w:jc w:val="center"/>
              <w:spacing w:after="0"/>
              <w:rPr>
                <w:sz w:val="20"/>
                <w:szCs w:val="20"/>
                <w:color w:val="auto"/>
              </w:rPr>
            </w:pPr>
            <w:r>
              <w:rPr>
                <w:rFonts w:ascii="Arial" w:cs="Arial" w:eastAsia="Arial" w:hAnsi="Arial"/>
                <w:sz w:val="14"/>
                <w:szCs w:val="14"/>
                <w:b w:val="1"/>
                <w:bCs w:val="1"/>
                <w:color w:val="auto"/>
              </w:rPr>
              <w:t>Compares to $204M last year</w:t>
            </w:r>
          </w:p>
        </w:tc>
        <w:tc>
          <w:tcPr>
            <w:tcW w:w="2560" w:type="dxa"/>
            <w:vAlign w:val="bottom"/>
          </w:tcPr>
          <w:p>
            <w:pPr>
              <w:jc w:val="center"/>
              <w:spacing w:after="0"/>
              <w:rPr>
                <w:sz w:val="20"/>
                <w:szCs w:val="20"/>
                <w:color w:val="auto"/>
              </w:rPr>
            </w:pPr>
            <w:r>
              <w:rPr>
                <w:rFonts w:ascii="Arial" w:cs="Arial" w:eastAsia="Arial" w:hAnsi="Arial"/>
                <w:sz w:val="14"/>
                <w:szCs w:val="14"/>
                <w:b w:val="1"/>
                <w:bCs w:val="1"/>
                <w:color w:val="auto"/>
              </w:rPr>
              <w:t>Includes the negative impact of</w:t>
            </w:r>
          </w:p>
        </w:tc>
        <w:tc>
          <w:tcPr>
            <w:tcW w:w="0" w:type="dxa"/>
            <w:vAlign w:val="bottom"/>
          </w:tcPr>
          <w:p>
            <w:pPr>
              <w:spacing w:after="0"/>
              <w:rPr>
                <w:sz w:val="1"/>
                <w:szCs w:val="1"/>
                <w:color w:val="auto"/>
              </w:rPr>
            </w:pPr>
          </w:p>
        </w:tc>
      </w:tr>
      <w:tr>
        <w:trPr>
          <w:trHeight w:val="148"/>
        </w:trPr>
        <w:tc>
          <w:tcPr>
            <w:tcW w:w="2480" w:type="dxa"/>
            <w:vAlign w:val="bottom"/>
          </w:tcPr>
          <w:p>
            <w:pPr>
              <w:jc w:val="center"/>
              <w:ind w:left="7"/>
              <w:spacing w:after="0" w:line="149" w:lineRule="exact"/>
              <w:rPr>
                <w:sz w:val="20"/>
                <w:szCs w:val="20"/>
                <w:color w:val="auto"/>
              </w:rPr>
            </w:pPr>
            <w:r>
              <w:rPr>
                <w:rFonts w:ascii="Arial" w:cs="Arial" w:eastAsia="Arial" w:hAnsi="Arial"/>
                <w:sz w:val="14"/>
                <w:szCs w:val="14"/>
                <w:b w:val="1"/>
                <w:bCs w:val="1"/>
                <w:color w:val="auto"/>
              </w:rPr>
              <w:t>reflecting transition out of</w:t>
            </w:r>
          </w:p>
        </w:tc>
        <w:tc>
          <w:tcPr>
            <w:tcW w:w="24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$0.30 per share from the Saks</w:t>
            </w:r>
          </w:p>
        </w:tc>
        <w:tc>
          <w:tcPr>
            <w:tcW w:w="0" w:type="dxa"/>
            <w:vAlign w:val="bottom"/>
          </w:tcPr>
          <w:p>
            <w:pPr>
              <w:spacing w:after="0"/>
              <w:rPr>
                <w:sz w:val="1"/>
                <w:szCs w:val="1"/>
                <w:color w:val="auto"/>
              </w:rPr>
            </w:pPr>
          </w:p>
        </w:tc>
      </w:tr>
      <w:tr>
        <w:trPr>
          <w:trHeight w:val="162"/>
        </w:trPr>
        <w:tc>
          <w:tcPr>
            <w:tcW w:w="2480" w:type="dxa"/>
            <w:vAlign w:val="bottom"/>
          </w:tcPr>
          <w:p>
            <w:pPr>
              <w:jc w:val="center"/>
              <w:spacing w:after="0"/>
              <w:rPr>
                <w:sz w:val="20"/>
                <w:szCs w:val="20"/>
                <w:color w:val="auto"/>
              </w:rPr>
            </w:pPr>
            <w:r>
              <w:rPr>
                <w:rFonts w:ascii="Arial" w:cs="Arial" w:eastAsia="Arial" w:hAnsi="Arial"/>
                <w:sz w:val="14"/>
                <w:szCs w:val="14"/>
                <w:b w:val="1"/>
                <w:bCs w:val="1"/>
                <w:color w:val="auto"/>
              </w:rPr>
              <w:t>certain Calvin Klein and Tommy</w:t>
            </w:r>
          </w:p>
        </w:tc>
        <w:tc>
          <w:tcPr>
            <w:tcW w:w="24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560" w:type="dxa"/>
            <w:vAlign w:val="bottom"/>
          </w:tcPr>
          <w:p>
            <w:pPr>
              <w:jc w:val="center"/>
              <w:spacing w:after="0"/>
              <w:rPr>
                <w:sz w:val="20"/>
                <w:szCs w:val="20"/>
                <w:color w:val="auto"/>
              </w:rPr>
            </w:pPr>
            <w:r>
              <w:rPr>
                <w:rFonts w:ascii="Arial" w:cs="Arial" w:eastAsia="Arial" w:hAnsi="Arial"/>
                <w:sz w:val="14"/>
                <w:szCs w:val="14"/>
                <w:b w:val="1"/>
                <w:bCs w:val="1"/>
                <w:color w:val="auto"/>
              </w:rPr>
              <w:t>Global bankruptcy and compares</w:t>
            </w:r>
          </w:p>
        </w:tc>
        <w:tc>
          <w:tcPr>
            <w:tcW w:w="0" w:type="dxa"/>
            <w:vAlign w:val="bottom"/>
          </w:tcPr>
          <w:p>
            <w:pPr>
              <w:spacing w:after="0"/>
              <w:rPr>
                <w:sz w:val="1"/>
                <w:szCs w:val="1"/>
                <w:color w:val="auto"/>
              </w:rPr>
            </w:pPr>
          </w:p>
        </w:tc>
      </w:tr>
      <w:tr>
        <w:trPr>
          <w:trHeight w:val="162"/>
        </w:trPr>
        <w:tc>
          <w:tcPr>
            <w:tcW w:w="2480" w:type="dxa"/>
            <w:vAlign w:val="bottom"/>
          </w:tcPr>
          <w:p>
            <w:pPr>
              <w:jc w:val="center"/>
              <w:spacing w:after="0"/>
              <w:rPr>
                <w:sz w:val="20"/>
                <w:szCs w:val="20"/>
                <w:color w:val="auto"/>
              </w:rPr>
            </w:pPr>
            <w:r>
              <w:rPr>
                <w:rFonts w:ascii="Arial" w:cs="Arial" w:eastAsia="Arial" w:hAnsi="Arial"/>
                <w:sz w:val="14"/>
                <w:szCs w:val="14"/>
                <w:b w:val="1"/>
                <w:bCs w:val="1"/>
                <w:color w:val="auto"/>
              </w:rPr>
              <w:t>Hilfiger businesses offset by</w:t>
            </w:r>
          </w:p>
        </w:tc>
        <w:tc>
          <w:tcPr>
            <w:tcW w:w="24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560" w:type="dxa"/>
            <w:vAlign w:val="bottom"/>
          </w:tcPr>
          <w:p>
            <w:pPr>
              <w:jc w:val="center"/>
              <w:spacing w:after="0"/>
              <w:rPr>
                <w:sz w:val="20"/>
                <w:szCs w:val="20"/>
                <w:color w:val="auto"/>
              </w:rPr>
            </w:pPr>
            <w:r>
              <w:rPr>
                <w:rFonts w:ascii="Arial" w:cs="Arial" w:eastAsia="Arial" w:hAnsi="Arial"/>
                <w:sz w:val="14"/>
                <w:szCs w:val="14"/>
                <w:b w:val="1"/>
                <w:bCs w:val="1"/>
                <w:color w:val="auto"/>
              </w:rPr>
              <w:t>to $4.42 last year</w:t>
            </w:r>
          </w:p>
        </w:tc>
        <w:tc>
          <w:tcPr>
            <w:tcW w:w="0" w:type="dxa"/>
            <w:vAlign w:val="bottom"/>
          </w:tcPr>
          <w:p>
            <w:pPr>
              <w:spacing w:after="0"/>
              <w:rPr>
                <w:sz w:val="1"/>
                <w:szCs w:val="1"/>
                <w:color w:val="auto"/>
              </w:rPr>
            </w:pPr>
          </w:p>
        </w:tc>
      </w:tr>
      <w:tr>
        <w:trPr>
          <w:trHeight w:val="196"/>
        </w:trPr>
        <w:tc>
          <w:tcPr>
            <w:tcW w:w="2480" w:type="dxa"/>
            <w:vAlign w:val="bottom"/>
          </w:tcPr>
          <w:p>
            <w:pPr>
              <w:jc w:val="center"/>
              <w:spacing w:after="0"/>
              <w:rPr>
                <w:sz w:val="20"/>
                <w:szCs w:val="20"/>
                <w:color w:val="auto"/>
              </w:rPr>
            </w:pPr>
            <w:r>
              <w:rPr>
                <w:rFonts w:ascii="Arial" w:cs="Arial" w:eastAsia="Arial" w:hAnsi="Arial"/>
                <w:sz w:val="14"/>
                <w:szCs w:val="14"/>
                <w:b w:val="1"/>
                <w:bCs w:val="1"/>
                <w:color w:val="auto"/>
              </w:rPr>
              <w:t>growth in our owned brands</w:t>
            </w:r>
          </w:p>
        </w:tc>
        <w:tc>
          <w:tcPr>
            <w:tcW w:w="24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*Please see Appendix B for a reconciliation of Adjusted EBITDA, non-GAAP Net Income and non-GAAP Diluted Net Income Per Share to GAAP amounts.</w:t>
      </w:r>
    </w:p>
    <w:p>
      <w:pPr>
        <w:spacing w:after="0" w:line="14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Under the leadership of Morris Goldfarb, Sammy Aaron, Jeffrey Goldfarb and Dana Perlman and our dedicated executive team, G-III has successfully operated in fashion markets that are intensely competitive. Our ability to continuously evaluate and respond to changing consumer demands and tastes, across multiple market segments, distribution channels and geographic areas, is critical to our success. This is demonstrated by our ability to reposition the Company and deliver strong results during a challenging environment in fiscal 2026.</w:t>
      </w:r>
    </w:p>
    <w:p>
      <w:pPr>
        <w:spacing w:after="0" w:line="16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addition to the headline results for net sales, adjusted EBITDA, non-GAAP net income and non-GAAP net income per share shown above, we improved our long-term strategic position in fiscal 2026 in other ways as well:</w:t>
      </w:r>
    </w:p>
    <w:p>
      <w:pPr>
        <w:spacing w:after="0" w:line="140" w:lineRule="exact"/>
        <w:rPr>
          <w:sz w:val="20"/>
          <w:szCs w:val="20"/>
          <w:color w:val="auto"/>
        </w:rPr>
      </w:pPr>
    </w:p>
    <w:p>
      <w:pPr>
        <w:jc w:val="both"/>
        <w:ind w:left="680" w:hanging="321"/>
        <w:spacing w:after="0" w:line="241" w:lineRule="auto"/>
        <w:tabs>
          <w:tab w:leader="none" w:pos="680" w:val="left"/>
        </w:tabs>
        <w:numPr>
          <w:ilvl w:val="0"/>
          <w:numId w:val="59"/>
        </w:numPr>
        <w:rPr>
          <w:rFonts w:ascii="Times New Roman" w:cs="Times New Roman" w:eastAsia="Times New Roman" w:hAnsi="Times New Roman"/>
          <w:sz w:val="18"/>
          <w:szCs w:val="18"/>
          <w:color w:val="4A7EBB"/>
        </w:rPr>
      </w:pPr>
      <w:r>
        <w:rPr>
          <w:rFonts w:ascii="Arial" w:cs="Arial" w:eastAsia="Arial" w:hAnsi="Arial"/>
          <w:sz w:val="18"/>
          <w:szCs w:val="18"/>
          <w:color w:val="auto"/>
        </w:rPr>
        <w:t>Gross margins for the year were 39.4% compared to 40.8% last year, reflecting approximately $65 million of unmitigated impact from tariffs. While gross margins were down, they exceeded expectations driven by a favorable product mix shift toward more full-price sales.</w:t>
      </w:r>
    </w:p>
    <w:p>
      <w:pPr>
        <w:spacing w:after="0" w:line="1" w:lineRule="exact"/>
        <w:rPr>
          <w:rFonts w:ascii="Times New Roman" w:cs="Times New Roman" w:eastAsia="Times New Roman" w:hAnsi="Times New Roman"/>
          <w:sz w:val="18"/>
          <w:szCs w:val="18"/>
          <w:color w:val="4A7EBB"/>
        </w:rPr>
      </w:pPr>
    </w:p>
    <w:p>
      <w:pPr>
        <w:ind w:left="680" w:hanging="321"/>
        <w:spacing w:after="0" w:line="234" w:lineRule="auto"/>
        <w:tabs>
          <w:tab w:leader="none" w:pos="680" w:val="left"/>
        </w:tabs>
        <w:numPr>
          <w:ilvl w:val="0"/>
          <w:numId w:val="59"/>
        </w:numPr>
        <w:rPr>
          <w:rFonts w:ascii="Times New Roman" w:cs="Times New Roman" w:eastAsia="Times New Roman" w:hAnsi="Times New Roman"/>
          <w:sz w:val="18"/>
          <w:szCs w:val="18"/>
          <w:color w:val="4A7EBB"/>
        </w:rPr>
      </w:pPr>
      <w:r>
        <w:rPr>
          <w:rFonts w:ascii="Arial" w:cs="Arial" w:eastAsia="Arial" w:hAnsi="Arial"/>
          <w:sz w:val="18"/>
          <w:szCs w:val="18"/>
          <w:color w:val="auto"/>
        </w:rPr>
        <w:t>We ended the year in a strong financial position with over $400 million in cash and more than $900 million in total liquidity while returning over $50 million to stockholders through share repurchases and our new cash dividend.</w:t>
      </w:r>
    </w:p>
    <w:p>
      <w:pPr>
        <w:ind w:left="680" w:hanging="321"/>
        <w:spacing w:after="0" w:line="234" w:lineRule="auto"/>
        <w:tabs>
          <w:tab w:leader="none" w:pos="680" w:val="left"/>
        </w:tabs>
        <w:numPr>
          <w:ilvl w:val="0"/>
          <w:numId w:val="59"/>
        </w:numPr>
        <w:rPr>
          <w:rFonts w:ascii="Times New Roman" w:cs="Times New Roman" w:eastAsia="Times New Roman" w:hAnsi="Times New Roman"/>
          <w:sz w:val="18"/>
          <w:szCs w:val="18"/>
          <w:color w:val="4A7EBB"/>
        </w:rPr>
      </w:pPr>
      <w:r>
        <w:rPr>
          <w:rFonts w:ascii="Arial" w:cs="Arial" w:eastAsia="Arial" w:hAnsi="Arial"/>
          <w:sz w:val="18"/>
          <w:szCs w:val="18"/>
          <w:color w:val="auto"/>
        </w:rPr>
        <w:t>Our key owned brands DKNY, Donna Karan, Karl Lagerfeld, and Vilebrequin collectively delivered mid-single digit growth, accounting for close to 60% of revenue this year, up from roughly 50% last year.</w:t>
      </w:r>
    </w:p>
    <w:p>
      <w:pPr>
        <w:ind w:left="680" w:hanging="321"/>
        <w:spacing w:after="0" w:line="234" w:lineRule="auto"/>
        <w:tabs>
          <w:tab w:leader="none" w:pos="680" w:val="left"/>
        </w:tabs>
        <w:numPr>
          <w:ilvl w:val="0"/>
          <w:numId w:val="59"/>
        </w:numPr>
        <w:rPr>
          <w:rFonts w:ascii="Times New Roman" w:cs="Times New Roman" w:eastAsia="Times New Roman" w:hAnsi="Times New Roman"/>
          <w:sz w:val="18"/>
          <w:szCs w:val="18"/>
          <w:color w:val="4A7EBB"/>
        </w:rPr>
      </w:pPr>
      <w:r>
        <w:rPr>
          <w:rFonts w:ascii="Arial" w:cs="Arial" w:eastAsia="Arial" w:hAnsi="Arial"/>
          <w:sz w:val="18"/>
          <w:szCs w:val="18"/>
          <w:color w:val="auto"/>
        </w:rPr>
        <w:t>Our portfolio of licensed brands, including Halston, Converse, Champion and Nautica, collectively contributed to our top line sales with strong growth opportunity ahead.</w:t>
      </w:r>
    </w:p>
    <w:p>
      <w:pPr>
        <w:ind w:left="680" w:right="20" w:hanging="321"/>
        <w:spacing w:after="0" w:line="234" w:lineRule="auto"/>
        <w:tabs>
          <w:tab w:leader="none" w:pos="680" w:val="left"/>
        </w:tabs>
        <w:numPr>
          <w:ilvl w:val="0"/>
          <w:numId w:val="59"/>
        </w:numPr>
        <w:rPr>
          <w:rFonts w:ascii="Times New Roman" w:cs="Times New Roman" w:eastAsia="Times New Roman" w:hAnsi="Times New Roman"/>
          <w:sz w:val="18"/>
          <w:szCs w:val="18"/>
          <w:color w:val="4A7EBB"/>
        </w:rPr>
      </w:pPr>
      <w:r>
        <w:rPr>
          <w:rFonts w:ascii="Arial" w:cs="Arial" w:eastAsia="Arial" w:hAnsi="Arial"/>
          <w:sz w:val="18"/>
          <w:szCs w:val="18"/>
          <w:color w:val="auto"/>
        </w:rPr>
        <w:t>Our retail segment turnaround in North America is working and we are on track to return to profitability in fiscal 2027, as we further cut our operating losses by more than half this year.</w:t>
      </w:r>
    </w:p>
    <w:p>
      <w:pPr>
        <w:jc w:val="both"/>
        <w:ind w:left="680" w:hanging="321"/>
        <w:spacing w:after="0" w:line="234" w:lineRule="auto"/>
        <w:tabs>
          <w:tab w:leader="none" w:pos="680" w:val="left"/>
        </w:tabs>
        <w:numPr>
          <w:ilvl w:val="0"/>
          <w:numId w:val="59"/>
        </w:numPr>
        <w:rPr>
          <w:rFonts w:ascii="Times New Roman" w:cs="Times New Roman" w:eastAsia="Times New Roman" w:hAnsi="Times New Roman"/>
          <w:sz w:val="18"/>
          <w:szCs w:val="18"/>
          <w:color w:val="4A7EBB"/>
        </w:rPr>
      </w:pPr>
      <w:r>
        <w:rPr>
          <w:rFonts w:ascii="Arial" w:cs="Arial" w:eastAsia="Arial" w:hAnsi="Arial"/>
          <w:sz w:val="18"/>
          <w:szCs w:val="18"/>
          <w:color w:val="auto"/>
        </w:rPr>
        <w:t>We remain actively focused on driving cost savings and efficiencies across our business, including optimizing our supply chain. As we look forward to fiscal 2027 and the expected volume loss tied to the PVH license givebacks, we are implementing further cost reduction to drive profit improvements over time.</w:t>
      </w:r>
    </w:p>
    <w:p>
      <w:pPr>
        <w:spacing w:after="0" w:line="1" w:lineRule="exact"/>
        <w:rPr>
          <w:rFonts w:ascii="Times New Roman" w:cs="Times New Roman" w:eastAsia="Times New Roman" w:hAnsi="Times New Roman"/>
          <w:sz w:val="18"/>
          <w:szCs w:val="18"/>
          <w:color w:val="4A7EBB"/>
        </w:rPr>
      </w:pPr>
    </w:p>
    <w:p>
      <w:pPr>
        <w:ind w:left="680" w:right="20" w:hanging="321"/>
        <w:spacing w:after="0" w:line="249" w:lineRule="auto"/>
        <w:tabs>
          <w:tab w:leader="none" w:pos="680" w:val="left"/>
        </w:tabs>
        <w:numPr>
          <w:ilvl w:val="0"/>
          <w:numId w:val="59"/>
        </w:numPr>
        <w:rPr>
          <w:rFonts w:ascii="Times New Roman" w:cs="Times New Roman" w:eastAsia="Times New Roman" w:hAnsi="Times New Roman"/>
          <w:sz w:val="18"/>
          <w:szCs w:val="18"/>
          <w:color w:val="4A7EBB"/>
        </w:rPr>
      </w:pPr>
      <w:r>
        <w:rPr>
          <w:rFonts w:ascii="Arial" w:cs="Arial" w:eastAsia="Arial" w:hAnsi="Arial"/>
          <w:sz w:val="18"/>
          <w:szCs w:val="18"/>
          <w:color w:val="auto"/>
        </w:rPr>
        <w:t>Calvin Klein and Tommy Hilfiger businesses now collectively represent approximately 28% (approximately $827 million) of our total sales in fiscal 2026, down from approximately 48% (approximately $1.5 billion) three years ago.</w:t>
      </w:r>
    </w:p>
    <w:p>
      <w:pPr>
        <w:spacing w:after="0" w:line="159"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 xml:space="preserve">Our Board believes the relative performance of our Common Stock, as measured by Total Stockholder Return (TSR), is an important performance indicator. </w:t>
      </w:r>
      <w:r>
        <w:rPr>
          <w:rFonts w:ascii="Arial" w:cs="Arial" w:eastAsia="Arial" w:hAnsi="Arial"/>
          <w:sz w:val="18"/>
          <w:szCs w:val="18"/>
          <w:b w:val="1"/>
          <w:bCs w:val="1"/>
          <w:color w:val="auto"/>
        </w:rPr>
        <w:t>Our TSR strongly outperformed the S&amp;P 1500 Apparel, Accessories &amp; Luxury Goods</w:t>
      </w:r>
    </w:p>
    <w:p>
      <w:pPr>
        <w:jc w:val="both"/>
        <w:spacing w:after="0"/>
        <w:rPr>
          <w:sz w:val="20"/>
          <w:szCs w:val="20"/>
          <w:color w:val="auto"/>
        </w:rPr>
      </w:pPr>
      <w:r>
        <w:rPr>
          <w:rFonts w:ascii="Arial" w:cs="Arial" w:eastAsia="Arial" w:hAnsi="Arial"/>
          <w:sz w:val="18"/>
          <w:szCs w:val="18"/>
          <w:b w:val="1"/>
          <w:bCs w:val="1"/>
          <w:color w:val="auto"/>
        </w:rPr>
        <w:t xml:space="preserve">Industry Index over the one, three and five-year periods ended on January 31, 2026. In addition, our TSR performance has been competitive with the performance of our compensation peer group over these periods. </w:t>
      </w:r>
      <w:r>
        <w:rPr>
          <w:rFonts w:ascii="Arial" w:cs="Arial" w:eastAsia="Arial" w:hAnsi="Arial"/>
          <w:sz w:val="18"/>
          <w:szCs w:val="18"/>
          <w:color w:val="auto"/>
        </w:rPr>
        <w:t>Importantly, we instituted a quarterly cash dividend in fiscal year 2026 and paid $0.10 per share in each of the third and fourth quarters of fiscal 2026.</w:t>
      </w:r>
    </w:p>
    <w:p>
      <w:pPr>
        <w:spacing w:after="0" w:line="167"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believe that our stockholders attribute this strong performance to the successful measures we have taken following the announcement of the planned long-term termination of the Calvin Klein and Tommy Hilfiger licenses, including by driving our owned brands across categories, continued development and expansion of our DKNY business and repositioning and expansion of our Donna Karan business, expanding our international business, increasing digital channel business opportunities and entering into important new license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278130</wp:posOffset>
            </wp:positionV>
            <wp:extent cx="629221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7560"/>
        <w:spacing w:after="0"/>
        <w:rPr>
          <w:sz w:val="20"/>
          <w:szCs w:val="20"/>
          <w:color w:val="auto"/>
        </w:rPr>
      </w:pPr>
      <w:r>
        <w:rPr>
          <w:rFonts w:ascii="Arial" w:cs="Arial" w:eastAsia="Arial" w:hAnsi="Arial"/>
          <w:sz w:val="16"/>
          <w:szCs w:val="16"/>
          <w:color w:val="auto"/>
        </w:rPr>
        <w:t xml:space="preserve">2026 PROXY STATEMENT </w:t>
      </w:r>
      <w:r>
        <w:rPr>
          <w:rFonts w:ascii="Arial" w:cs="Arial" w:eastAsia="Arial" w:hAnsi="Arial"/>
          <w:sz w:val="19"/>
          <w:szCs w:val="19"/>
          <w:color w:val="808080"/>
        </w:rPr>
        <w:t>/</w:t>
      </w:r>
      <w:r>
        <w:rPr>
          <w:rFonts w:ascii="Arial" w:cs="Arial" w:eastAsia="Arial" w:hAnsi="Arial"/>
          <w:sz w:val="16"/>
          <w:szCs w:val="16"/>
          <w:color w:val="auto"/>
        </w:rPr>
        <w:t xml:space="preserve"> </w:t>
      </w:r>
      <w:r>
        <w:rPr>
          <w:rFonts w:ascii="Arial" w:cs="Arial" w:eastAsia="Arial" w:hAnsi="Arial"/>
          <w:sz w:val="19"/>
          <w:szCs w:val="19"/>
          <w:b w:val="1"/>
          <w:bCs w:val="1"/>
          <w:color w:val="4A7EBB"/>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365125</wp:posOffset>
            </wp:positionV>
            <wp:extent cx="6292215" cy="260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17780</wp:posOffset>
            </wp:positionV>
            <wp:extent cx="6249035" cy="27692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249035" cy="2769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ended fiscal 2026 in a strong financial position with over $400 million in cash on our balance sheet, as well as healthy inventory levels, down approximately 4% to last year. We also instituted a cash dividend and continued to repurchase our stock, returning over $50 million to stockholders as well as investing in strategic initiatives to fuel our growth. Our healthy balance sheet and solid credit profile provides us with ample flexibility to make future investments to drive expansion.</w:t>
      </w:r>
    </w:p>
    <w:p>
      <w:pPr>
        <w:spacing w:after="0" w:line="13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 review of our strong financial performance in fiscal 2026, as well as a description of Recent Developments, Strategic Initiatives and Our Strengths is provided above in our Proxy Summary.</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SUMMARY OF PAY AND PERFORMANCE ALIGNMENT FOR FISCAL 2026 PERFORMANCE</w:t>
      </w:r>
    </w:p>
    <w:p>
      <w:pPr>
        <w:spacing w:after="0" w:line="243" w:lineRule="exact"/>
        <w:rPr>
          <w:sz w:val="20"/>
          <w:szCs w:val="20"/>
          <w:color w:val="auto"/>
        </w:rPr>
      </w:pPr>
    </w:p>
    <w:p>
      <w:pPr>
        <w:jc w:val="both"/>
        <w:ind w:left="680" w:right="20" w:hanging="321"/>
        <w:spacing w:after="0" w:line="252" w:lineRule="auto"/>
        <w:tabs>
          <w:tab w:leader="none" w:pos="680" w:val="left"/>
        </w:tabs>
        <w:numPr>
          <w:ilvl w:val="0"/>
          <w:numId w:val="60"/>
        </w:numPr>
        <w:rPr>
          <w:rFonts w:ascii="Times New Roman" w:cs="Times New Roman" w:eastAsia="Times New Roman" w:hAnsi="Times New Roman"/>
          <w:sz w:val="18"/>
          <w:szCs w:val="18"/>
          <w:color w:val="4A7EBB"/>
        </w:rPr>
      </w:pPr>
      <w:r>
        <w:rPr>
          <w:rFonts w:ascii="Arial" w:cs="Arial" w:eastAsia="Arial" w:hAnsi="Arial"/>
          <w:sz w:val="18"/>
          <w:szCs w:val="18"/>
          <w:color w:val="auto"/>
        </w:rPr>
        <w:t>Our TSR outperformed the S&amp;P 1500 Apparel, Accessories &amp; Luxury Goods industry index over the one, three and five-year periods ended on January 31, 2026. In addition, our TSR performance has been competitive with the performance of our compensation peer group over these periods.</w:t>
      </w:r>
    </w:p>
    <w:p>
      <w:pPr>
        <w:spacing w:after="0" w:line="157" w:lineRule="exact"/>
        <w:rPr>
          <w:rFonts w:ascii="Times New Roman" w:cs="Times New Roman" w:eastAsia="Times New Roman" w:hAnsi="Times New Roman"/>
          <w:sz w:val="18"/>
          <w:szCs w:val="18"/>
          <w:color w:val="4A7EBB"/>
        </w:rPr>
      </w:pPr>
    </w:p>
    <w:p>
      <w:pPr>
        <w:ind w:left="680" w:right="20" w:hanging="321"/>
        <w:spacing w:after="0" w:line="270" w:lineRule="auto"/>
        <w:tabs>
          <w:tab w:leader="none" w:pos="680" w:val="left"/>
        </w:tabs>
        <w:numPr>
          <w:ilvl w:val="0"/>
          <w:numId w:val="60"/>
        </w:numPr>
        <w:rPr>
          <w:rFonts w:ascii="Times New Roman" w:cs="Times New Roman" w:eastAsia="Times New Roman" w:hAnsi="Times New Roman"/>
          <w:sz w:val="18"/>
          <w:szCs w:val="18"/>
          <w:color w:val="4A7EBB"/>
        </w:rPr>
      </w:pPr>
      <w:r>
        <w:rPr>
          <w:rFonts w:ascii="Arial" w:cs="Arial" w:eastAsia="Arial" w:hAnsi="Arial"/>
          <w:sz w:val="18"/>
          <w:szCs w:val="18"/>
          <w:color w:val="auto"/>
        </w:rPr>
        <w:t>Our NEOs participate in an annual cash incentive program and a long-term incentive program that aligns with market norms with awards that are majority performance-based.</w:t>
      </w:r>
    </w:p>
    <w:p>
      <w:pPr>
        <w:spacing w:after="0" w:line="140" w:lineRule="exact"/>
        <w:rPr>
          <w:rFonts w:ascii="Times New Roman" w:cs="Times New Roman" w:eastAsia="Times New Roman" w:hAnsi="Times New Roman"/>
          <w:sz w:val="18"/>
          <w:szCs w:val="18"/>
          <w:color w:val="4A7EBB"/>
        </w:rPr>
      </w:pPr>
    </w:p>
    <w:p>
      <w:pPr>
        <w:jc w:val="both"/>
        <w:ind w:left="680" w:hanging="321"/>
        <w:spacing w:after="0" w:line="243" w:lineRule="auto"/>
        <w:tabs>
          <w:tab w:leader="none" w:pos="680" w:val="left"/>
        </w:tabs>
        <w:numPr>
          <w:ilvl w:val="0"/>
          <w:numId w:val="60"/>
        </w:numPr>
        <w:rPr>
          <w:rFonts w:ascii="Times New Roman" w:cs="Times New Roman" w:eastAsia="Times New Roman" w:hAnsi="Times New Roman"/>
          <w:sz w:val="18"/>
          <w:szCs w:val="18"/>
          <w:color w:val="4A7EBB"/>
        </w:rPr>
      </w:pPr>
      <w:r>
        <w:rPr>
          <w:rFonts w:ascii="Arial" w:cs="Arial" w:eastAsia="Arial" w:hAnsi="Arial"/>
          <w:sz w:val="18"/>
          <w:szCs w:val="18"/>
          <w:color w:val="auto"/>
        </w:rPr>
        <w:t>Our NEOs earn annual cash incentives based on adjusted pre-tax income. The adjusted pre-tax income for fiscal 2026 was $263 million. This exceeded the target of $252 million by 4%. The modifier for the change in basic common stock outstanding was 104% and the modifier for adjusted EPS was 95%, resulting in an overall payout of 120.8% of the target annual cash incentive for each of these executives. See “Annual Cash Incentives For Our Named Executive Officers” for more details on the annual cash incentives.</w:t>
      </w:r>
    </w:p>
    <w:p>
      <w:pPr>
        <w:spacing w:after="0" w:line="166" w:lineRule="exact"/>
        <w:rPr>
          <w:rFonts w:ascii="Times New Roman" w:cs="Times New Roman" w:eastAsia="Times New Roman" w:hAnsi="Times New Roman"/>
          <w:sz w:val="18"/>
          <w:szCs w:val="18"/>
          <w:color w:val="4A7EBB"/>
        </w:rPr>
      </w:pPr>
    </w:p>
    <w:p>
      <w:pPr>
        <w:jc w:val="both"/>
        <w:ind w:left="680" w:hanging="321"/>
        <w:spacing w:after="0"/>
        <w:tabs>
          <w:tab w:leader="none" w:pos="680" w:val="left"/>
        </w:tabs>
        <w:numPr>
          <w:ilvl w:val="0"/>
          <w:numId w:val="60"/>
        </w:numPr>
        <w:rPr>
          <w:rFonts w:ascii="Times New Roman" w:cs="Times New Roman" w:eastAsia="Times New Roman" w:hAnsi="Times New Roman"/>
          <w:sz w:val="18"/>
          <w:szCs w:val="18"/>
          <w:color w:val="4A7EBB"/>
        </w:rPr>
      </w:pPr>
      <w:r>
        <w:rPr>
          <w:rFonts w:ascii="Arial" w:cs="Arial" w:eastAsia="Arial" w:hAnsi="Arial"/>
          <w:sz w:val="18"/>
          <w:szCs w:val="18"/>
          <w:color w:val="auto"/>
        </w:rPr>
        <w:t>Our NEOs received performance share unit (“PSU”) awards in fiscal 2024 that were contingent on achieving targets for Cumulative Adjusted Earnings Before Interest and Taxes (75% weighting) and Return on Invested Capital (25% weighting) established for the 3-year performance period of fiscal 2024 through 2026. The Compensation Committee set rigorous targets of $573 million of Cumulative Adjusted Earnings Before Interest and Taxes and 7.1% for Return on Invested Capital for these awards. The Compensation Committee determined that these objectives were exceeded based on the pre-established financial targets, resulting in a maximum payout of 150% of the PSUs awarded.</w:t>
      </w:r>
    </w:p>
    <w:p>
      <w:pPr>
        <w:spacing w:after="0" w:line="170" w:lineRule="exact"/>
        <w:rPr>
          <w:rFonts w:ascii="Times New Roman" w:cs="Times New Roman" w:eastAsia="Times New Roman" w:hAnsi="Times New Roman"/>
          <w:sz w:val="18"/>
          <w:szCs w:val="18"/>
          <w:color w:val="4A7EBB"/>
        </w:rPr>
      </w:pPr>
    </w:p>
    <w:p>
      <w:pPr>
        <w:ind w:left="680" w:right="20" w:hanging="321"/>
        <w:spacing w:after="0" w:line="270" w:lineRule="auto"/>
        <w:tabs>
          <w:tab w:leader="none" w:pos="680" w:val="left"/>
        </w:tabs>
        <w:numPr>
          <w:ilvl w:val="0"/>
          <w:numId w:val="60"/>
        </w:numPr>
        <w:rPr>
          <w:rFonts w:ascii="Times New Roman" w:cs="Times New Roman" w:eastAsia="Times New Roman" w:hAnsi="Times New Roman"/>
          <w:sz w:val="18"/>
          <w:szCs w:val="18"/>
          <w:color w:val="4A7EBB"/>
        </w:rPr>
      </w:pPr>
      <w:r>
        <w:rPr>
          <w:rFonts w:ascii="Arial" w:cs="Arial" w:eastAsia="Arial" w:hAnsi="Arial"/>
          <w:sz w:val="18"/>
          <w:szCs w:val="18"/>
          <w:color w:val="auto"/>
        </w:rPr>
        <w:t>In fiscal 2026, our Compensation Committee approved retention grants to select members of senior management, including certain named executive officers, intended to retain and reward the next generation of senior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264160</wp:posOffset>
            </wp:positionV>
            <wp:extent cx="629221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288925</wp:posOffset>
            </wp:positionH>
            <wp:positionV relativeFrom="paragraph">
              <wp:posOffset>324485</wp:posOffset>
            </wp:positionV>
            <wp:extent cx="265430" cy="1460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65430" cy="146050"/>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4A7EBB"/>
        </w:rPr>
        <w:t xml:space="preserve">28 </w:t>
      </w:r>
      <w:r>
        <w:rPr>
          <w:rFonts w:ascii="Arial" w:cs="Arial" w:eastAsia="Arial" w:hAnsi="Arial"/>
          <w:sz w:val="20"/>
          <w:szCs w:val="20"/>
          <w:color w:val="80808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60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17780</wp:posOffset>
            </wp:positionV>
            <wp:extent cx="629221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19" w:lineRule="exact"/>
        <w:rPr>
          <w:sz w:val="20"/>
          <w:szCs w:val="20"/>
          <w:color w:val="auto"/>
        </w:rPr>
      </w:pPr>
    </w:p>
    <w:p>
      <w:pPr>
        <w:jc w:val="both"/>
        <w:ind w:left="680"/>
        <w:spacing w:after="0" w:line="242" w:lineRule="auto"/>
        <w:rPr>
          <w:sz w:val="20"/>
          <w:szCs w:val="20"/>
          <w:color w:val="auto"/>
        </w:rPr>
      </w:pPr>
      <w:r>
        <w:rPr>
          <w:rFonts w:ascii="Arial" w:cs="Arial" w:eastAsia="Arial" w:hAnsi="Arial"/>
          <w:sz w:val="18"/>
          <w:szCs w:val="18"/>
          <w:color w:val="auto"/>
        </w:rPr>
        <w:t>management. Jeffrey Goldfarb and Dana Perlman received retention grants that will cliff vest 100% on the fifth anniversary of the date of grants. We believe these grants were necessary to retain the team since they will be critical to the future of the Company as it navigates the challenging environment ahead, including replacing revenue lost by the PVH licenses by growing our owned brands and other licensed brands. Morris Goldfarb, Sammy Aaron and Neal Nackman did not receive retention grants since these grants were entirely focused on retaining the next generation of senior leadership. See “Retention Grants” for more details.</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STOCKHOLDER OUTREACH INITIATIVE</w:t>
      </w:r>
    </w:p>
    <w:p>
      <w:pPr>
        <w:spacing w:after="0" w:line="20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G-III and its Board of Directors greatly value the opinions of our stockholders and have spent considerable time soliciting their views on a variety of topics. During prior years we have invited stockholders owning approximately 90% our Common Stock to engage. Stockholders owning approximately 60% to 70% of our Common Stock have chosen to participate in engagement. For calendar year 2026, stockholders owning approximately 90% of our Common Stock were invited to engage with us and the holders of approximately 60% of our Common Stock participated in discussions with us.</w:t>
      </w:r>
    </w:p>
    <w:p>
      <w:pPr>
        <w:spacing w:after="0" w:line="16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stockholder outreach has been led by our Lead Independent Director, who is also Chairman of our Compensation Committee. A second independent Director, our Chief Financial Officer, our Senior Vice President, Investor Relations and the Compensation Committee’s independent compensation consultant also participated in meetings with investors in 2026.</w:t>
      </w:r>
    </w:p>
    <w:p>
      <w:pPr>
        <w:spacing w:after="0" w:line="15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these meetings, we discussed (i) our executive compensation program, (ii) retention grants made during fiscal 2026 to select senior executives identified as the next generation of senior leaders, (iii) our CSR efforts over the past year and (iv) Board refreshment.</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“SAY ON PAY” RESULTS LAST YEAR AND OUR RESPONSE</w:t>
      </w:r>
    </w:p>
    <w:p>
      <w:pPr>
        <w:spacing w:after="0" w:line="10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At last year’s Annual Meeting of Stockholders, 89% of our stockholders supported our Say on Pay proposal. Our stockholders viewed our executive compensation program for NEOs as performance-based and aligned with contemporary market practice. Given the strong stockholder support that we received last year, we made no changes to the design of our core annual and long-term incentive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730885</wp:posOffset>
            </wp:positionV>
            <wp:extent cx="629221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7560"/>
        <w:spacing w:after="0"/>
        <w:rPr>
          <w:sz w:val="20"/>
          <w:szCs w:val="20"/>
          <w:color w:val="auto"/>
        </w:rPr>
      </w:pPr>
      <w:r>
        <w:rPr>
          <w:rFonts w:ascii="Arial" w:cs="Arial" w:eastAsia="Arial" w:hAnsi="Arial"/>
          <w:sz w:val="16"/>
          <w:szCs w:val="16"/>
          <w:color w:val="auto"/>
        </w:rPr>
        <w:t xml:space="preserve">2026 PROXY STATEMENT </w:t>
      </w:r>
      <w:r>
        <w:rPr>
          <w:rFonts w:ascii="Arial" w:cs="Arial" w:eastAsia="Arial" w:hAnsi="Arial"/>
          <w:sz w:val="19"/>
          <w:szCs w:val="19"/>
          <w:color w:val="808080"/>
        </w:rPr>
        <w:t>/</w:t>
      </w:r>
      <w:r>
        <w:rPr>
          <w:rFonts w:ascii="Arial" w:cs="Arial" w:eastAsia="Arial" w:hAnsi="Arial"/>
          <w:sz w:val="16"/>
          <w:szCs w:val="16"/>
          <w:color w:val="auto"/>
        </w:rPr>
        <w:t xml:space="preserve"> </w:t>
      </w:r>
      <w:r>
        <w:rPr>
          <w:rFonts w:ascii="Arial" w:cs="Arial" w:eastAsia="Arial" w:hAnsi="Arial"/>
          <w:sz w:val="19"/>
          <w:szCs w:val="19"/>
          <w:b w:val="1"/>
          <w:bCs w:val="1"/>
          <w:color w:val="4A7EBB"/>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365125</wp:posOffset>
            </wp:positionV>
            <wp:extent cx="6292215" cy="260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17780</wp:posOffset>
            </wp:positionV>
            <wp:extent cx="624903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249035"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PAY MIX IS HEAVILY WEIGHTED TOWARDS INCENTIVE-BASED COMPENSATION</w:t>
      </w:r>
    </w:p>
    <w:p>
      <w:pPr>
        <w:spacing w:after="0" w:line="189"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In fiscal 2026, approximately 89% of the compensation of our Chairman and CEO and our Vice Chairman and President and 79% of the average compensation of our other NEOs consisted of at-risk annual and long-term incentive compensation.</w:t>
      </w:r>
    </w:p>
    <w:p>
      <w:pPr>
        <w:spacing w:after="0" w:line="140" w:lineRule="exact"/>
        <w:rPr>
          <w:sz w:val="20"/>
          <w:szCs w:val="20"/>
          <w:color w:val="auto"/>
        </w:rPr>
      </w:pPr>
    </w:p>
    <w:tbl>
      <w:tblPr>
        <w:tblLayout w:type="fixed"/>
        <w:tblInd w:w="400" w:type="dxa"/>
        <w:tblCellMar>
          <w:top w:w="0" w:type="dxa"/>
          <w:left w:w="0" w:type="dxa"/>
          <w:bottom w:w="0" w:type="dxa"/>
          <w:right w:w="0" w:type="dxa"/>
        </w:tblCellMar>
      </w:tblPr>
      <w:tr>
        <w:trPr>
          <w:trHeight w:val="207"/>
        </w:trPr>
        <w:tc>
          <w:tcPr>
            <w:tcW w:w="4780" w:type="dxa"/>
            <w:vAlign w:val="bottom"/>
          </w:tcPr>
          <w:p>
            <w:pPr>
              <w:jc w:val="center"/>
              <w:ind w:right="1010"/>
              <w:spacing w:after="0"/>
              <w:rPr>
                <w:sz w:val="20"/>
                <w:szCs w:val="20"/>
                <w:color w:val="auto"/>
              </w:rPr>
            </w:pPr>
            <w:r>
              <w:rPr>
                <w:rFonts w:ascii="Arial" w:cs="Arial" w:eastAsia="Arial" w:hAnsi="Arial"/>
                <w:sz w:val="18"/>
                <w:szCs w:val="18"/>
                <w:b w:val="1"/>
                <w:bCs w:val="1"/>
                <w:color w:val="4A7EBB"/>
                <w:w w:val="99"/>
              </w:rPr>
              <w:t>Chairman and CEO and Vice Chairman and</w:t>
            </w:r>
          </w:p>
        </w:tc>
        <w:tc>
          <w:tcPr>
            <w:tcW w:w="3780" w:type="dxa"/>
            <w:vAlign w:val="bottom"/>
            <w:vMerge w:val="restart"/>
          </w:tcPr>
          <w:p>
            <w:pPr>
              <w:ind w:left="1120"/>
              <w:spacing w:after="0"/>
              <w:rPr>
                <w:sz w:val="20"/>
                <w:szCs w:val="20"/>
                <w:color w:val="auto"/>
              </w:rPr>
            </w:pPr>
            <w:r>
              <w:rPr>
                <w:rFonts w:ascii="Arial" w:cs="Arial" w:eastAsia="Arial" w:hAnsi="Arial"/>
                <w:sz w:val="18"/>
                <w:szCs w:val="18"/>
                <w:b w:val="1"/>
                <w:bCs w:val="1"/>
                <w:color w:val="4A7EBB"/>
                <w:w w:val="98"/>
              </w:rPr>
              <w:t>Other NEOs Compensation Mix</w:t>
            </w:r>
          </w:p>
        </w:tc>
        <w:tc>
          <w:tcPr>
            <w:tcW w:w="0" w:type="dxa"/>
            <w:vAlign w:val="bottom"/>
          </w:tcPr>
          <w:p>
            <w:pPr>
              <w:spacing w:after="0"/>
              <w:rPr>
                <w:sz w:val="1"/>
                <w:szCs w:val="1"/>
                <w:color w:val="auto"/>
              </w:rPr>
            </w:pPr>
          </w:p>
        </w:tc>
      </w:tr>
      <w:tr>
        <w:trPr>
          <w:trHeight w:val="148"/>
        </w:trPr>
        <w:tc>
          <w:tcPr>
            <w:tcW w:w="4780" w:type="dxa"/>
            <w:vAlign w:val="bottom"/>
            <w:vMerge w:val="restart"/>
          </w:tcPr>
          <w:p>
            <w:pPr>
              <w:jc w:val="center"/>
              <w:ind w:right="1010"/>
              <w:spacing w:after="0"/>
              <w:rPr>
                <w:sz w:val="20"/>
                <w:szCs w:val="20"/>
                <w:color w:val="auto"/>
              </w:rPr>
            </w:pPr>
            <w:r>
              <w:rPr>
                <w:rFonts w:ascii="Arial" w:cs="Arial" w:eastAsia="Arial" w:hAnsi="Arial"/>
                <w:sz w:val="18"/>
                <w:szCs w:val="18"/>
                <w:b w:val="1"/>
                <w:bCs w:val="1"/>
                <w:color w:val="4A7EBB"/>
                <w:w w:val="98"/>
              </w:rPr>
              <w:t xml:space="preserve">President Compensation Mix </w:t>
            </w:r>
            <w:r>
              <w:rPr>
                <w:rFonts w:ascii="Arial" w:cs="Arial" w:eastAsia="Arial" w:hAnsi="Arial"/>
                <w:sz w:val="26"/>
                <w:szCs w:val="26"/>
                <w:b w:val="1"/>
                <w:bCs w:val="1"/>
                <w:color w:val="4A7EBB"/>
                <w:w w:val="98"/>
                <w:vertAlign w:val="superscript"/>
              </w:rPr>
              <w:t>(1)</w:t>
            </w:r>
          </w:p>
        </w:tc>
        <w:tc>
          <w:tcPr>
            <w:tcW w:w="3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1"/>
        </w:trPr>
        <w:tc>
          <w:tcPr>
            <w:tcW w:w="4780" w:type="dxa"/>
            <w:vAlign w:val="bottom"/>
            <w:vMerge w:val="continue"/>
          </w:tcPr>
          <w:p>
            <w:pPr>
              <w:spacing w:after="0"/>
              <w:rPr>
                <w:sz w:val="19"/>
                <w:szCs w:val="19"/>
                <w:color w:val="auto"/>
              </w:rPr>
            </w:pPr>
          </w:p>
        </w:tc>
        <w:tc>
          <w:tcPr>
            <w:tcW w:w="37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wp:posOffset>
            </wp:positionH>
            <wp:positionV relativeFrom="paragraph">
              <wp:posOffset>40640</wp:posOffset>
            </wp:positionV>
            <wp:extent cx="5983605" cy="288036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983605" cy="288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COMPENSATION PROGRAM REFLECTS BEST PRACTICES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Our compensation program incorporates excellent compensation governance practices that benefit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3032125</wp:posOffset>
            </wp:positionH>
            <wp:positionV relativeFrom="paragraph">
              <wp:posOffset>154940</wp:posOffset>
            </wp:positionV>
            <wp:extent cx="8255" cy="234886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255" cy="2348865"/>
                    </a:xfrm>
                    <a:prstGeom prst="rect">
                      <a:avLst/>
                    </a:prstGeom>
                    <a:noFill/>
                  </pic:spPr>
                </pic:pic>
              </a:graphicData>
            </a:graphic>
          </wp:anchor>
        </w:drawing>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20" w:type="dxa"/>
            <w:vAlign w:val="bottom"/>
            <w:tcBorders>
              <w:top w:val="single" w:sz="8" w:color="4A7EBB"/>
              <w:bottom w:val="single" w:sz="8" w:color="4A7EBB"/>
            </w:tcBorders>
            <w:shd w:val="clear" w:color="auto" w:fill="DBE5F1"/>
          </w:tcPr>
          <w:p>
            <w:pPr>
              <w:ind w:left="2140"/>
              <w:spacing w:after="0"/>
              <w:rPr>
                <w:sz w:val="20"/>
                <w:szCs w:val="20"/>
                <w:color w:val="auto"/>
              </w:rPr>
            </w:pPr>
            <w:r>
              <w:rPr>
                <w:rFonts w:ascii="Arial" w:cs="Arial" w:eastAsia="Arial" w:hAnsi="Arial"/>
                <w:sz w:val="18"/>
                <w:szCs w:val="18"/>
                <w:b w:val="1"/>
                <w:bCs w:val="1"/>
                <w:color w:val="auto"/>
              </w:rPr>
              <w:t>What We Do</w:t>
            </w:r>
          </w:p>
        </w:tc>
        <w:tc>
          <w:tcPr>
            <w:tcW w:w="4900" w:type="dxa"/>
            <w:vAlign w:val="bottom"/>
            <w:tcBorders>
              <w:top w:val="single" w:sz="8" w:color="4A7EBB"/>
              <w:bottom w:val="single" w:sz="8" w:color="4A7EBB"/>
            </w:tcBorders>
            <w:shd w:val="clear" w:color="auto" w:fill="DBE5F1"/>
          </w:tcPr>
          <w:p>
            <w:pPr>
              <w:ind w:left="1800"/>
              <w:spacing w:after="0"/>
              <w:rPr>
                <w:sz w:val="20"/>
                <w:szCs w:val="20"/>
                <w:color w:val="auto"/>
              </w:rPr>
            </w:pPr>
            <w:r>
              <w:rPr>
                <w:rFonts w:ascii="Arial" w:cs="Arial" w:eastAsia="Arial" w:hAnsi="Arial"/>
                <w:sz w:val="18"/>
                <w:szCs w:val="18"/>
                <w:b w:val="1"/>
                <w:bCs w:val="1"/>
                <w:color w:val="auto"/>
              </w:rPr>
              <w:t>What We Don’t Do</w:t>
            </w:r>
          </w:p>
        </w:tc>
        <w:tc>
          <w:tcPr>
            <w:tcW w:w="0" w:type="dxa"/>
            <w:vAlign w:val="bottom"/>
          </w:tcPr>
          <w:p>
            <w:pPr>
              <w:spacing w:after="0"/>
              <w:rPr>
                <w:sz w:val="1"/>
                <w:szCs w:val="1"/>
                <w:color w:val="auto"/>
              </w:rPr>
            </w:pPr>
          </w:p>
        </w:tc>
      </w:tr>
      <w:tr>
        <w:trPr>
          <w:trHeight w:val="195"/>
        </w:trPr>
        <w:tc>
          <w:tcPr>
            <w:tcW w:w="5020" w:type="dxa"/>
            <w:vAlign w:val="bottom"/>
          </w:tcPr>
          <w:p>
            <w:pPr>
              <w:ind w:left="660"/>
              <w:spacing w:after="0"/>
              <w:rPr>
                <w:sz w:val="20"/>
                <w:szCs w:val="20"/>
                <w:color w:val="auto"/>
              </w:rPr>
            </w:pPr>
            <w:r>
              <w:rPr>
                <w:rFonts w:ascii="Arial" w:cs="Arial" w:eastAsia="Arial" w:hAnsi="Arial"/>
                <w:sz w:val="16"/>
                <w:szCs w:val="16"/>
                <w:color w:val="auto"/>
              </w:rPr>
              <w:t>We pay for performance and set rigorous goals for</w:t>
            </w:r>
          </w:p>
        </w:tc>
        <w:tc>
          <w:tcPr>
            <w:tcW w:w="4900" w:type="dxa"/>
            <w:vAlign w:val="bottom"/>
          </w:tcPr>
          <w:p>
            <w:pPr>
              <w:ind w:left="340"/>
              <w:spacing w:after="0"/>
              <w:rPr>
                <w:sz w:val="20"/>
                <w:szCs w:val="20"/>
                <w:color w:val="auto"/>
              </w:rPr>
            </w:pPr>
            <w:r>
              <w:rPr>
                <w:rFonts w:ascii="Arial" w:cs="Arial" w:eastAsia="Arial" w:hAnsi="Arial"/>
                <w:sz w:val="16"/>
                <w:szCs w:val="16"/>
                <w:color w:val="auto"/>
              </w:rPr>
              <w:t>No overlapping metrics for annual cash incentives and long-</w:t>
            </w:r>
          </w:p>
        </w:tc>
        <w:tc>
          <w:tcPr>
            <w:tcW w:w="0" w:type="dxa"/>
            <w:vAlign w:val="bottom"/>
          </w:tcPr>
          <w:p>
            <w:pPr>
              <w:spacing w:after="0"/>
              <w:rPr>
                <w:sz w:val="1"/>
                <w:szCs w:val="1"/>
                <w:color w:val="auto"/>
              </w:rPr>
            </w:pPr>
          </w:p>
        </w:tc>
      </w:tr>
      <w:tr>
        <w:trPr>
          <w:trHeight w:val="216"/>
        </w:trPr>
        <w:tc>
          <w:tcPr>
            <w:tcW w:w="5020" w:type="dxa"/>
            <w:vAlign w:val="bottom"/>
            <w:tcBorders>
              <w:bottom w:val="single" w:sz="8" w:color="4A7EBB"/>
            </w:tcBorders>
          </w:tcPr>
          <w:p>
            <w:pPr>
              <w:ind w:left="660"/>
              <w:spacing w:after="0"/>
              <w:rPr>
                <w:sz w:val="20"/>
                <w:szCs w:val="20"/>
                <w:color w:val="auto"/>
              </w:rPr>
            </w:pPr>
            <w:r>
              <w:rPr>
                <w:rFonts w:ascii="Arial" w:cs="Arial" w:eastAsia="Arial" w:hAnsi="Arial"/>
                <w:sz w:val="16"/>
                <w:szCs w:val="16"/>
                <w:color w:val="auto"/>
              </w:rPr>
              <w:t>short-term and long-term incentives</w:t>
            </w:r>
          </w:p>
        </w:tc>
        <w:tc>
          <w:tcPr>
            <w:tcW w:w="4900" w:type="dxa"/>
            <w:vAlign w:val="bottom"/>
            <w:tcBorders>
              <w:bottom w:val="single" w:sz="8" w:color="4A7EBB"/>
            </w:tcBorders>
          </w:tcPr>
          <w:p>
            <w:pPr>
              <w:ind w:left="340"/>
              <w:spacing w:after="0"/>
              <w:rPr>
                <w:sz w:val="20"/>
                <w:szCs w:val="20"/>
                <w:color w:val="auto"/>
              </w:rPr>
            </w:pPr>
            <w:r>
              <w:rPr>
                <w:rFonts w:ascii="Arial" w:cs="Arial" w:eastAsia="Arial" w:hAnsi="Arial"/>
                <w:sz w:val="16"/>
                <w:szCs w:val="16"/>
                <w:color w:val="auto"/>
              </w:rPr>
              <w:t>term incentive awards</w:t>
            </w:r>
          </w:p>
        </w:tc>
        <w:tc>
          <w:tcPr>
            <w:tcW w:w="0" w:type="dxa"/>
            <w:vAlign w:val="bottom"/>
          </w:tcPr>
          <w:p>
            <w:pPr>
              <w:spacing w:after="0"/>
              <w:rPr>
                <w:sz w:val="1"/>
                <w:szCs w:val="1"/>
                <w:color w:val="auto"/>
              </w:rPr>
            </w:pPr>
          </w:p>
        </w:tc>
      </w:tr>
      <w:tr>
        <w:trPr>
          <w:trHeight w:val="317"/>
        </w:trPr>
        <w:tc>
          <w:tcPr>
            <w:tcW w:w="5020" w:type="dxa"/>
            <w:vAlign w:val="bottom"/>
            <w:shd w:val="clear" w:color="auto" w:fill="F2F2F2"/>
          </w:tcPr>
          <w:p>
            <w:pPr>
              <w:ind w:left="660"/>
              <w:spacing w:after="0"/>
              <w:rPr>
                <w:sz w:val="20"/>
                <w:szCs w:val="20"/>
                <w:color w:val="auto"/>
              </w:rPr>
            </w:pPr>
            <w:r>
              <w:rPr>
                <w:rFonts w:ascii="Arial" w:cs="Arial" w:eastAsia="Arial" w:hAnsi="Arial"/>
                <w:sz w:val="16"/>
                <w:szCs w:val="16"/>
                <w:color w:val="auto"/>
              </w:rPr>
              <w:t>Conduct extensive stockholder outreach</w:t>
            </w:r>
          </w:p>
        </w:tc>
        <w:tc>
          <w:tcPr>
            <w:tcW w:w="4900" w:type="dxa"/>
            <w:vAlign w:val="bottom"/>
            <w:shd w:val="clear" w:color="auto" w:fill="F2F2F2"/>
          </w:tcPr>
          <w:p>
            <w:pPr>
              <w:ind w:left="340"/>
              <w:spacing w:after="0"/>
              <w:rPr>
                <w:sz w:val="20"/>
                <w:szCs w:val="20"/>
                <w:color w:val="auto"/>
              </w:rPr>
            </w:pPr>
            <w:r>
              <w:rPr>
                <w:rFonts w:ascii="Arial" w:cs="Arial" w:eastAsia="Arial" w:hAnsi="Arial"/>
                <w:sz w:val="16"/>
                <w:szCs w:val="16"/>
                <w:color w:val="auto"/>
              </w:rPr>
              <w:t>No practices that could encourage excessive risk-taking</w:t>
            </w:r>
          </w:p>
        </w:tc>
        <w:tc>
          <w:tcPr>
            <w:tcW w:w="0" w:type="dxa"/>
            <w:vAlign w:val="bottom"/>
          </w:tcPr>
          <w:p>
            <w:pPr>
              <w:spacing w:after="0"/>
              <w:rPr>
                <w:sz w:val="1"/>
                <w:szCs w:val="1"/>
                <w:color w:val="auto"/>
              </w:rPr>
            </w:pPr>
          </w:p>
        </w:tc>
      </w:tr>
      <w:tr>
        <w:trPr>
          <w:trHeight w:val="96"/>
        </w:trPr>
        <w:tc>
          <w:tcPr>
            <w:tcW w:w="5020" w:type="dxa"/>
            <w:vAlign w:val="bottom"/>
            <w:tcBorders>
              <w:bottom w:val="single" w:sz="8" w:color="4A7EBB"/>
            </w:tcBorders>
            <w:shd w:val="clear" w:color="auto" w:fill="F2F2F2"/>
          </w:tcPr>
          <w:p>
            <w:pPr>
              <w:spacing w:after="0"/>
              <w:rPr>
                <w:sz w:val="8"/>
                <w:szCs w:val="8"/>
                <w:color w:val="auto"/>
              </w:rPr>
            </w:pPr>
          </w:p>
        </w:tc>
        <w:tc>
          <w:tcPr>
            <w:tcW w:w="4900" w:type="dxa"/>
            <w:vAlign w:val="bottom"/>
            <w:tcBorders>
              <w:bottom w:val="single" w:sz="8" w:color="4A7EBB"/>
            </w:tcBorders>
            <w:shd w:val="clear" w:color="auto" w:fill="F2F2F2"/>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5020" w:type="dxa"/>
            <w:vAlign w:val="bottom"/>
          </w:tcPr>
          <w:p>
            <w:pPr>
              <w:ind w:left="660"/>
              <w:spacing w:after="0"/>
              <w:rPr>
                <w:sz w:val="20"/>
                <w:szCs w:val="20"/>
                <w:color w:val="auto"/>
              </w:rPr>
            </w:pPr>
            <w:r>
              <w:rPr>
                <w:rFonts w:ascii="Arial" w:cs="Arial" w:eastAsia="Arial" w:hAnsi="Arial"/>
                <w:sz w:val="16"/>
                <w:szCs w:val="16"/>
                <w:color w:val="auto"/>
              </w:rPr>
              <w:t>Double trigger equity acceleration upon a change in</w:t>
            </w:r>
          </w:p>
        </w:tc>
        <w:tc>
          <w:tcPr>
            <w:tcW w:w="4900" w:type="dxa"/>
            <w:vAlign w:val="bottom"/>
          </w:tcPr>
          <w:p>
            <w:pPr>
              <w:ind w:left="340"/>
              <w:spacing w:after="0"/>
              <w:rPr>
                <w:sz w:val="20"/>
                <w:szCs w:val="20"/>
                <w:color w:val="auto"/>
              </w:rPr>
            </w:pPr>
            <w:r>
              <w:rPr>
                <w:rFonts w:ascii="Arial" w:cs="Arial" w:eastAsia="Arial" w:hAnsi="Arial"/>
                <w:sz w:val="16"/>
                <w:szCs w:val="16"/>
                <w:color w:val="auto"/>
              </w:rPr>
              <w:t>No repricing of underwater stock options without stockholder</w:t>
            </w:r>
          </w:p>
        </w:tc>
        <w:tc>
          <w:tcPr>
            <w:tcW w:w="0" w:type="dxa"/>
            <w:vAlign w:val="bottom"/>
          </w:tcPr>
          <w:p>
            <w:pPr>
              <w:spacing w:after="0"/>
              <w:rPr>
                <w:sz w:val="1"/>
                <w:szCs w:val="1"/>
                <w:color w:val="auto"/>
              </w:rPr>
            </w:pPr>
          </w:p>
        </w:tc>
      </w:tr>
      <w:tr>
        <w:trPr>
          <w:trHeight w:val="216"/>
        </w:trPr>
        <w:tc>
          <w:tcPr>
            <w:tcW w:w="5020" w:type="dxa"/>
            <w:vAlign w:val="bottom"/>
            <w:tcBorders>
              <w:bottom w:val="single" w:sz="8" w:color="4A7EBB"/>
            </w:tcBorders>
          </w:tcPr>
          <w:p>
            <w:pPr>
              <w:ind w:left="660"/>
              <w:spacing w:after="0"/>
              <w:rPr>
                <w:sz w:val="20"/>
                <w:szCs w:val="20"/>
                <w:color w:val="auto"/>
              </w:rPr>
            </w:pPr>
            <w:r>
              <w:rPr>
                <w:rFonts w:ascii="Arial" w:cs="Arial" w:eastAsia="Arial" w:hAnsi="Arial"/>
                <w:sz w:val="16"/>
                <w:szCs w:val="16"/>
                <w:color w:val="auto"/>
              </w:rPr>
              <w:t>control</w:t>
            </w:r>
          </w:p>
        </w:tc>
        <w:tc>
          <w:tcPr>
            <w:tcW w:w="4900" w:type="dxa"/>
            <w:vAlign w:val="bottom"/>
            <w:tcBorders>
              <w:bottom w:val="single" w:sz="8" w:color="4A7EBB"/>
            </w:tcBorders>
          </w:tcPr>
          <w:p>
            <w:pPr>
              <w:ind w:left="340"/>
              <w:spacing w:after="0"/>
              <w:rPr>
                <w:sz w:val="20"/>
                <w:szCs w:val="20"/>
                <w:color w:val="auto"/>
              </w:rPr>
            </w:pPr>
            <w:r>
              <w:rPr>
                <w:rFonts w:ascii="Arial" w:cs="Arial" w:eastAsia="Arial" w:hAnsi="Arial"/>
                <w:sz w:val="16"/>
                <w:szCs w:val="16"/>
                <w:color w:val="auto"/>
              </w:rPr>
              <w:t>approval</w:t>
            </w:r>
          </w:p>
        </w:tc>
        <w:tc>
          <w:tcPr>
            <w:tcW w:w="0" w:type="dxa"/>
            <w:vAlign w:val="bottom"/>
          </w:tcPr>
          <w:p>
            <w:pPr>
              <w:spacing w:after="0"/>
              <w:rPr>
                <w:sz w:val="1"/>
                <w:szCs w:val="1"/>
                <w:color w:val="auto"/>
              </w:rPr>
            </w:pPr>
          </w:p>
        </w:tc>
      </w:tr>
      <w:tr>
        <w:trPr>
          <w:trHeight w:val="196"/>
        </w:trPr>
        <w:tc>
          <w:tcPr>
            <w:tcW w:w="5020" w:type="dxa"/>
            <w:vAlign w:val="bottom"/>
            <w:vMerge w:val="restart"/>
            <w:shd w:val="clear" w:color="auto" w:fill="F2F2F2"/>
          </w:tcPr>
          <w:p>
            <w:pPr>
              <w:ind w:left="660"/>
              <w:spacing w:after="0"/>
              <w:rPr>
                <w:sz w:val="20"/>
                <w:szCs w:val="20"/>
                <w:color w:val="auto"/>
              </w:rPr>
            </w:pPr>
            <w:r>
              <w:rPr>
                <w:rFonts w:ascii="Arial" w:cs="Arial" w:eastAsia="Arial" w:hAnsi="Arial"/>
                <w:sz w:val="16"/>
                <w:szCs w:val="16"/>
                <w:color w:val="auto"/>
              </w:rPr>
              <w:t>Anti-hedging and anti-pledging policies</w:t>
            </w:r>
          </w:p>
        </w:tc>
        <w:tc>
          <w:tcPr>
            <w:tcW w:w="4900" w:type="dxa"/>
            <w:vAlign w:val="bottom"/>
            <w:shd w:val="clear" w:color="auto" w:fill="F2F2F2"/>
          </w:tcPr>
          <w:p>
            <w:pPr>
              <w:ind w:left="340"/>
              <w:spacing w:after="0"/>
              <w:rPr>
                <w:sz w:val="20"/>
                <w:szCs w:val="20"/>
                <w:color w:val="auto"/>
              </w:rPr>
            </w:pPr>
            <w:r>
              <w:rPr>
                <w:rFonts w:ascii="Arial" w:cs="Arial" w:eastAsia="Arial" w:hAnsi="Arial"/>
                <w:sz w:val="16"/>
                <w:szCs w:val="16"/>
                <w:color w:val="auto"/>
              </w:rPr>
              <w:t>No guaranteed salary increases or annual cash incentives for</w:t>
            </w:r>
          </w:p>
        </w:tc>
        <w:tc>
          <w:tcPr>
            <w:tcW w:w="0" w:type="dxa"/>
            <w:vAlign w:val="bottom"/>
          </w:tcPr>
          <w:p>
            <w:pPr>
              <w:spacing w:after="0"/>
              <w:rPr>
                <w:sz w:val="1"/>
                <w:szCs w:val="1"/>
                <w:color w:val="auto"/>
              </w:rPr>
            </w:pPr>
          </w:p>
        </w:tc>
      </w:tr>
      <w:tr>
        <w:trPr>
          <w:trHeight w:val="120"/>
        </w:trPr>
        <w:tc>
          <w:tcPr>
            <w:tcW w:w="5020" w:type="dxa"/>
            <w:vAlign w:val="bottom"/>
            <w:vMerge w:val="continue"/>
            <w:shd w:val="clear" w:color="auto" w:fill="F2F2F2"/>
          </w:tcPr>
          <w:p>
            <w:pPr>
              <w:spacing w:after="0"/>
              <w:rPr>
                <w:sz w:val="10"/>
                <w:szCs w:val="10"/>
                <w:color w:val="auto"/>
              </w:rPr>
            </w:pPr>
          </w:p>
        </w:tc>
        <w:tc>
          <w:tcPr>
            <w:tcW w:w="4900" w:type="dxa"/>
            <w:vAlign w:val="bottom"/>
            <w:vMerge w:val="restart"/>
            <w:shd w:val="clear" w:color="auto" w:fill="F2F2F2"/>
          </w:tcPr>
          <w:p>
            <w:pPr>
              <w:ind w:left="340"/>
              <w:spacing w:after="0"/>
              <w:rPr>
                <w:sz w:val="20"/>
                <w:szCs w:val="20"/>
                <w:color w:val="auto"/>
              </w:rPr>
            </w:pPr>
            <w:r>
              <w:rPr>
                <w:rFonts w:ascii="Arial" w:cs="Arial" w:eastAsia="Arial" w:hAnsi="Arial"/>
                <w:sz w:val="16"/>
                <w:szCs w:val="16"/>
                <w:color w:val="auto"/>
              </w:rPr>
              <w:t>NEOs</w:t>
            </w:r>
          </w:p>
        </w:tc>
        <w:tc>
          <w:tcPr>
            <w:tcW w:w="0" w:type="dxa"/>
            <w:vAlign w:val="bottom"/>
          </w:tcPr>
          <w:p>
            <w:pPr>
              <w:spacing w:after="0"/>
              <w:rPr>
                <w:sz w:val="1"/>
                <w:szCs w:val="1"/>
                <w:color w:val="auto"/>
              </w:rPr>
            </w:pPr>
          </w:p>
        </w:tc>
      </w:tr>
      <w:tr>
        <w:trPr>
          <w:trHeight w:val="95"/>
        </w:trPr>
        <w:tc>
          <w:tcPr>
            <w:tcW w:w="5020" w:type="dxa"/>
            <w:vAlign w:val="bottom"/>
            <w:tcBorders>
              <w:bottom w:val="single" w:sz="8" w:color="4A7EBB"/>
            </w:tcBorders>
            <w:shd w:val="clear" w:color="auto" w:fill="F2F2F2"/>
          </w:tcPr>
          <w:p>
            <w:pPr>
              <w:spacing w:after="0"/>
              <w:rPr>
                <w:sz w:val="8"/>
                <w:szCs w:val="8"/>
                <w:color w:val="auto"/>
              </w:rPr>
            </w:pPr>
          </w:p>
        </w:tc>
        <w:tc>
          <w:tcPr>
            <w:tcW w:w="4900" w:type="dxa"/>
            <w:vAlign w:val="bottom"/>
            <w:tcBorders>
              <w:bottom w:val="single" w:sz="8" w:color="4A7EBB"/>
            </w:tcBorders>
            <w:vMerge w:val="continue"/>
            <w:shd w:val="clear" w:color="auto" w:fill="F2F2F2"/>
          </w:tcPr>
          <w:p>
            <w:pPr>
              <w:spacing w:after="0"/>
              <w:rPr>
                <w:sz w:val="8"/>
                <w:szCs w:val="8"/>
                <w:color w:val="auto"/>
              </w:rPr>
            </w:pPr>
          </w:p>
        </w:tc>
        <w:tc>
          <w:tcPr>
            <w:tcW w:w="0" w:type="dxa"/>
            <w:vAlign w:val="bottom"/>
          </w:tcPr>
          <w:p>
            <w:pPr>
              <w:spacing w:after="0"/>
              <w:rPr>
                <w:sz w:val="1"/>
                <w:szCs w:val="1"/>
                <w:color w:val="auto"/>
              </w:rPr>
            </w:pPr>
          </w:p>
        </w:tc>
      </w:tr>
      <w:tr>
        <w:trPr>
          <w:trHeight w:val="317"/>
        </w:trPr>
        <w:tc>
          <w:tcPr>
            <w:tcW w:w="5020" w:type="dxa"/>
            <w:vAlign w:val="bottom"/>
          </w:tcPr>
          <w:p>
            <w:pPr>
              <w:ind w:left="660"/>
              <w:spacing w:after="0"/>
              <w:rPr>
                <w:sz w:val="20"/>
                <w:szCs w:val="20"/>
                <w:color w:val="auto"/>
              </w:rPr>
            </w:pPr>
            <w:r>
              <w:rPr>
                <w:rFonts w:ascii="Arial" w:cs="Arial" w:eastAsia="Arial" w:hAnsi="Arial"/>
                <w:sz w:val="16"/>
                <w:szCs w:val="16"/>
                <w:color w:val="auto"/>
              </w:rPr>
              <w:t>Clawback policy</w:t>
            </w:r>
          </w:p>
        </w:tc>
        <w:tc>
          <w:tcPr>
            <w:tcW w:w="4900" w:type="dxa"/>
            <w:vAlign w:val="bottom"/>
          </w:tcPr>
          <w:p>
            <w:pPr>
              <w:ind w:left="340"/>
              <w:spacing w:after="0"/>
              <w:rPr>
                <w:sz w:val="20"/>
                <w:szCs w:val="20"/>
                <w:color w:val="auto"/>
              </w:rPr>
            </w:pPr>
            <w:r>
              <w:rPr>
                <w:rFonts w:ascii="Arial" w:cs="Arial" w:eastAsia="Arial" w:hAnsi="Arial"/>
                <w:sz w:val="16"/>
                <w:szCs w:val="16"/>
                <w:color w:val="auto"/>
              </w:rPr>
              <w:t>No excise tax gross-ups upon a change in control</w:t>
            </w:r>
          </w:p>
        </w:tc>
        <w:tc>
          <w:tcPr>
            <w:tcW w:w="0" w:type="dxa"/>
            <w:vAlign w:val="bottom"/>
          </w:tcPr>
          <w:p>
            <w:pPr>
              <w:spacing w:after="0"/>
              <w:rPr>
                <w:sz w:val="1"/>
                <w:szCs w:val="1"/>
                <w:color w:val="auto"/>
              </w:rPr>
            </w:pPr>
          </w:p>
        </w:tc>
      </w:tr>
      <w:tr>
        <w:trPr>
          <w:trHeight w:val="96"/>
        </w:trPr>
        <w:tc>
          <w:tcPr>
            <w:tcW w:w="5020" w:type="dxa"/>
            <w:vAlign w:val="bottom"/>
            <w:tcBorders>
              <w:bottom w:val="single" w:sz="8" w:color="4A7EBB"/>
            </w:tcBorders>
          </w:tcPr>
          <w:p>
            <w:pPr>
              <w:spacing w:after="0"/>
              <w:rPr>
                <w:sz w:val="8"/>
                <w:szCs w:val="8"/>
                <w:color w:val="auto"/>
              </w:rPr>
            </w:pPr>
          </w:p>
        </w:tc>
        <w:tc>
          <w:tcPr>
            <w:tcW w:w="4900" w:type="dxa"/>
            <w:vAlign w:val="bottom"/>
            <w:tcBorders>
              <w:bottom w:val="single" w:sz="8" w:color="4A7EBB"/>
            </w:tcBorders>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5020" w:type="dxa"/>
            <w:vAlign w:val="bottom"/>
            <w:shd w:val="clear" w:color="auto" w:fill="F2F2F2"/>
          </w:tcPr>
          <w:p>
            <w:pPr>
              <w:ind w:left="660"/>
              <w:spacing w:after="0"/>
              <w:rPr>
                <w:sz w:val="20"/>
                <w:szCs w:val="20"/>
                <w:color w:val="auto"/>
              </w:rPr>
            </w:pPr>
            <w:r>
              <w:rPr>
                <w:rFonts w:ascii="Arial" w:cs="Arial" w:eastAsia="Arial" w:hAnsi="Arial"/>
                <w:sz w:val="16"/>
                <w:szCs w:val="16"/>
                <w:color w:val="auto"/>
              </w:rPr>
              <w:t>Capped annual cash incentive payouts</w:t>
            </w:r>
          </w:p>
        </w:tc>
        <w:tc>
          <w:tcPr>
            <w:tcW w:w="4900" w:type="dxa"/>
            <w:vAlign w:val="bottom"/>
            <w:shd w:val="clear" w:color="auto" w:fill="F2F2F2"/>
          </w:tcPr>
          <w:p>
            <w:pPr>
              <w:ind w:left="340"/>
              <w:spacing w:after="0"/>
              <w:rPr>
                <w:sz w:val="20"/>
                <w:szCs w:val="20"/>
                <w:color w:val="auto"/>
              </w:rPr>
            </w:pPr>
            <w:r>
              <w:rPr>
                <w:rFonts w:ascii="Arial" w:cs="Arial" w:eastAsia="Arial" w:hAnsi="Arial"/>
                <w:sz w:val="16"/>
                <w:szCs w:val="16"/>
                <w:color w:val="auto"/>
              </w:rPr>
              <w:t>No tax gross-ups on perquisites or benefits</w:t>
            </w:r>
          </w:p>
        </w:tc>
        <w:tc>
          <w:tcPr>
            <w:tcW w:w="0" w:type="dxa"/>
            <w:vAlign w:val="bottom"/>
          </w:tcPr>
          <w:p>
            <w:pPr>
              <w:spacing w:after="0"/>
              <w:rPr>
                <w:sz w:val="1"/>
                <w:szCs w:val="1"/>
                <w:color w:val="auto"/>
              </w:rPr>
            </w:pPr>
          </w:p>
        </w:tc>
      </w:tr>
      <w:tr>
        <w:trPr>
          <w:trHeight w:val="96"/>
        </w:trPr>
        <w:tc>
          <w:tcPr>
            <w:tcW w:w="5020" w:type="dxa"/>
            <w:vAlign w:val="bottom"/>
            <w:tcBorders>
              <w:bottom w:val="single" w:sz="8" w:color="4A7EBB"/>
            </w:tcBorders>
            <w:shd w:val="clear" w:color="auto" w:fill="F2F2F2"/>
          </w:tcPr>
          <w:p>
            <w:pPr>
              <w:spacing w:after="0"/>
              <w:rPr>
                <w:sz w:val="8"/>
                <w:szCs w:val="8"/>
                <w:color w:val="auto"/>
              </w:rPr>
            </w:pPr>
          </w:p>
        </w:tc>
        <w:tc>
          <w:tcPr>
            <w:tcW w:w="4900" w:type="dxa"/>
            <w:vAlign w:val="bottom"/>
            <w:tcBorders>
              <w:bottom w:val="single" w:sz="8" w:color="4A7EBB"/>
            </w:tcBorders>
            <w:shd w:val="clear" w:color="auto" w:fill="F2F2F2"/>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5020" w:type="dxa"/>
            <w:vAlign w:val="bottom"/>
          </w:tcPr>
          <w:p>
            <w:pPr>
              <w:ind w:left="660"/>
              <w:spacing w:after="0"/>
              <w:rPr>
                <w:sz w:val="20"/>
                <w:szCs w:val="20"/>
                <w:color w:val="auto"/>
              </w:rPr>
            </w:pPr>
            <w:r>
              <w:rPr>
                <w:rFonts w:ascii="Arial" w:cs="Arial" w:eastAsia="Arial" w:hAnsi="Arial"/>
                <w:sz w:val="16"/>
                <w:szCs w:val="16"/>
                <w:color w:val="auto"/>
              </w:rPr>
              <w:t>Robust share ownership guidelines, with 50% share</w:t>
            </w:r>
          </w:p>
        </w:tc>
        <w:tc>
          <w:tcPr>
            <w:tcW w:w="4900" w:type="dxa"/>
            <w:vAlign w:val="bottom"/>
            <w:vMerge w:val="restart"/>
          </w:tcPr>
          <w:p>
            <w:pPr>
              <w:ind w:left="340"/>
              <w:spacing w:after="0"/>
              <w:rPr>
                <w:sz w:val="20"/>
                <w:szCs w:val="20"/>
                <w:color w:val="auto"/>
              </w:rPr>
            </w:pPr>
            <w:r>
              <w:rPr>
                <w:rFonts w:ascii="Arial" w:cs="Arial" w:eastAsia="Arial" w:hAnsi="Arial"/>
                <w:sz w:val="16"/>
                <w:szCs w:val="16"/>
                <w:color w:val="auto"/>
              </w:rPr>
              <w:t>No excessive executive perquisites</w:t>
            </w:r>
          </w:p>
        </w:tc>
        <w:tc>
          <w:tcPr>
            <w:tcW w:w="0" w:type="dxa"/>
            <w:vAlign w:val="bottom"/>
          </w:tcPr>
          <w:p>
            <w:pPr>
              <w:spacing w:after="0"/>
              <w:rPr>
                <w:sz w:val="1"/>
                <w:szCs w:val="1"/>
                <w:color w:val="auto"/>
              </w:rPr>
            </w:pPr>
          </w:p>
        </w:tc>
      </w:tr>
      <w:tr>
        <w:trPr>
          <w:trHeight w:val="120"/>
        </w:trPr>
        <w:tc>
          <w:tcPr>
            <w:tcW w:w="5020" w:type="dxa"/>
            <w:vAlign w:val="bottom"/>
            <w:vMerge w:val="restart"/>
          </w:tcPr>
          <w:p>
            <w:pPr>
              <w:ind w:left="660"/>
              <w:spacing w:after="0"/>
              <w:rPr>
                <w:sz w:val="20"/>
                <w:szCs w:val="20"/>
                <w:color w:val="auto"/>
              </w:rPr>
            </w:pPr>
            <w:r>
              <w:rPr>
                <w:rFonts w:ascii="Arial" w:cs="Arial" w:eastAsia="Arial" w:hAnsi="Arial"/>
                <w:sz w:val="16"/>
                <w:szCs w:val="16"/>
                <w:color w:val="auto"/>
              </w:rPr>
              <w:t>retention requirement until guidelines are met</w:t>
            </w:r>
          </w:p>
        </w:tc>
        <w:tc>
          <w:tcPr>
            <w:tcW w:w="4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5020" w:type="dxa"/>
            <w:vAlign w:val="bottom"/>
            <w:tcBorders>
              <w:bottom w:val="single" w:sz="8" w:color="4A7EBB"/>
            </w:tcBorders>
            <w:vMerge w:val="continue"/>
          </w:tcPr>
          <w:p>
            <w:pPr>
              <w:spacing w:after="0"/>
              <w:rPr>
                <w:sz w:val="8"/>
                <w:szCs w:val="8"/>
                <w:color w:val="auto"/>
              </w:rPr>
            </w:pPr>
          </w:p>
        </w:tc>
        <w:tc>
          <w:tcPr>
            <w:tcW w:w="4900" w:type="dxa"/>
            <w:vAlign w:val="bottom"/>
            <w:tcBorders>
              <w:bottom w:val="single" w:sz="8" w:color="4A7EBB"/>
            </w:tcBorders>
          </w:tcPr>
          <w:p>
            <w:pPr>
              <w:spacing w:after="0"/>
              <w:rPr>
                <w:sz w:val="8"/>
                <w:szCs w:val="8"/>
                <w:color w:val="auto"/>
              </w:rPr>
            </w:pPr>
          </w:p>
        </w:tc>
        <w:tc>
          <w:tcPr>
            <w:tcW w:w="0" w:type="dxa"/>
            <w:vAlign w:val="bottom"/>
          </w:tcPr>
          <w:p>
            <w:pPr>
              <w:spacing w:after="0"/>
              <w:rPr>
                <w:sz w:val="1"/>
                <w:szCs w:val="1"/>
                <w:color w:val="auto"/>
              </w:rPr>
            </w:pPr>
          </w:p>
        </w:tc>
      </w:tr>
      <w:tr>
        <w:trPr>
          <w:trHeight w:val="317"/>
        </w:trPr>
        <w:tc>
          <w:tcPr>
            <w:tcW w:w="5020" w:type="dxa"/>
            <w:vAlign w:val="bottom"/>
            <w:shd w:val="clear" w:color="auto" w:fill="F2F2F2"/>
          </w:tcPr>
          <w:p>
            <w:pPr>
              <w:ind w:left="660"/>
              <w:spacing w:after="0"/>
              <w:rPr>
                <w:sz w:val="20"/>
                <w:szCs w:val="20"/>
                <w:color w:val="auto"/>
              </w:rPr>
            </w:pPr>
            <w:r>
              <w:rPr>
                <w:rFonts w:ascii="Arial" w:cs="Arial" w:eastAsia="Arial" w:hAnsi="Arial"/>
                <w:sz w:val="16"/>
                <w:szCs w:val="16"/>
                <w:color w:val="auto"/>
              </w:rPr>
              <w:t>Annual Say on Pay vote</w:t>
            </w:r>
          </w:p>
        </w:tc>
        <w:tc>
          <w:tcPr>
            <w:tcW w:w="4900" w:type="dxa"/>
            <w:vAlign w:val="bottom"/>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5020" w:type="dxa"/>
            <w:vAlign w:val="bottom"/>
            <w:tcBorders>
              <w:bottom w:val="single" w:sz="8" w:color="808080"/>
            </w:tcBorders>
            <w:shd w:val="clear" w:color="auto" w:fill="F2F2F2"/>
          </w:tcPr>
          <w:p>
            <w:pPr>
              <w:spacing w:after="0"/>
              <w:rPr>
                <w:sz w:val="9"/>
                <w:szCs w:val="9"/>
                <w:color w:val="auto"/>
              </w:rPr>
            </w:pPr>
          </w:p>
        </w:tc>
        <w:tc>
          <w:tcPr>
            <w:tcW w:w="4900" w:type="dxa"/>
            <w:vAlign w:val="bottom"/>
            <w:tcBorders>
              <w:bottom w:val="single" w:sz="8" w:color="808080"/>
            </w:tcBorders>
            <w:shd w:val="clear" w:color="auto" w:fill="F2F2F2"/>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419735</wp:posOffset>
            </wp:positionV>
            <wp:extent cx="629221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3117850</wp:posOffset>
            </wp:positionH>
            <wp:positionV relativeFrom="paragraph">
              <wp:posOffset>-2142490</wp:posOffset>
            </wp:positionV>
            <wp:extent cx="154305" cy="1460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54305" cy="146050"/>
                    </a:xfrm>
                    <a:prstGeom prst="rect">
                      <a:avLst/>
                    </a:prstGeom>
                    <a:noFill/>
                  </pic:spPr>
                </pic:pic>
              </a:graphicData>
            </a:graphic>
          </wp:anchor>
        </w:drawing>
        <w:drawing>
          <wp:anchor simplePos="0" relativeHeight="251657728" behindDoc="1" locked="0" layoutInCell="0" allowOverlap="1">
            <wp:simplePos x="0" y="0"/>
            <wp:positionH relativeFrom="column">
              <wp:posOffset>3117850</wp:posOffset>
            </wp:positionH>
            <wp:positionV relativeFrom="paragraph">
              <wp:posOffset>-1868170</wp:posOffset>
            </wp:positionV>
            <wp:extent cx="154305" cy="1460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54305" cy="146050"/>
                    </a:xfrm>
                    <a:prstGeom prst="rect">
                      <a:avLst/>
                    </a:prstGeom>
                    <a:noFill/>
                  </pic:spPr>
                </pic:pic>
              </a:graphicData>
            </a:graphic>
          </wp:anchor>
        </w:drawing>
        <w:drawing>
          <wp:anchor simplePos="0" relativeHeight="251657728" behindDoc="1" locked="0" layoutInCell="0" allowOverlap="1">
            <wp:simplePos x="0" y="0"/>
            <wp:positionH relativeFrom="column">
              <wp:posOffset>3117850</wp:posOffset>
            </wp:positionH>
            <wp:positionV relativeFrom="paragraph">
              <wp:posOffset>-1593850</wp:posOffset>
            </wp:positionV>
            <wp:extent cx="154305" cy="1460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54305" cy="146050"/>
                    </a:xfrm>
                    <a:prstGeom prst="rect">
                      <a:avLst/>
                    </a:prstGeom>
                    <a:noFill/>
                  </pic:spPr>
                </pic:pic>
              </a:graphicData>
            </a:graphic>
          </wp:anchor>
        </w:drawing>
        <w:drawing>
          <wp:anchor simplePos="0" relativeHeight="251657728" behindDoc="1" locked="0" layoutInCell="0" allowOverlap="1">
            <wp:simplePos x="0" y="0"/>
            <wp:positionH relativeFrom="column">
              <wp:posOffset>3117850</wp:posOffset>
            </wp:positionH>
            <wp:positionV relativeFrom="paragraph">
              <wp:posOffset>-1319530</wp:posOffset>
            </wp:positionV>
            <wp:extent cx="154305" cy="1454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54305" cy="145415"/>
                    </a:xfrm>
                    <a:prstGeom prst="rect">
                      <a:avLst/>
                    </a:prstGeom>
                    <a:noFill/>
                  </pic:spPr>
                </pic:pic>
              </a:graphicData>
            </a:graphic>
          </wp:anchor>
        </w:drawing>
        <w:drawing>
          <wp:anchor simplePos="0" relativeHeight="251657728" behindDoc="1" locked="0" layoutInCell="0" allowOverlap="1">
            <wp:simplePos x="0" y="0"/>
            <wp:positionH relativeFrom="column">
              <wp:posOffset>3117850</wp:posOffset>
            </wp:positionH>
            <wp:positionV relativeFrom="paragraph">
              <wp:posOffset>-1045210</wp:posOffset>
            </wp:positionV>
            <wp:extent cx="154305" cy="1460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54305" cy="146050"/>
                    </a:xfrm>
                    <a:prstGeom prst="rect">
                      <a:avLst/>
                    </a:prstGeom>
                    <a:noFill/>
                  </pic:spPr>
                </pic:pic>
              </a:graphicData>
            </a:graphic>
          </wp:anchor>
        </w:drawing>
        <w:drawing>
          <wp:anchor simplePos="0" relativeHeight="251657728" behindDoc="1" locked="0" layoutInCell="0" allowOverlap="1">
            <wp:simplePos x="0" y="0"/>
            <wp:positionH relativeFrom="column">
              <wp:posOffset>3117850</wp:posOffset>
            </wp:positionH>
            <wp:positionV relativeFrom="paragraph">
              <wp:posOffset>-770890</wp:posOffset>
            </wp:positionV>
            <wp:extent cx="154305" cy="1460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54305" cy="146050"/>
                    </a:xfrm>
                    <a:prstGeom prst="rect">
                      <a:avLst/>
                    </a:prstGeom>
                    <a:noFill/>
                  </pic:spPr>
                </pic:pic>
              </a:graphicData>
            </a:graphic>
          </wp:anchor>
        </w:drawing>
        <w:drawing>
          <wp:anchor simplePos="0" relativeHeight="251657728" behindDoc="1" locked="0" layoutInCell="0" allowOverlap="1">
            <wp:simplePos x="0" y="0"/>
            <wp:positionH relativeFrom="column">
              <wp:posOffset>3117850</wp:posOffset>
            </wp:positionH>
            <wp:positionV relativeFrom="paragraph">
              <wp:posOffset>-496570</wp:posOffset>
            </wp:positionV>
            <wp:extent cx="154305" cy="1454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54305" cy="145415"/>
                    </a:xfrm>
                    <a:prstGeom prst="rect">
                      <a:avLst/>
                    </a:prstGeom>
                    <a:noFill/>
                  </pic:spPr>
                </pic:pic>
              </a:graphicData>
            </a:graphic>
          </wp:anchor>
        </w:drawing>
        <w:drawing>
          <wp:anchor simplePos="0" relativeHeight="251657728" behindDoc="1" locked="0" layoutInCell="0" allowOverlap="1">
            <wp:simplePos x="0" y="0"/>
            <wp:positionH relativeFrom="column">
              <wp:posOffset>83185</wp:posOffset>
            </wp:positionH>
            <wp:positionV relativeFrom="paragraph">
              <wp:posOffset>-2185035</wp:posOffset>
            </wp:positionV>
            <wp:extent cx="196850" cy="216027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96850" cy="2160270"/>
                    </a:xfrm>
                    <a:prstGeom prst="rect">
                      <a:avLst/>
                    </a:prstGeom>
                    <a:noFill/>
                  </pic:spPr>
                </pic:pic>
              </a:graphicData>
            </a:graphic>
          </wp:anchor>
        </w:drawing>
        <w:drawing>
          <wp:anchor simplePos="0" relativeHeight="251657728" behindDoc="1" locked="0" layoutInCell="0" allowOverlap="1">
            <wp:simplePos x="0" y="0"/>
            <wp:positionH relativeFrom="column">
              <wp:posOffset>288925</wp:posOffset>
            </wp:positionH>
            <wp:positionV relativeFrom="paragraph">
              <wp:posOffset>480060</wp:posOffset>
            </wp:positionV>
            <wp:extent cx="265430" cy="1454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65430"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20"/>
          <w:szCs w:val="20"/>
          <w:b w:val="1"/>
          <w:bCs w:val="1"/>
          <w:color w:val="4A7EBB"/>
        </w:rPr>
        <w:t xml:space="preserve">30 </w:t>
      </w:r>
      <w:r>
        <w:rPr>
          <w:rFonts w:ascii="Arial" w:cs="Arial" w:eastAsia="Arial" w:hAnsi="Arial"/>
          <w:sz w:val="20"/>
          <w:szCs w:val="20"/>
          <w:color w:val="80808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17780</wp:posOffset>
            </wp:positionV>
            <wp:extent cx="629221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29"/>
          <w:szCs w:val="29"/>
          <w:b w:val="1"/>
          <w:bCs w:val="1"/>
          <w:color w:val="4A7EBB"/>
        </w:rPr>
        <w:t>Elements of Our Compensation Program—What We Pay and Why</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COMPENSATION PHILOSOPHY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Our compensation program design enhances stockholder value in the following ways:</w:t>
      </w:r>
    </w:p>
    <w:p>
      <w:pPr>
        <w:spacing w:after="0" w:line="212" w:lineRule="exact"/>
        <w:rPr>
          <w:sz w:val="20"/>
          <w:szCs w:val="20"/>
          <w:color w:val="auto"/>
        </w:rPr>
      </w:pPr>
    </w:p>
    <w:p>
      <w:pPr>
        <w:jc w:val="both"/>
        <w:ind w:left="680" w:hanging="321"/>
        <w:spacing w:after="0" w:line="252" w:lineRule="auto"/>
        <w:tabs>
          <w:tab w:leader="none" w:pos="680" w:val="left"/>
        </w:tabs>
        <w:numPr>
          <w:ilvl w:val="0"/>
          <w:numId w:val="61"/>
        </w:numPr>
        <w:rPr>
          <w:rFonts w:ascii="Times New Roman" w:cs="Times New Roman" w:eastAsia="Times New Roman" w:hAnsi="Times New Roman"/>
          <w:sz w:val="18"/>
          <w:szCs w:val="18"/>
          <w:b w:val="1"/>
          <w:bCs w:val="1"/>
          <w:color w:val="4A7EBB"/>
        </w:rPr>
      </w:pPr>
      <w:r>
        <w:rPr>
          <w:rFonts w:ascii="Arial" w:cs="Arial" w:eastAsia="Arial" w:hAnsi="Arial"/>
          <w:sz w:val="18"/>
          <w:szCs w:val="18"/>
          <w:b w:val="1"/>
          <w:bCs w:val="1"/>
          <w:color w:val="4A7EBB"/>
        </w:rPr>
        <w:t xml:space="preserve">Belief in Pay for Performance. </w:t>
      </w:r>
      <w:r>
        <w:rPr>
          <w:rFonts w:ascii="Arial" w:cs="Arial" w:eastAsia="Arial" w:hAnsi="Arial"/>
          <w:sz w:val="18"/>
          <w:szCs w:val="18"/>
          <w:color w:val="000000"/>
        </w:rPr>
        <w:t>A substantial majority of compensation paid to our executives is variable and</w:t>
      </w:r>
      <w:r>
        <w:rPr>
          <w:rFonts w:ascii="Arial" w:cs="Arial" w:eastAsia="Arial" w:hAnsi="Arial"/>
          <w:sz w:val="18"/>
          <w:szCs w:val="18"/>
          <w:b w:val="1"/>
          <w:bCs w:val="1"/>
          <w:color w:val="4A7EBB"/>
        </w:rPr>
        <w:t xml:space="preserve"> </w:t>
      </w:r>
      <w:r>
        <w:rPr>
          <w:rFonts w:ascii="Arial" w:cs="Arial" w:eastAsia="Arial" w:hAnsi="Arial"/>
          <w:sz w:val="18"/>
          <w:szCs w:val="18"/>
          <w:color w:val="000000"/>
        </w:rPr>
        <w:t>aligned with the short and long-term performance of G-III because a focus on the short-term leads to long-term success in the dynamic and fast-paced fashion business;</w:t>
      </w:r>
    </w:p>
    <w:p>
      <w:pPr>
        <w:spacing w:after="0" w:line="8" w:lineRule="exact"/>
        <w:rPr>
          <w:rFonts w:ascii="Times New Roman" w:cs="Times New Roman" w:eastAsia="Times New Roman" w:hAnsi="Times New Roman"/>
          <w:sz w:val="18"/>
          <w:szCs w:val="18"/>
          <w:b w:val="1"/>
          <w:bCs w:val="1"/>
          <w:color w:val="4A7EBB"/>
        </w:rPr>
      </w:pPr>
    </w:p>
    <w:p>
      <w:pPr>
        <w:jc w:val="both"/>
        <w:ind w:left="680" w:hanging="321"/>
        <w:spacing w:after="0" w:line="252" w:lineRule="auto"/>
        <w:tabs>
          <w:tab w:leader="none" w:pos="680" w:val="left"/>
        </w:tabs>
        <w:numPr>
          <w:ilvl w:val="0"/>
          <w:numId w:val="61"/>
        </w:numPr>
        <w:rPr>
          <w:rFonts w:ascii="Times New Roman" w:cs="Times New Roman" w:eastAsia="Times New Roman" w:hAnsi="Times New Roman"/>
          <w:sz w:val="18"/>
          <w:szCs w:val="18"/>
          <w:b w:val="1"/>
          <w:bCs w:val="1"/>
          <w:color w:val="4A7EBB"/>
        </w:rPr>
      </w:pPr>
      <w:r>
        <w:rPr>
          <w:rFonts w:ascii="Arial" w:cs="Arial" w:eastAsia="Arial" w:hAnsi="Arial"/>
          <w:sz w:val="18"/>
          <w:szCs w:val="18"/>
          <w:b w:val="1"/>
          <w:bCs w:val="1"/>
          <w:color w:val="4A7EBB"/>
        </w:rPr>
        <w:t xml:space="preserve">Focus on Annual Profitability. </w:t>
      </w:r>
      <w:r>
        <w:rPr>
          <w:rFonts w:ascii="Arial" w:cs="Arial" w:eastAsia="Arial" w:hAnsi="Arial"/>
          <w:sz w:val="18"/>
          <w:szCs w:val="18"/>
          <w:color w:val="000000"/>
        </w:rPr>
        <w:t>Our annual cash incentive compensation structure is oriented towards bottom-line</w:t>
      </w:r>
      <w:r>
        <w:rPr>
          <w:rFonts w:ascii="Arial" w:cs="Arial" w:eastAsia="Arial" w:hAnsi="Arial"/>
          <w:sz w:val="18"/>
          <w:szCs w:val="18"/>
          <w:b w:val="1"/>
          <w:bCs w:val="1"/>
          <w:color w:val="4A7EBB"/>
        </w:rPr>
        <w:t xml:space="preserve"> </w:t>
      </w:r>
      <w:r>
        <w:rPr>
          <w:rFonts w:ascii="Arial" w:cs="Arial" w:eastAsia="Arial" w:hAnsi="Arial"/>
          <w:sz w:val="18"/>
          <w:szCs w:val="18"/>
          <w:color w:val="000000"/>
        </w:rPr>
        <w:t>results, fosters an entrepreneurial environment and empowers management with the flexibility to quickly make decisions that are responsive to ever-changing market conditions, a hallmark of the fashion business;</w:t>
      </w:r>
    </w:p>
    <w:p>
      <w:pPr>
        <w:spacing w:after="0" w:line="8" w:lineRule="exact"/>
        <w:rPr>
          <w:rFonts w:ascii="Times New Roman" w:cs="Times New Roman" w:eastAsia="Times New Roman" w:hAnsi="Times New Roman"/>
          <w:sz w:val="18"/>
          <w:szCs w:val="18"/>
          <w:b w:val="1"/>
          <w:bCs w:val="1"/>
          <w:color w:val="4A7EBB"/>
        </w:rPr>
      </w:pPr>
    </w:p>
    <w:p>
      <w:pPr>
        <w:ind w:left="680" w:right="20" w:hanging="321"/>
        <w:spacing w:after="0" w:line="263" w:lineRule="auto"/>
        <w:tabs>
          <w:tab w:leader="none" w:pos="680" w:val="left"/>
        </w:tabs>
        <w:numPr>
          <w:ilvl w:val="0"/>
          <w:numId w:val="61"/>
        </w:numPr>
        <w:rPr>
          <w:rFonts w:ascii="Times New Roman" w:cs="Times New Roman" w:eastAsia="Times New Roman" w:hAnsi="Times New Roman"/>
          <w:sz w:val="18"/>
          <w:szCs w:val="18"/>
          <w:b w:val="1"/>
          <w:bCs w:val="1"/>
          <w:color w:val="4A7EBB"/>
        </w:rPr>
      </w:pPr>
      <w:r>
        <w:rPr>
          <w:rFonts w:ascii="Arial" w:cs="Arial" w:eastAsia="Arial" w:hAnsi="Arial"/>
          <w:sz w:val="18"/>
          <w:szCs w:val="18"/>
          <w:b w:val="1"/>
          <w:bCs w:val="1"/>
          <w:color w:val="4A7EBB"/>
        </w:rPr>
        <w:t xml:space="preserve">Alignment with Stockholders. </w:t>
      </w:r>
      <w:r>
        <w:rPr>
          <w:rFonts w:ascii="Arial" w:cs="Arial" w:eastAsia="Arial" w:hAnsi="Arial"/>
          <w:sz w:val="18"/>
          <w:szCs w:val="18"/>
          <w:color w:val="000000"/>
        </w:rPr>
        <w:t>Our long-term incentive program aligns the interests of our executive officers with</w:t>
      </w:r>
      <w:r>
        <w:rPr>
          <w:rFonts w:ascii="Arial" w:cs="Arial" w:eastAsia="Arial" w:hAnsi="Arial"/>
          <w:sz w:val="18"/>
          <w:szCs w:val="18"/>
          <w:b w:val="1"/>
          <w:bCs w:val="1"/>
          <w:color w:val="4A7EBB"/>
        </w:rPr>
        <w:t xml:space="preserve"> </w:t>
      </w:r>
      <w:r>
        <w:rPr>
          <w:rFonts w:ascii="Arial" w:cs="Arial" w:eastAsia="Arial" w:hAnsi="Arial"/>
          <w:sz w:val="18"/>
          <w:szCs w:val="18"/>
          <w:color w:val="000000"/>
        </w:rPr>
        <w:t>those of our stockholders and supports maximum stockholder value creation; and</w:t>
      </w:r>
    </w:p>
    <w:p>
      <w:pPr>
        <w:spacing w:after="0" w:line="4" w:lineRule="exact"/>
        <w:rPr>
          <w:rFonts w:ascii="Times New Roman" w:cs="Times New Roman" w:eastAsia="Times New Roman" w:hAnsi="Times New Roman"/>
          <w:sz w:val="18"/>
          <w:szCs w:val="18"/>
          <w:b w:val="1"/>
          <w:bCs w:val="1"/>
          <w:color w:val="4A7EBB"/>
        </w:rPr>
      </w:pPr>
    </w:p>
    <w:p>
      <w:pPr>
        <w:jc w:val="both"/>
        <w:ind w:left="680" w:hanging="321"/>
        <w:spacing w:after="0" w:line="246" w:lineRule="auto"/>
        <w:tabs>
          <w:tab w:leader="none" w:pos="680" w:val="left"/>
        </w:tabs>
        <w:numPr>
          <w:ilvl w:val="0"/>
          <w:numId w:val="61"/>
        </w:numPr>
        <w:rPr>
          <w:rFonts w:ascii="Times New Roman" w:cs="Times New Roman" w:eastAsia="Times New Roman" w:hAnsi="Times New Roman"/>
          <w:sz w:val="18"/>
          <w:szCs w:val="18"/>
          <w:b w:val="1"/>
          <w:bCs w:val="1"/>
          <w:color w:val="4A7EBB"/>
        </w:rPr>
      </w:pPr>
      <w:r>
        <w:rPr>
          <w:rFonts w:ascii="Arial" w:cs="Arial" w:eastAsia="Arial" w:hAnsi="Arial"/>
          <w:sz w:val="18"/>
          <w:szCs w:val="18"/>
          <w:b w:val="1"/>
          <w:bCs w:val="1"/>
          <w:color w:val="4A7EBB"/>
        </w:rPr>
        <w:t xml:space="preserve">Competitive Packages. </w:t>
      </w:r>
      <w:r>
        <w:rPr>
          <w:rFonts w:ascii="Arial" w:cs="Arial" w:eastAsia="Arial" w:hAnsi="Arial"/>
          <w:sz w:val="18"/>
          <w:szCs w:val="18"/>
          <w:color w:val="000000"/>
        </w:rPr>
        <w:t>We believe the quality of our executive and management team is second to none. We</w:t>
      </w:r>
      <w:r>
        <w:rPr>
          <w:rFonts w:ascii="Arial" w:cs="Arial" w:eastAsia="Arial" w:hAnsi="Arial"/>
          <w:sz w:val="18"/>
          <w:szCs w:val="18"/>
          <w:b w:val="1"/>
          <w:bCs w:val="1"/>
          <w:color w:val="4A7EBB"/>
        </w:rPr>
        <w:t xml:space="preserve"> </w:t>
      </w:r>
      <w:r>
        <w:rPr>
          <w:rFonts w:ascii="Arial" w:cs="Arial" w:eastAsia="Arial" w:hAnsi="Arial"/>
          <w:sz w:val="18"/>
          <w:szCs w:val="18"/>
          <w:color w:val="000000"/>
        </w:rPr>
        <w:t>compete with public and private apparel companies and other businesses for talent. As a result, we offer a competitive compensation program, which enables us to attract and retain highly qualified managerial and executive talent necessary to achieve our objectives.</w:t>
      </w: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BASE SALARY</w:t>
      </w:r>
    </w:p>
    <w:p>
      <w:pPr>
        <w:spacing w:after="0" w:line="16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Base salaries provide a competitive rate of fixed pay and help us to attract and retain executives needed to manage our business for the benefit of our stockholders. In fiscal 2026, two of our five Named Executive Officers received base salary increases. Morris Goldfarb received a salary increase in connection with the renewal of his 3-year employment agreement. Dana Perlman received a salary increase in connection with her strong performance since she joined the Company at the beginning of fiscal 2025.</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top w:val="single" w:sz="8" w:color="4A7EBB"/>
            </w:tcBorders>
            <w:shd w:val="clear" w:color="auto" w:fill="DBE5F1"/>
          </w:tcPr>
          <w:p>
            <w:pPr>
              <w:spacing w:after="0"/>
              <w:rPr>
                <w:sz w:val="17"/>
                <w:szCs w:val="17"/>
                <w:color w:val="auto"/>
              </w:rPr>
            </w:pPr>
          </w:p>
        </w:tc>
        <w:tc>
          <w:tcPr>
            <w:tcW w:w="1240" w:type="dxa"/>
            <w:vAlign w:val="bottom"/>
            <w:tcBorders>
              <w:top w:val="single" w:sz="8" w:color="4A7EBB"/>
            </w:tcBorders>
            <w:shd w:val="clear" w:color="auto" w:fill="DBE5F1"/>
          </w:tcPr>
          <w:p>
            <w:pPr>
              <w:ind w:left="80"/>
              <w:spacing w:after="0"/>
              <w:rPr>
                <w:sz w:val="20"/>
                <w:szCs w:val="20"/>
                <w:color w:val="auto"/>
              </w:rPr>
            </w:pPr>
            <w:r>
              <w:rPr>
                <w:rFonts w:ascii="Arial" w:cs="Arial" w:eastAsia="Arial" w:hAnsi="Arial"/>
                <w:sz w:val="16"/>
                <w:szCs w:val="16"/>
                <w:b w:val="1"/>
                <w:bCs w:val="1"/>
                <w:color w:val="auto"/>
              </w:rPr>
              <w:t>​​​ Fiscal 2025</w:t>
            </w:r>
          </w:p>
        </w:tc>
        <w:tc>
          <w:tcPr>
            <w:tcW w:w="1540" w:type="dxa"/>
            <w:vAlign w:val="bottom"/>
            <w:tcBorders>
              <w:top w:val="single" w:sz="8" w:color="4A7EBB"/>
            </w:tcBorders>
            <w:shd w:val="clear" w:color="auto" w:fill="DBE5F1"/>
          </w:tcPr>
          <w:p>
            <w:pPr>
              <w:ind w:left="100"/>
              <w:spacing w:after="0"/>
              <w:rPr>
                <w:sz w:val="20"/>
                <w:szCs w:val="20"/>
                <w:color w:val="auto"/>
              </w:rPr>
            </w:pPr>
            <w:r>
              <w:rPr>
                <w:rFonts w:ascii="Arial" w:cs="Arial" w:eastAsia="Arial" w:hAnsi="Arial"/>
                <w:sz w:val="16"/>
                <w:szCs w:val="16"/>
                <w:b w:val="1"/>
                <w:bCs w:val="1"/>
                <w:color w:val="auto"/>
              </w:rPr>
              <w:t>​​​ Fiscal 2026  ​​​</w:t>
            </w:r>
          </w:p>
        </w:tc>
        <w:tc>
          <w:tcPr>
            <w:tcW w:w="1020" w:type="dxa"/>
            <w:vAlign w:val="bottom"/>
            <w:tcBorders>
              <w:top w:val="single" w:sz="8" w:color="4A7EBB"/>
            </w:tcBorders>
            <w:shd w:val="clear" w:color="auto" w:fill="DBE5F1"/>
          </w:tcPr>
          <w:p>
            <w:pPr>
              <w:jc w:val="center"/>
              <w:spacing w:after="0"/>
              <w:rPr>
                <w:sz w:val="20"/>
                <w:szCs w:val="20"/>
                <w:color w:val="auto"/>
              </w:rPr>
            </w:pPr>
            <w:r>
              <w:rPr>
                <w:rFonts w:ascii="Arial" w:cs="Arial" w:eastAsia="Arial" w:hAnsi="Arial"/>
                <w:sz w:val="16"/>
                <w:szCs w:val="16"/>
                <w:b w:val="1"/>
                <w:bCs w:val="1"/>
                <w:color w:val="auto"/>
              </w:rPr>
              <w:t>Salary</w:t>
            </w:r>
          </w:p>
        </w:tc>
        <w:tc>
          <w:tcPr>
            <w:tcW w:w="1260" w:type="dxa"/>
            <w:vAlign w:val="bottom"/>
            <w:tcBorders>
              <w:top w:val="single" w:sz="8" w:color="4A7EBB"/>
            </w:tcBorders>
            <w:shd w:val="clear" w:color="auto" w:fill="DBE5F1"/>
          </w:tcPr>
          <w:p>
            <w:pPr>
              <w:ind w:left="80"/>
              <w:spacing w:after="0"/>
              <w:rPr>
                <w:sz w:val="20"/>
                <w:szCs w:val="20"/>
                <w:color w:val="auto"/>
              </w:rPr>
            </w:pPr>
            <w:r>
              <w:rPr>
                <w:rFonts w:ascii="Arial" w:cs="Arial" w:eastAsia="Arial" w:hAnsi="Arial"/>
                <w:sz w:val="16"/>
                <w:szCs w:val="16"/>
                <w:b w:val="1"/>
                <w:bCs w:val="1"/>
                <w:color w:val="auto"/>
              </w:rPr>
              <w:t>​​​   Salary</w:t>
            </w:r>
          </w:p>
        </w:tc>
      </w:tr>
      <w:tr>
        <w:trPr>
          <w:trHeight w:val="189"/>
        </w:trPr>
        <w:tc>
          <w:tcPr>
            <w:tcW w:w="4860" w:type="dxa"/>
            <w:vAlign w:val="bottom"/>
            <w:tcBorders>
              <w:bottom w:val="single" w:sz="8" w:color="4A7EBB"/>
            </w:tcBorders>
            <w:shd w:val="clear" w:color="auto" w:fill="DBE5F1"/>
          </w:tcPr>
          <w:p>
            <w:pPr>
              <w:ind w:left="120"/>
              <w:spacing w:after="0"/>
              <w:rPr>
                <w:sz w:val="20"/>
                <w:szCs w:val="20"/>
                <w:color w:val="auto"/>
              </w:rPr>
            </w:pPr>
            <w:r>
              <w:rPr>
                <w:rFonts w:ascii="Arial" w:cs="Arial" w:eastAsia="Arial" w:hAnsi="Arial"/>
                <w:sz w:val="16"/>
                <w:szCs w:val="16"/>
                <w:b w:val="1"/>
                <w:bCs w:val="1"/>
                <w:color w:val="auto"/>
              </w:rPr>
              <w:t>Name</w:t>
            </w:r>
          </w:p>
        </w:tc>
        <w:tc>
          <w:tcPr>
            <w:tcW w:w="1240" w:type="dxa"/>
            <w:vAlign w:val="bottom"/>
            <w:tcBorders>
              <w:bottom w:val="single" w:sz="8" w:color="4A7EBB"/>
            </w:tcBorders>
            <w:shd w:val="clear" w:color="auto" w:fill="DBE5F1"/>
          </w:tcPr>
          <w:p>
            <w:pPr>
              <w:ind w:left="360"/>
              <w:spacing w:after="0"/>
              <w:rPr>
                <w:sz w:val="20"/>
                <w:szCs w:val="20"/>
                <w:color w:val="auto"/>
              </w:rPr>
            </w:pPr>
            <w:r>
              <w:rPr>
                <w:rFonts w:ascii="Arial" w:cs="Arial" w:eastAsia="Arial" w:hAnsi="Arial"/>
                <w:sz w:val="16"/>
                <w:szCs w:val="16"/>
                <w:b w:val="1"/>
                <w:bCs w:val="1"/>
                <w:color w:val="auto"/>
              </w:rPr>
              <w:t>Salary ($)</w:t>
            </w:r>
          </w:p>
        </w:tc>
        <w:tc>
          <w:tcPr>
            <w:tcW w:w="1540" w:type="dxa"/>
            <w:vAlign w:val="bottom"/>
            <w:tcBorders>
              <w:bottom w:val="single" w:sz="8" w:color="4A7EBB"/>
            </w:tcBorders>
            <w:shd w:val="clear" w:color="auto" w:fill="DBE5F1"/>
          </w:tcPr>
          <w:p>
            <w:pPr>
              <w:ind w:left="380"/>
              <w:spacing w:after="0"/>
              <w:rPr>
                <w:sz w:val="20"/>
                <w:szCs w:val="20"/>
                <w:color w:val="auto"/>
              </w:rPr>
            </w:pPr>
            <w:r>
              <w:rPr>
                <w:rFonts w:ascii="Arial" w:cs="Arial" w:eastAsia="Arial" w:hAnsi="Arial"/>
                <w:sz w:val="16"/>
                <w:szCs w:val="16"/>
                <w:b w:val="1"/>
                <w:bCs w:val="1"/>
                <w:color w:val="auto"/>
              </w:rPr>
              <w:t>Salary ($)</w:t>
            </w:r>
          </w:p>
        </w:tc>
        <w:tc>
          <w:tcPr>
            <w:tcW w:w="1020" w:type="dxa"/>
            <w:vAlign w:val="bottom"/>
            <w:tcBorders>
              <w:bottom w:val="single" w:sz="8" w:color="4A7EBB"/>
            </w:tcBorders>
            <w:shd w:val="clear" w:color="auto" w:fill="DBE5F1"/>
          </w:tcPr>
          <w:p>
            <w:pPr>
              <w:jc w:val="center"/>
              <w:spacing w:after="0"/>
              <w:rPr>
                <w:sz w:val="20"/>
                <w:szCs w:val="20"/>
                <w:color w:val="auto"/>
              </w:rPr>
            </w:pPr>
            <w:r>
              <w:rPr>
                <w:rFonts w:ascii="Arial" w:cs="Arial" w:eastAsia="Arial" w:hAnsi="Arial"/>
                <w:sz w:val="16"/>
                <w:szCs w:val="16"/>
                <w:b w:val="1"/>
                <w:bCs w:val="1"/>
                <w:color w:val="auto"/>
              </w:rPr>
              <w:t>Increase ($)</w:t>
            </w:r>
          </w:p>
        </w:tc>
        <w:tc>
          <w:tcPr>
            <w:tcW w:w="1260" w:type="dxa"/>
            <w:vAlign w:val="bottom"/>
            <w:tcBorders>
              <w:bottom w:val="single" w:sz="8" w:color="4A7EBB"/>
            </w:tcBorders>
            <w:shd w:val="clear" w:color="auto" w:fill="DBE5F1"/>
          </w:tcPr>
          <w:p>
            <w:pPr>
              <w:ind w:left="240"/>
              <w:spacing w:after="0"/>
              <w:rPr>
                <w:sz w:val="20"/>
                <w:szCs w:val="20"/>
                <w:color w:val="auto"/>
              </w:rPr>
            </w:pPr>
            <w:r>
              <w:rPr>
                <w:rFonts w:ascii="Arial" w:cs="Arial" w:eastAsia="Arial" w:hAnsi="Arial"/>
                <w:sz w:val="16"/>
                <w:szCs w:val="16"/>
                <w:b w:val="1"/>
                <w:bCs w:val="1"/>
                <w:color w:val="auto"/>
              </w:rPr>
              <w:t>Increase (%)</w:t>
            </w:r>
          </w:p>
        </w:tc>
      </w:tr>
      <w:tr>
        <w:trPr>
          <w:trHeight w:val="196"/>
        </w:trPr>
        <w:tc>
          <w:tcPr>
            <w:tcW w:w="4860" w:type="dxa"/>
            <w:vAlign w:val="bottom"/>
            <w:tcBorders>
              <w:bottom w:val="single" w:sz="8" w:color="4A7EBB"/>
            </w:tcBorders>
          </w:tcPr>
          <w:p>
            <w:pPr>
              <w:ind w:left="120"/>
              <w:spacing w:after="0"/>
              <w:rPr>
                <w:sz w:val="20"/>
                <w:szCs w:val="20"/>
                <w:color w:val="auto"/>
              </w:rPr>
            </w:pPr>
            <w:r>
              <w:rPr>
                <w:rFonts w:ascii="Arial" w:cs="Arial" w:eastAsia="Arial" w:hAnsi="Arial"/>
                <w:sz w:val="16"/>
                <w:szCs w:val="16"/>
                <w:b w:val="1"/>
                <w:bCs w:val="1"/>
                <w:color w:val="auto"/>
              </w:rPr>
              <w:t>Morris Goldfarb</w:t>
            </w:r>
          </w:p>
        </w:tc>
        <w:tc>
          <w:tcPr>
            <w:tcW w:w="1240" w:type="dxa"/>
            <w:vAlign w:val="bottom"/>
            <w:tcBorders>
              <w:bottom w:val="single" w:sz="8" w:color="4A7EBB"/>
            </w:tcBorders>
          </w:tcPr>
          <w:p>
            <w:pPr>
              <w:jc w:val="center"/>
              <w:ind w:left="159"/>
              <w:spacing w:after="0"/>
              <w:rPr>
                <w:sz w:val="20"/>
                <w:szCs w:val="20"/>
                <w:color w:val="auto"/>
              </w:rPr>
            </w:pPr>
            <w:r>
              <w:rPr>
                <w:rFonts w:ascii="Arial" w:cs="Arial" w:eastAsia="Arial" w:hAnsi="Arial"/>
                <w:sz w:val="16"/>
                <w:szCs w:val="16"/>
                <w:color w:val="auto"/>
              </w:rPr>
              <w:t>1,350,000</w:t>
            </w:r>
          </w:p>
        </w:tc>
        <w:tc>
          <w:tcPr>
            <w:tcW w:w="1540" w:type="dxa"/>
            <w:vAlign w:val="bottom"/>
            <w:tcBorders>
              <w:bottom w:val="single" w:sz="8" w:color="4A7EBB"/>
            </w:tcBorders>
          </w:tcPr>
          <w:p>
            <w:pPr>
              <w:jc w:val="center"/>
              <w:spacing w:after="0"/>
              <w:rPr>
                <w:sz w:val="20"/>
                <w:szCs w:val="20"/>
                <w:color w:val="auto"/>
              </w:rPr>
            </w:pPr>
            <w:r>
              <w:rPr>
                <w:rFonts w:ascii="Arial" w:cs="Arial" w:eastAsia="Arial" w:hAnsi="Arial"/>
                <w:sz w:val="16"/>
                <w:szCs w:val="16"/>
                <w:color w:val="auto"/>
              </w:rPr>
              <w:t>1,450,000</w:t>
            </w:r>
          </w:p>
        </w:tc>
        <w:tc>
          <w:tcPr>
            <w:tcW w:w="1020" w:type="dxa"/>
            <w:vAlign w:val="bottom"/>
            <w:tcBorders>
              <w:bottom w:val="single" w:sz="8" w:color="4A7EBB"/>
            </w:tcBorders>
          </w:tcPr>
          <w:p>
            <w:pPr>
              <w:jc w:val="center"/>
              <w:spacing w:after="0"/>
              <w:rPr>
                <w:sz w:val="20"/>
                <w:szCs w:val="20"/>
                <w:color w:val="auto"/>
              </w:rPr>
            </w:pPr>
            <w:r>
              <w:rPr>
                <w:rFonts w:ascii="Arial" w:cs="Arial" w:eastAsia="Arial" w:hAnsi="Arial"/>
                <w:sz w:val="16"/>
                <w:szCs w:val="16"/>
                <w:color w:val="auto"/>
              </w:rPr>
              <w:t>100,000</w:t>
            </w:r>
          </w:p>
        </w:tc>
        <w:tc>
          <w:tcPr>
            <w:tcW w:w="1260" w:type="dxa"/>
            <w:vAlign w:val="bottom"/>
            <w:tcBorders>
              <w:bottom w:val="single" w:sz="8" w:color="4A7EBB"/>
            </w:tcBorders>
          </w:tcPr>
          <w:p>
            <w:pPr>
              <w:jc w:val="center"/>
              <w:ind w:left="159"/>
              <w:spacing w:after="0"/>
              <w:rPr>
                <w:sz w:val="20"/>
                <w:szCs w:val="20"/>
                <w:color w:val="auto"/>
              </w:rPr>
            </w:pPr>
            <w:r>
              <w:rPr>
                <w:rFonts w:ascii="Arial" w:cs="Arial" w:eastAsia="Arial" w:hAnsi="Arial"/>
                <w:sz w:val="16"/>
                <w:szCs w:val="16"/>
                <w:color w:val="auto"/>
                <w:w w:val="98"/>
              </w:rPr>
              <w:t>7.4</w:t>
            </w:r>
          </w:p>
        </w:tc>
      </w:tr>
      <w:tr>
        <w:trPr>
          <w:trHeight w:val="210"/>
        </w:trPr>
        <w:tc>
          <w:tcPr>
            <w:tcW w:w="4860" w:type="dxa"/>
            <w:vAlign w:val="bottom"/>
            <w:tcBorders>
              <w:bottom w:val="single" w:sz="8" w:color="4A7EBB"/>
            </w:tcBorders>
            <w:shd w:val="clear" w:color="auto" w:fill="F2F2F2"/>
          </w:tcPr>
          <w:p>
            <w:pPr>
              <w:ind w:left="120"/>
              <w:spacing w:after="0"/>
              <w:rPr>
                <w:sz w:val="20"/>
                <w:szCs w:val="20"/>
                <w:color w:val="auto"/>
              </w:rPr>
            </w:pPr>
            <w:r>
              <w:rPr>
                <w:rFonts w:ascii="Arial" w:cs="Arial" w:eastAsia="Arial" w:hAnsi="Arial"/>
                <w:sz w:val="16"/>
                <w:szCs w:val="16"/>
                <w:b w:val="1"/>
                <w:bCs w:val="1"/>
                <w:color w:val="auto"/>
              </w:rPr>
              <w:t>Sammy Aaron</w:t>
            </w:r>
          </w:p>
        </w:tc>
        <w:tc>
          <w:tcPr>
            <w:tcW w:w="1240" w:type="dxa"/>
            <w:vAlign w:val="bottom"/>
            <w:tcBorders>
              <w:bottom w:val="single" w:sz="8" w:color="4A7EBB"/>
            </w:tcBorders>
            <w:shd w:val="clear" w:color="auto" w:fill="F2F2F2"/>
          </w:tcPr>
          <w:p>
            <w:pPr>
              <w:jc w:val="center"/>
              <w:ind w:left="159"/>
              <w:spacing w:after="0"/>
              <w:rPr>
                <w:sz w:val="20"/>
                <w:szCs w:val="20"/>
                <w:color w:val="auto"/>
              </w:rPr>
            </w:pPr>
            <w:r>
              <w:rPr>
                <w:rFonts w:ascii="Arial" w:cs="Arial" w:eastAsia="Arial" w:hAnsi="Arial"/>
                <w:sz w:val="16"/>
                <w:szCs w:val="16"/>
                <w:color w:val="auto"/>
              </w:rPr>
              <w:t>1,000,000</w:t>
            </w:r>
          </w:p>
        </w:tc>
        <w:tc>
          <w:tcPr>
            <w:tcW w:w="1540" w:type="dxa"/>
            <w:vAlign w:val="bottom"/>
            <w:tcBorders>
              <w:bottom w:val="single" w:sz="8" w:color="4A7EBB"/>
            </w:tcBorders>
            <w:shd w:val="clear" w:color="auto" w:fill="F2F2F2"/>
          </w:tcPr>
          <w:p>
            <w:pPr>
              <w:jc w:val="center"/>
              <w:spacing w:after="0"/>
              <w:rPr>
                <w:sz w:val="20"/>
                <w:szCs w:val="20"/>
                <w:color w:val="auto"/>
              </w:rPr>
            </w:pPr>
            <w:r>
              <w:rPr>
                <w:rFonts w:ascii="Arial" w:cs="Arial" w:eastAsia="Arial" w:hAnsi="Arial"/>
                <w:sz w:val="16"/>
                <w:szCs w:val="16"/>
                <w:color w:val="auto"/>
              </w:rPr>
              <w:t>1,000,000</w:t>
            </w:r>
          </w:p>
        </w:tc>
        <w:tc>
          <w:tcPr>
            <w:tcW w:w="1020" w:type="dxa"/>
            <w:vAlign w:val="bottom"/>
            <w:tcBorders>
              <w:bottom w:val="single" w:sz="8" w:color="4A7EBB"/>
            </w:tcBorders>
            <w:shd w:val="clear" w:color="auto" w:fill="F2F2F2"/>
          </w:tcPr>
          <w:p>
            <w:pPr>
              <w:jc w:val="center"/>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4A7EBB"/>
            </w:tcBorders>
            <w:shd w:val="clear" w:color="auto" w:fill="F2F2F2"/>
          </w:tcPr>
          <w:p>
            <w:pPr>
              <w:jc w:val="center"/>
              <w:ind w:left="139"/>
              <w:spacing w:after="0"/>
              <w:rPr>
                <w:sz w:val="20"/>
                <w:szCs w:val="20"/>
                <w:color w:val="auto"/>
              </w:rPr>
            </w:pPr>
            <w:r>
              <w:rPr>
                <w:rFonts w:ascii="Arial" w:cs="Arial" w:eastAsia="Arial" w:hAnsi="Arial"/>
                <w:sz w:val="16"/>
                <w:szCs w:val="16"/>
                <w:color w:val="auto"/>
                <w:w w:val="99"/>
              </w:rPr>
              <w:t>—</w:t>
            </w:r>
          </w:p>
        </w:tc>
      </w:tr>
      <w:tr>
        <w:trPr>
          <w:trHeight w:val="209"/>
        </w:trPr>
        <w:tc>
          <w:tcPr>
            <w:tcW w:w="4860" w:type="dxa"/>
            <w:vAlign w:val="bottom"/>
            <w:tcBorders>
              <w:bottom w:val="single" w:sz="8" w:color="4A7EBB"/>
            </w:tcBorders>
          </w:tcPr>
          <w:p>
            <w:pPr>
              <w:ind w:left="120"/>
              <w:spacing w:after="0"/>
              <w:rPr>
                <w:sz w:val="20"/>
                <w:szCs w:val="20"/>
                <w:color w:val="auto"/>
              </w:rPr>
            </w:pPr>
            <w:r>
              <w:rPr>
                <w:rFonts w:ascii="Arial" w:cs="Arial" w:eastAsia="Arial" w:hAnsi="Arial"/>
                <w:sz w:val="16"/>
                <w:szCs w:val="16"/>
                <w:b w:val="1"/>
                <w:bCs w:val="1"/>
                <w:color w:val="auto"/>
              </w:rPr>
              <w:t>Jeffrey Goldfarb</w:t>
            </w:r>
          </w:p>
        </w:tc>
        <w:tc>
          <w:tcPr>
            <w:tcW w:w="1240" w:type="dxa"/>
            <w:vAlign w:val="bottom"/>
            <w:tcBorders>
              <w:bottom w:val="single" w:sz="8" w:color="4A7EBB"/>
            </w:tcBorders>
          </w:tcPr>
          <w:p>
            <w:pPr>
              <w:jc w:val="center"/>
              <w:ind w:left="159"/>
              <w:spacing w:after="0"/>
              <w:rPr>
                <w:sz w:val="20"/>
                <w:szCs w:val="20"/>
                <w:color w:val="auto"/>
              </w:rPr>
            </w:pPr>
            <w:r>
              <w:rPr>
                <w:rFonts w:ascii="Arial" w:cs="Arial" w:eastAsia="Arial" w:hAnsi="Arial"/>
                <w:sz w:val="16"/>
                <w:szCs w:val="16"/>
                <w:color w:val="auto"/>
              </w:rPr>
              <w:t>950,000</w:t>
            </w:r>
          </w:p>
        </w:tc>
        <w:tc>
          <w:tcPr>
            <w:tcW w:w="1540" w:type="dxa"/>
            <w:vAlign w:val="bottom"/>
            <w:tcBorders>
              <w:bottom w:val="single" w:sz="8" w:color="4A7EBB"/>
            </w:tcBorders>
          </w:tcPr>
          <w:p>
            <w:pPr>
              <w:jc w:val="center"/>
              <w:spacing w:after="0"/>
              <w:rPr>
                <w:sz w:val="20"/>
                <w:szCs w:val="20"/>
                <w:color w:val="auto"/>
              </w:rPr>
            </w:pPr>
            <w:r>
              <w:rPr>
                <w:rFonts w:ascii="Arial" w:cs="Arial" w:eastAsia="Arial" w:hAnsi="Arial"/>
                <w:sz w:val="16"/>
                <w:szCs w:val="16"/>
                <w:color w:val="auto"/>
              </w:rPr>
              <w:t>950,000</w:t>
            </w:r>
          </w:p>
        </w:tc>
        <w:tc>
          <w:tcPr>
            <w:tcW w:w="1020" w:type="dxa"/>
            <w:vAlign w:val="bottom"/>
            <w:tcBorders>
              <w:bottom w:val="single" w:sz="8" w:color="4A7EBB"/>
            </w:tcBorders>
          </w:tcPr>
          <w:p>
            <w:pPr>
              <w:jc w:val="center"/>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4A7EBB"/>
            </w:tcBorders>
          </w:tcPr>
          <w:p>
            <w:pPr>
              <w:jc w:val="center"/>
              <w:ind w:left="139"/>
              <w:spacing w:after="0"/>
              <w:rPr>
                <w:sz w:val="20"/>
                <w:szCs w:val="20"/>
                <w:color w:val="auto"/>
              </w:rPr>
            </w:pPr>
            <w:r>
              <w:rPr>
                <w:rFonts w:ascii="Arial" w:cs="Arial" w:eastAsia="Arial" w:hAnsi="Arial"/>
                <w:sz w:val="16"/>
                <w:szCs w:val="16"/>
                <w:color w:val="auto"/>
                <w:w w:val="99"/>
              </w:rPr>
              <w:t>—</w:t>
            </w:r>
          </w:p>
        </w:tc>
      </w:tr>
      <w:tr>
        <w:trPr>
          <w:trHeight w:val="210"/>
        </w:trPr>
        <w:tc>
          <w:tcPr>
            <w:tcW w:w="4860" w:type="dxa"/>
            <w:vAlign w:val="bottom"/>
            <w:tcBorders>
              <w:bottom w:val="single" w:sz="8" w:color="4A7EBB"/>
            </w:tcBorders>
            <w:shd w:val="clear" w:color="auto" w:fill="F2F2F2"/>
          </w:tcPr>
          <w:p>
            <w:pPr>
              <w:ind w:left="120"/>
              <w:spacing w:after="0"/>
              <w:rPr>
                <w:sz w:val="20"/>
                <w:szCs w:val="20"/>
                <w:color w:val="auto"/>
              </w:rPr>
            </w:pPr>
            <w:r>
              <w:rPr>
                <w:rFonts w:ascii="Arial" w:cs="Arial" w:eastAsia="Arial" w:hAnsi="Arial"/>
                <w:sz w:val="16"/>
                <w:szCs w:val="16"/>
                <w:b w:val="1"/>
                <w:bCs w:val="1"/>
                <w:color w:val="auto"/>
              </w:rPr>
              <w:t>Dana Perlman</w:t>
            </w:r>
          </w:p>
        </w:tc>
        <w:tc>
          <w:tcPr>
            <w:tcW w:w="1240" w:type="dxa"/>
            <w:vAlign w:val="bottom"/>
            <w:tcBorders>
              <w:bottom w:val="single" w:sz="8" w:color="4A7EBB"/>
            </w:tcBorders>
            <w:shd w:val="clear" w:color="auto" w:fill="F2F2F2"/>
          </w:tcPr>
          <w:p>
            <w:pPr>
              <w:jc w:val="center"/>
              <w:ind w:left="159"/>
              <w:spacing w:after="0"/>
              <w:rPr>
                <w:sz w:val="20"/>
                <w:szCs w:val="20"/>
                <w:color w:val="auto"/>
              </w:rPr>
            </w:pPr>
            <w:r>
              <w:rPr>
                <w:rFonts w:ascii="Arial" w:cs="Arial" w:eastAsia="Arial" w:hAnsi="Arial"/>
                <w:sz w:val="16"/>
                <w:szCs w:val="16"/>
                <w:color w:val="auto"/>
              </w:rPr>
              <w:t>750,000</w:t>
            </w:r>
          </w:p>
        </w:tc>
        <w:tc>
          <w:tcPr>
            <w:tcW w:w="1540" w:type="dxa"/>
            <w:vAlign w:val="bottom"/>
            <w:tcBorders>
              <w:bottom w:val="single" w:sz="8" w:color="4A7EBB"/>
            </w:tcBorders>
            <w:shd w:val="clear" w:color="auto" w:fill="F2F2F2"/>
          </w:tcPr>
          <w:p>
            <w:pPr>
              <w:jc w:val="center"/>
              <w:spacing w:after="0"/>
              <w:rPr>
                <w:sz w:val="20"/>
                <w:szCs w:val="20"/>
                <w:color w:val="auto"/>
              </w:rPr>
            </w:pPr>
            <w:r>
              <w:rPr>
                <w:rFonts w:ascii="Arial" w:cs="Arial" w:eastAsia="Arial" w:hAnsi="Arial"/>
                <w:sz w:val="16"/>
                <w:szCs w:val="16"/>
                <w:color w:val="auto"/>
              </w:rPr>
              <w:t>850,000</w:t>
            </w:r>
          </w:p>
        </w:tc>
        <w:tc>
          <w:tcPr>
            <w:tcW w:w="1020" w:type="dxa"/>
            <w:vAlign w:val="bottom"/>
            <w:tcBorders>
              <w:bottom w:val="single" w:sz="8" w:color="4A7EBB"/>
            </w:tcBorders>
            <w:shd w:val="clear" w:color="auto" w:fill="F2F2F2"/>
          </w:tcPr>
          <w:p>
            <w:pPr>
              <w:jc w:val="center"/>
              <w:spacing w:after="0"/>
              <w:rPr>
                <w:sz w:val="20"/>
                <w:szCs w:val="20"/>
                <w:color w:val="auto"/>
              </w:rPr>
            </w:pPr>
            <w:r>
              <w:rPr>
                <w:rFonts w:ascii="Arial" w:cs="Arial" w:eastAsia="Arial" w:hAnsi="Arial"/>
                <w:sz w:val="16"/>
                <w:szCs w:val="16"/>
                <w:color w:val="auto"/>
              </w:rPr>
              <w:t>100,000</w:t>
            </w:r>
          </w:p>
        </w:tc>
        <w:tc>
          <w:tcPr>
            <w:tcW w:w="1260" w:type="dxa"/>
            <w:vAlign w:val="bottom"/>
            <w:tcBorders>
              <w:bottom w:val="single" w:sz="8" w:color="4A7EBB"/>
            </w:tcBorders>
            <w:shd w:val="clear" w:color="auto" w:fill="F2F2F2"/>
          </w:tcPr>
          <w:p>
            <w:pPr>
              <w:jc w:val="center"/>
              <w:ind w:left="139"/>
              <w:spacing w:after="0"/>
              <w:rPr>
                <w:sz w:val="20"/>
                <w:szCs w:val="20"/>
                <w:color w:val="auto"/>
              </w:rPr>
            </w:pPr>
            <w:r>
              <w:rPr>
                <w:rFonts w:ascii="Arial" w:cs="Arial" w:eastAsia="Arial" w:hAnsi="Arial"/>
                <w:sz w:val="16"/>
                <w:szCs w:val="16"/>
                <w:color w:val="auto"/>
              </w:rPr>
              <w:t>13.3</w:t>
            </w:r>
          </w:p>
        </w:tc>
      </w:tr>
      <w:tr>
        <w:trPr>
          <w:trHeight w:val="210"/>
        </w:trPr>
        <w:tc>
          <w:tcPr>
            <w:tcW w:w="4860" w:type="dxa"/>
            <w:vAlign w:val="bottom"/>
            <w:tcBorders>
              <w:bottom w:val="single" w:sz="8" w:color="4A7EBB"/>
            </w:tcBorders>
          </w:tcPr>
          <w:p>
            <w:pPr>
              <w:ind w:left="120"/>
              <w:spacing w:after="0"/>
              <w:rPr>
                <w:sz w:val="20"/>
                <w:szCs w:val="20"/>
                <w:color w:val="auto"/>
              </w:rPr>
            </w:pPr>
            <w:r>
              <w:rPr>
                <w:rFonts w:ascii="Arial" w:cs="Arial" w:eastAsia="Arial" w:hAnsi="Arial"/>
                <w:sz w:val="16"/>
                <w:szCs w:val="16"/>
                <w:b w:val="1"/>
                <w:bCs w:val="1"/>
                <w:color w:val="auto"/>
              </w:rPr>
              <w:t>Neal S. Nackman</w:t>
            </w:r>
          </w:p>
        </w:tc>
        <w:tc>
          <w:tcPr>
            <w:tcW w:w="1240" w:type="dxa"/>
            <w:vAlign w:val="bottom"/>
            <w:tcBorders>
              <w:bottom w:val="single" w:sz="8" w:color="4A7EBB"/>
            </w:tcBorders>
          </w:tcPr>
          <w:p>
            <w:pPr>
              <w:jc w:val="center"/>
              <w:ind w:left="159"/>
              <w:spacing w:after="0"/>
              <w:rPr>
                <w:sz w:val="20"/>
                <w:szCs w:val="20"/>
                <w:color w:val="auto"/>
              </w:rPr>
            </w:pPr>
            <w:r>
              <w:rPr>
                <w:rFonts w:ascii="Arial" w:cs="Arial" w:eastAsia="Arial" w:hAnsi="Arial"/>
                <w:sz w:val="16"/>
                <w:szCs w:val="16"/>
                <w:color w:val="auto"/>
              </w:rPr>
              <w:t>750,000</w:t>
            </w:r>
          </w:p>
        </w:tc>
        <w:tc>
          <w:tcPr>
            <w:tcW w:w="1540" w:type="dxa"/>
            <w:vAlign w:val="bottom"/>
            <w:tcBorders>
              <w:bottom w:val="single" w:sz="8" w:color="4A7EBB"/>
            </w:tcBorders>
          </w:tcPr>
          <w:p>
            <w:pPr>
              <w:jc w:val="center"/>
              <w:spacing w:after="0"/>
              <w:rPr>
                <w:sz w:val="20"/>
                <w:szCs w:val="20"/>
                <w:color w:val="auto"/>
              </w:rPr>
            </w:pPr>
            <w:r>
              <w:rPr>
                <w:rFonts w:ascii="Arial" w:cs="Arial" w:eastAsia="Arial" w:hAnsi="Arial"/>
                <w:sz w:val="16"/>
                <w:szCs w:val="16"/>
                <w:color w:val="auto"/>
              </w:rPr>
              <w:t>750,000</w:t>
            </w:r>
          </w:p>
        </w:tc>
        <w:tc>
          <w:tcPr>
            <w:tcW w:w="1020" w:type="dxa"/>
            <w:vAlign w:val="bottom"/>
            <w:tcBorders>
              <w:bottom w:val="single" w:sz="8" w:color="4A7EBB"/>
            </w:tcBorders>
          </w:tcPr>
          <w:p>
            <w:pPr>
              <w:jc w:val="center"/>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4A7EBB"/>
            </w:tcBorders>
          </w:tcPr>
          <w:p>
            <w:pPr>
              <w:jc w:val="center"/>
              <w:ind w:left="139"/>
              <w:spacing w:after="0"/>
              <w:rPr>
                <w:sz w:val="20"/>
                <w:szCs w:val="20"/>
                <w:color w:val="auto"/>
              </w:rPr>
            </w:pPr>
            <w:r>
              <w:rPr>
                <w:rFonts w:ascii="Arial" w:cs="Arial" w:eastAsia="Arial" w:hAnsi="Arial"/>
                <w:sz w:val="16"/>
                <w:szCs w:val="16"/>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5612130</wp:posOffset>
            </wp:positionH>
            <wp:positionV relativeFrom="paragraph">
              <wp:posOffset>-727710</wp:posOffset>
            </wp:positionV>
            <wp:extent cx="8255" cy="1454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255" cy="145415"/>
                    </a:xfrm>
                    <a:prstGeom prst="rect">
                      <a:avLst/>
                    </a:prstGeom>
                    <a:noFill/>
                  </pic:spPr>
                </pic:pic>
              </a:graphicData>
            </a:graphic>
          </wp:anchor>
        </w:drawing>
        <w:drawing>
          <wp:anchor simplePos="0" relativeHeight="251657728" behindDoc="1" locked="0" layoutInCell="0" allowOverlap="1">
            <wp:simplePos x="0" y="0"/>
            <wp:positionH relativeFrom="column">
              <wp:posOffset>4806315</wp:posOffset>
            </wp:positionH>
            <wp:positionV relativeFrom="paragraph">
              <wp:posOffset>-727710</wp:posOffset>
            </wp:positionV>
            <wp:extent cx="8890" cy="1454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890" cy="145415"/>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ANNUAL CASH INCENTIVES FOR OUR NAMED EXECUTIVE OFFICERS</w:t>
      </w:r>
    </w:p>
    <w:p>
      <w:pPr>
        <w:spacing w:after="0" w:line="162"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Company’s annual cash incentive program includes a target award opportunity for each executive. Actual awards range from 0% to 200% of the target award based on performance against Adjusted Pre-tax Income targets. The award is subject to a +/-5% modifier based on change in basic common stock outstanding and a +/-15% modifier based on the change in annual Adjusted EPS. Payouts under the annual cash incentive plan are capped at 241.5% of target (i.e., 200% x 105% x 115% at maximum on three metrics) overall. 100% of the annual cash incentive awards to Morris Goldfarb, Sammy Aaron and Jeffrey Goldfarb were tied to achievement of these financial metrics. For Neal Nackman and Dana Perlman, 60% of the award depended on these financial metrics and 40% depended on an evaluation of their individual performance and contribution.</w:t>
      </w:r>
    </w:p>
    <w:p>
      <w:pPr>
        <w:spacing w:after="0" w:line="18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Under their employment agreements, the target annual incentive opportunity is $4.0 million for Morris Goldfarb, $3.0 million for Sammy Aaron and $1.5 million for Jeffrey Goldfarb. At the beginning of fiscal 2026, the Compensation Committee approved a target for adjusted pre-tax income of $252.2 million based on the in-depth review of the budget by the Audit Committee which advised the Compensation Committee that the target was appropriately challenging.</w:t>
      </w:r>
    </w:p>
    <w:p>
      <w:pPr>
        <w:spacing w:after="0" w:line="174" w:lineRule="exact"/>
        <w:rPr>
          <w:sz w:val="20"/>
          <w:szCs w:val="20"/>
          <w:color w:val="auto"/>
        </w:rPr>
      </w:pPr>
    </w:p>
    <w:p>
      <w:pPr>
        <w:ind w:left="680" w:hanging="321"/>
        <w:spacing w:after="0"/>
        <w:tabs>
          <w:tab w:leader="none" w:pos="680" w:val="left"/>
        </w:tabs>
        <w:numPr>
          <w:ilvl w:val="0"/>
          <w:numId w:val="62"/>
        </w:numPr>
        <w:rPr>
          <w:rFonts w:ascii="Times New Roman" w:cs="Times New Roman" w:eastAsia="Times New Roman" w:hAnsi="Times New Roman"/>
          <w:sz w:val="18"/>
          <w:szCs w:val="18"/>
          <w:b w:val="1"/>
          <w:bCs w:val="1"/>
          <w:color w:val="4A7EBB"/>
        </w:rPr>
      </w:pPr>
      <w:r>
        <w:rPr>
          <w:rFonts w:ascii="Arial" w:cs="Arial" w:eastAsia="Arial" w:hAnsi="Arial"/>
          <w:sz w:val="18"/>
          <w:szCs w:val="18"/>
          <w:color w:val="auto"/>
        </w:rPr>
        <w:t>The adjusted pre-tax income for fiscal 2026 was $263 million, as defined in 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308610</wp:posOffset>
            </wp:positionV>
            <wp:extent cx="629221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left="7560"/>
        <w:spacing w:after="0"/>
        <w:rPr>
          <w:sz w:val="20"/>
          <w:szCs w:val="20"/>
          <w:color w:val="auto"/>
        </w:rPr>
      </w:pPr>
      <w:r>
        <w:rPr>
          <w:rFonts w:ascii="Arial" w:cs="Arial" w:eastAsia="Arial" w:hAnsi="Arial"/>
          <w:sz w:val="16"/>
          <w:szCs w:val="16"/>
          <w:color w:val="auto"/>
        </w:rPr>
        <w:t xml:space="preserve">2026 PROXY STATEMENT </w:t>
      </w:r>
      <w:r>
        <w:rPr>
          <w:rFonts w:ascii="Arial" w:cs="Arial" w:eastAsia="Arial" w:hAnsi="Arial"/>
          <w:sz w:val="19"/>
          <w:szCs w:val="19"/>
          <w:color w:val="808080"/>
        </w:rPr>
        <w:t>/</w:t>
      </w:r>
      <w:r>
        <w:rPr>
          <w:rFonts w:ascii="Arial" w:cs="Arial" w:eastAsia="Arial" w:hAnsi="Arial"/>
          <w:sz w:val="16"/>
          <w:szCs w:val="16"/>
          <w:color w:val="auto"/>
        </w:rPr>
        <w:t xml:space="preserve"> </w:t>
      </w:r>
      <w:r>
        <w:rPr>
          <w:rFonts w:ascii="Arial" w:cs="Arial" w:eastAsia="Arial" w:hAnsi="Arial"/>
          <w:sz w:val="19"/>
          <w:szCs w:val="19"/>
          <w:b w:val="1"/>
          <w:bCs w:val="1"/>
          <w:color w:val="4A7EBB"/>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365125</wp:posOffset>
            </wp:positionV>
            <wp:extent cx="6292215"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17780</wp:posOffset>
            </wp:positionV>
            <wp:extent cx="624903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249035" cy="8255"/>
                    </a:xfrm>
                    <a:prstGeom prst="rect">
                      <a:avLst/>
                    </a:prstGeom>
                    <a:noFill/>
                  </pic:spPr>
                </pic:pic>
              </a:graphicData>
            </a:graphic>
          </wp:anchor>
        </w:drawing>
      </w:r>
    </w:p>
    <w:p>
      <w:pPr>
        <w:spacing w:after="0" w:line="219" w:lineRule="exact"/>
        <w:rPr>
          <w:sz w:val="20"/>
          <w:szCs w:val="20"/>
          <w:color w:val="auto"/>
        </w:rPr>
      </w:pPr>
    </w:p>
    <w:p>
      <w:pPr>
        <w:jc w:val="both"/>
        <w:ind w:left="680" w:right="20" w:hanging="321"/>
        <w:spacing w:after="0" w:line="252" w:lineRule="auto"/>
        <w:tabs>
          <w:tab w:leader="none" w:pos="680" w:val="left"/>
        </w:tabs>
        <w:numPr>
          <w:ilvl w:val="0"/>
          <w:numId w:val="63"/>
        </w:numPr>
        <w:rPr>
          <w:rFonts w:ascii="Times New Roman" w:cs="Times New Roman" w:eastAsia="Times New Roman" w:hAnsi="Times New Roman"/>
          <w:sz w:val="18"/>
          <w:szCs w:val="18"/>
          <w:b w:val="1"/>
          <w:bCs w:val="1"/>
          <w:color w:val="4A7EBB"/>
        </w:rPr>
      </w:pPr>
      <w:r>
        <w:rPr>
          <w:rFonts w:ascii="Arial" w:cs="Arial" w:eastAsia="Arial" w:hAnsi="Arial"/>
          <w:sz w:val="18"/>
          <w:szCs w:val="18"/>
          <w:color w:val="auto"/>
        </w:rPr>
        <w:t>This exceeded the target of $252.2 million by 4% but fell short of the prior year’s actual result by 6%, resulting in a payout of 122% of the target annual incentive opportunity for the adjusted pre-tax income portion of the target annual cash incentive amount for each of the executives.</w:t>
      </w:r>
    </w:p>
    <w:p>
      <w:pPr>
        <w:spacing w:after="0" w:line="8" w:lineRule="exact"/>
        <w:rPr>
          <w:rFonts w:ascii="Times New Roman" w:cs="Times New Roman" w:eastAsia="Times New Roman" w:hAnsi="Times New Roman"/>
          <w:sz w:val="18"/>
          <w:szCs w:val="18"/>
          <w:b w:val="1"/>
          <w:bCs w:val="1"/>
          <w:color w:val="4A7EBB"/>
        </w:rPr>
      </w:pPr>
    </w:p>
    <w:p>
      <w:pPr>
        <w:jc w:val="both"/>
        <w:ind w:left="680" w:right="20" w:hanging="321"/>
        <w:spacing w:after="0" w:line="252" w:lineRule="auto"/>
        <w:tabs>
          <w:tab w:leader="none" w:pos="680" w:val="left"/>
        </w:tabs>
        <w:numPr>
          <w:ilvl w:val="0"/>
          <w:numId w:val="63"/>
        </w:numPr>
        <w:rPr>
          <w:rFonts w:ascii="Times New Roman" w:cs="Times New Roman" w:eastAsia="Times New Roman" w:hAnsi="Times New Roman"/>
          <w:sz w:val="18"/>
          <w:szCs w:val="18"/>
          <w:b w:val="1"/>
          <w:bCs w:val="1"/>
          <w:color w:val="4A7EBB"/>
        </w:rPr>
      </w:pPr>
      <w:r>
        <w:rPr>
          <w:rFonts w:ascii="Arial" w:cs="Arial" w:eastAsia="Arial" w:hAnsi="Arial"/>
          <w:sz w:val="18"/>
          <w:szCs w:val="18"/>
          <w:color w:val="auto"/>
        </w:rPr>
        <w:t>The modifier for the change in basic common stock outstanding was 104% and the modifier for adjusted EPS was 95%, resulting in an overall payout of 120.8% of the target annual cash incentive for each of the executives. Additional details are provided below:</w:t>
      </w:r>
    </w:p>
    <w:p>
      <w:pPr>
        <w:spacing w:after="0" w:line="8" w:lineRule="exact"/>
        <w:rPr>
          <w:rFonts w:ascii="Times New Roman" w:cs="Times New Roman" w:eastAsia="Times New Roman" w:hAnsi="Times New Roman"/>
          <w:sz w:val="18"/>
          <w:szCs w:val="18"/>
          <w:b w:val="1"/>
          <w:bCs w:val="1"/>
          <w:color w:val="4A7EBB"/>
        </w:rPr>
      </w:pPr>
    </w:p>
    <w:p>
      <w:pPr>
        <w:jc w:val="both"/>
        <w:ind w:left="680" w:right="20" w:hanging="321"/>
        <w:spacing w:after="0" w:line="239" w:lineRule="auto"/>
        <w:tabs>
          <w:tab w:leader="none" w:pos="680" w:val="left"/>
        </w:tabs>
        <w:numPr>
          <w:ilvl w:val="0"/>
          <w:numId w:val="63"/>
        </w:numPr>
        <w:rPr>
          <w:rFonts w:ascii="Times New Roman" w:cs="Times New Roman" w:eastAsia="Times New Roman" w:hAnsi="Times New Roman"/>
          <w:sz w:val="18"/>
          <w:szCs w:val="18"/>
          <w:b w:val="1"/>
          <w:bCs w:val="1"/>
          <w:color w:val="4A7EBB"/>
        </w:rPr>
      </w:pPr>
      <w:r>
        <w:rPr>
          <w:rFonts w:ascii="Arial" w:cs="Arial" w:eastAsia="Arial" w:hAnsi="Arial"/>
          <w:sz w:val="18"/>
          <w:szCs w:val="18"/>
          <w:color w:val="auto"/>
        </w:rPr>
        <w:t>As part of its assessment of fiscal 2026 financial performance and after review by the Audit Committee, the Compensation Committee made what it believed was an equitable adjustment of $100 million to offset the impact of changing tariff policies imposed by the U.S. government. This adjustment reflected 75% of the approximately $135 million impact of tariffs on annual results since the Company successfully mitigated a portion of the impact of tariffs on gross margin. The tariffs were first announced on April 1, 2025, and modified throughout the year with no advance notice by the U.S. government. Tariffs imposed under the International Emergency Economic Powers Act were subsequently declared illegal by the Supreme Court of the United States in February 2026. The business plan for fiscal 2026 that had been approved by the Board did not account for the impact of these tariffs.</w:t>
      </w:r>
    </w:p>
    <w:p>
      <w:pPr>
        <w:spacing w:after="0" w:line="24" w:lineRule="exact"/>
        <w:rPr>
          <w:rFonts w:ascii="Times New Roman" w:cs="Times New Roman" w:eastAsia="Times New Roman" w:hAnsi="Times New Roman"/>
          <w:sz w:val="18"/>
          <w:szCs w:val="18"/>
          <w:b w:val="1"/>
          <w:bCs w:val="1"/>
          <w:color w:val="4A7EBB"/>
        </w:rPr>
      </w:pPr>
    </w:p>
    <w:p>
      <w:pPr>
        <w:jc w:val="both"/>
        <w:ind w:left="680" w:right="20" w:hanging="321"/>
        <w:spacing w:after="0" w:line="246" w:lineRule="auto"/>
        <w:tabs>
          <w:tab w:leader="none" w:pos="680" w:val="left"/>
        </w:tabs>
        <w:numPr>
          <w:ilvl w:val="0"/>
          <w:numId w:val="63"/>
        </w:numPr>
        <w:rPr>
          <w:rFonts w:ascii="Times New Roman" w:cs="Times New Roman" w:eastAsia="Times New Roman" w:hAnsi="Times New Roman"/>
          <w:sz w:val="18"/>
          <w:szCs w:val="18"/>
          <w:b w:val="1"/>
          <w:bCs w:val="1"/>
          <w:color w:val="4A7EBB"/>
        </w:rPr>
      </w:pPr>
      <w:r>
        <w:rPr>
          <w:rFonts w:ascii="Arial" w:cs="Arial" w:eastAsia="Arial" w:hAnsi="Arial"/>
          <w:sz w:val="18"/>
          <w:szCs w:val="18"/>
          <w:color w:val="auto"/>
        </w:rPr>
        <w:t>The adjustment for the impact of tariffs on results was consistent with various categories of adjustments to GAAP financial results approved by the Compensation Committee in connection with the terms of the annual cash incentive plan. If the equitable adjustment for partial relief on tariffs had not been made, the NEOs would not have earned any annual cash incentive awards for fiscal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64135</wp:posOffset>
            </wp:positionV>
            <wp:extent cx="6301105" cy="182562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301105" cy="1825625"/>
                    </a:xfrm>
                    <a:prstGeom prst="rect">
                      <a:avLst/>
                    </a:prstGeom>
                    <a:noFill/>
                  </pic:spPr>
                </pic:pic>
              </a:graphicData>
            </a:graphic>
          </wp:anchor>
        </w:drawing>
      </w:r>
    </w:p>
    <w:p>
      <w:pPr>
        <w:spacing w:after="0" w:line="11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shd w:val="clear" w:color="auto" w:fill="B9CDE5"/>
        </w:rPr>
        <w:t>Annual Cash Incentive Program for Chairman and CEO, Vice Chairman and President and Executive Vice President</w:t>
      </w:r>
    </w:p>
    <w:p>
      <w:pPr>
        <w:spacing w:after="0" w:line="40"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1600" w:type="dxa"/>
            <w:vAlign w:val="bottom"/>
            <w:tcBorders>
              <w:top w:val="single" w:sz="8" w:color="auto"/>
              <w:left w:val="single" w:sz="8" w:color="B9CDE5"/>
              <w:right w:val="single" w:sz="8" w:color="auto"/>
            </w:tcBorders>
            <w:shd w:val="clear" w:color="auto" w:fill="B9CDE5"/>
          </w:tcPr>
          <w:p>
            <w:pPr>
              <w:spacing w:after="0"/>
              <w:rPr>
                <w:sz w:val="16"/>
                <w:szCs w:val="16"/>
                <w:color w:val="auto"/>
              </w:rPr>
            </w:pPr>
          </w:p>
        </w:tc>
        <w:tc>
          <w:tcPr>
            <w:tcW w:w="980" w:type="dxa"/>
            <w:vAlign w:val="bottom"/>
            <w:tcBorders>
              <w:top w:val="single" w:sz="8" w:color="auto"/>
            </w:tcBorders>
            <w:shd w:val="clear" w:color="auto" w:fill="B9CDE5"/>
          </w:tcPr>
          <w:p>
            <w:pPr>
              <w:spacing w:after="0"/>
              <w:rPr>
                <w:sz w:val="16"/>
                <w:szCs w:val="16"/>
                <w:color w:val="auto"/>
              </w:rPr>
            </w:pPr>
          </w:p>
        </w:tc>
        <w:tc>
          <w:tcPr>
            <w:tcW w:w="140" w:type="dxa"/>
            <w:vAlign w:val="bottom"/>
            <w:tcBorders>
              <w:top w:val="single" w:sz="8" w:color="auto"/>
              <w:right w:val="single" w:sz="8" w:color="auto"/>
            </w:tcBorders>
            <w:shd w:val="clear" w:color="auto" w:fill="B9CDE5"/>
          </w:tcPr>
          <w:p>
            <w:pPr>
              <w:spacing w:after="0"/>
              <w:rPr>
                <w:sz w:val="16"/>
                <w:szCs w:val="16"/>
                <w:color w:val="auto"/>
              </w:rPr>
            </w:pPr>
          </w:p>
        </w:tc>
        <w:tc>
          <w:tcPr>
            <w:tcW w:w="1240" w:type="dxa"/>
            <w:vAlign w:val="bottom"/>
            <w:tcBorders>
              <w:top w:val="single" w:sz="8" w:color="auto"/>
              <w:right w:val="single" w:sz="8" w:color="auto"/>
            </w:tcBorders>
            <w:shd w:val="clear" w:color="auto" w:fill="DCE6F2"/>
          </w:tcPr>
          <w:p>
            <w:pPr>
              <w:spacing w:after="0"/>
              <w:rPr>
                <w:sz w:val="16"/>
                <w:szCs w:val="16"/>
                <w:color w:val="auto"/>
              </w:rPr>
            </w:pPr>
          </w:p>
        </w:tc>
        <w:tc>
          <w:tcPr>
            <w:tcW w:w="180" w:type="dxa"/>
            <w:vAlign w:val="bottom"/>
            <w:tcBorders>
              <w:top w:val="single" w:sz="8" w:color="auto"/>
            </w:tcBorders>
            <w:shd w:val="clear" w:color="auto" w:fill="DCE6F2"/>
          </w:tcPr>
          <w:p>
            <w:pPr>
              <w:spacing w:after="0"/>
              <w:rPr>
                <w:sz w:val="16"/>
                <w:szCs w:val="16"/>
                <w:color w:val="auto"/>
              </w:rPr>
            </w:pPr>
          </w:p>
        </w:tc>
        <w:tc>
          <w:tcPr>
            <w:tcW w:w="180" w:type="dxa"/>
            <w:vAlign w:val="bottom"/>
            <w:tcBorders>
              <w:top w:val="single" w:sz="8" w:color="auto"/>
              <w:right w:val="single" w:sz="8" w:color="DCE6F2"/>
            </w:tcBorders>
            <w:shd w:val="clear" w:color="auto" w:fill="DCE6F2"/>
          </w:tcPr>
          <w:p>
            <w:pPr>
              <w:spacing w:after="0"/>
              <w:rPr>
                <w:sz w:val="16"/>
                <w:szCs w:val="16"/>
                <w:color w:val="auto"/>
              </w:rPr>
            </w:pPr>
          </w:p>
        </w:tc>
        <w:tc>
          <w:tcPr>
            <w:tcW w:w="880" w:type="dxa"/>
            <w:vAlign w:val="bottom"/>
            <w:tcBorders>
              <w:top w:val="single" w:sz="8" w:color="auto"/>
              <w:right w:val="single" w:sz="8" w:color="auto"/>
            </w:tcBorders>
            <w:shd w:val="clear" w:color="auto" w:fill="DCE6F2"/>
          </w:tcPr>
          <w:p>
            <w:pPr>
              <w:spacing w:after="0"/>
              <w:rPr>
                <w:sz w:val="16"/>
                <w:szCs w:val="16"/>
                <w:color w:val="auto"/>
              </w:rPr>
            </w:pPr>
          </w:p>
        </w:tc>
        <w:tc>
          <w:tcPr>
            <w:tcW w:w="240" w:type="dxa"/>
            <w:vAlign w:val="bottom"/>
            <w:tcBorders>
              <w:top w:val="single" w:sz="8" w:color="auto"/>
            </w:tcBorders>
            <w:shd w:val="clear" w:color="auto" w:fill="DCE6F2"/>
          </w:tcPr>
          <w:p>
            <w:pPr>
              <w:spacing w:after="0"/>
              <w:rPr>
                <w:sz w:val="16"/>
                <w:szCs w:val="16"/>
                <w:color w:val="auto"/>
              </w:rPr>
            </w:pPr>
          </w:p>
        </w:tc>
        <w:tc>
          <w:tcPr>
            <w:tcW w:w="120" w:type="dxa"/>
            <w:vAlign w:val="bottom"/>
            <w:tcBorders>
              <w:top w:val="single" w:sz="8" w:color="auto"/>
            </w:tcBorders>
            <w:shd w:val="clear" w:color="auto" w:fill="DCE6F2"/>
          </w:tcPr>
          <w:p>
            <w:pPr>
              <w:spacing w:after="0"/>
              <w:rPr>
                <w:sz w:val="16"/>
                <w:szCs w:val="16"/>
                <w:color w:val="auto"/>
              </w:rPr>
            </w:pPr>
          </w:p>
        </w:tc>
        <w:tc>
          <w:tcPr>
            <w:tcW w:w="120" w:type="dxa"/>
            <w:vAlign w:val="bottom"/>
            <w:tcBorders>
              <w:top w:val="single" w:sz="8" w:color="auto"/>
              <w:right w:val="single" w:sz="8" w:color="DCE6F2"/>
            </w:tcBorders>
            <w:shd w:val="clear" w:color="auto" w:fill="DCE6F2"/>
          </w:tcPr>
          <w:p>
            <w:pPr>
              <w:spacing w:after="0"/>
              <w:rPr>
                <w:sz w:val="16"/>
                <w:szCs w:val="16"/>
                <w:color w:val="auto"/>
              </w:rPr>
            </w:pPr>
          </w:p>
        </w:tc>
        <w:tc>
          <w:tcPr>
            <w:tcW w:w="760" w:type="dxa"/>
            <w:vAlign w:val="bottom"/>
            <w:tcBorders>
              <w:top w:val="single" w:sz="8" w:color="auto"/>
              <w:right w:val="single" w:sz="8" w:color="auto"/>
            </w:tcBorders>
            <w:shd w:val="clear" w:color="auto" w:fill="DCE6F2"/>
          </w:tcPr>
          <w:p>
            <w:pPr>
              <w:spacing w:after="0"/>
              <w:rPr>
                <w:sz w:val="16"/>
                <w:szCs w:val="16"/>
                <w:color w:val="auto"/>
              </w:rPr>
            </w:pPr>
          </w:p>
        </w:tc>
        <w:tc>
          <w:tcPr>
            <w:tcW w:w="780" w:type="dxa"/>
            <w:vAlign w:val="bottom"/>
            <w:tcBorders>
              <w:top w:val="single" w:sz="8" w:color="auto"/>
              <w:right w:val="single" w:sz="8" w:color="95B3D7"/>
            </w:tcBorders>
            <w:shd w:val="clear" w:color="auto" w:fill="95B3D7"/>
          </w:tcPr>
          <w:p>
            <w:pPr>
              <w:spacing w:after="0"/>
              <w:rPr>
                <w:sz w:val="16"/>
                <w:szCs w:val="16"/>
                <w:color w:val="auto"/>
              </w:rPr>
            </w:pPr>
          </w:p>
        </w:tc>
        <w:tc>
          <w:tcPr>
            <w:tcW w:w="240" w:type="dxa"/>
            <w:vAlign w:val="bottom"/>
            <w:tcBorders>
              <w:top w:val="single" w:sz="8" w:color="auto"/>
            </w:tcBorders>
            <w:shd w:val="clear" w:color="auto" w:fill="95B3D7"/>
          </w:tcPr>
          <w:p>
            <w:pPr>
              <w:spacing w:after="0"/>
              <w:rPr>
                <w:sz w:val="16"/>
                <w:szCs w:val="16"/>
                <w:color w:val="auto"/>
              </w:rPr>
            </w:pPr>
          </w:p>
        </w:tc>
        <w:tc>
          <w:tcPr>
            <w:tcW w:w="400" w:type="dxa"/>
            <w:vAlign w:val="bottom"/>
            <w:tcBorders>
              <w:top w:val="single" w:sz="8" w:color="auto"/>
              <w:right w:val="single" w:sz="8" w:color="auto"/>
            </w:tcBorders>
            <w:shd w:val="clear" w:color="auto" w:fill="95B3D7"/>
          </w:tcPr>
          <w:p>
            <w:pPr>
              <w:spacing w:after="0"/>
              <w:rPr>
                <w:sz w:val="16"/>
                <w:szCs w:val="16"/>
                <w:color w:val="auto"/>
              </w:rPr>
            </w:pPr>
          </w:p>
        </w:tc>
        <w:tc>
          <w:tcPr>
            <w:tcW w:w="2060" w:type="dxa"/>
            <w:vAlign w:val="bottom"/>
            <w:tcBorders>
              <w:top w:val="single" w:sz="8" w:color="auto"/>
              <w:right w:val="single" w:sz="8" w:color="95B3D7"/>
            </w:tcBorders>
            <w:shd w:val="clear" w:color="auto" w:fill="95B3D7"/>
          </w:tcPr>
          <w:p>
            <w:pPr>
              <w:jc w:val="center"/>
              <w:spacing w:after="0" w:line="192" w:lineRule="exact"/>
              <w:rPr>
                <w:sz w:val="20"/>
                <w:szCs w:val="20"/>
                <w:color w:val="auto"/>
              </w:rPr>
            </w:pPr>
            <w:r>
              <w:rPr>
                <w:rFonts w:ascii="Arial" w:cs="Arial" w:eastAsia="Arial" w:hAnsi="Arial"/>
                <w:sz w:val="18"/>
                <w:szCs w:val="18"/>
                <w:b w:val="1"/>
                <w:bCs w:val="1"/>
                <w:color w:val="auto"/>
                <w:w w:val="99"/>
              </w:rPr>
              <w:t>Fiscal 2026</w:t>
            </w:r>
          </w:p>
        </w:tc>
        <w:tc>
          <w:tcPr>
            <w:tcW w:w="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00" w:type="dxa"/>
            <w:vAlign w:val="bottom"/>
            <w:tcBorders>
              <w:left w:val="single" w:sz="8" w:color="B9CDE5"/>
              <w:right w:val="single" w:sz="8" w:color="auto"/>
            </w:tcBorders>
            <w:shd w:val="clear" w:color="auto" w:fill="B9CDE5"/>
          </w:tcPr>
          <w:p>
            <w:pPr>
              <w:spacing w:after="0"/>
              <w:rPr>
                <w:sz w:val="17"/>
                <w:szCs w:val="17"/>
                <w:color w:val="auto"/>
              </w:rPr>
            </w:pPr>
          </w:p>
        </w:tc>
        <w:tc>
          <w:tcPr>
            <w:tcW w:w="980" w:type="dxa"/>
            <w:vAlign w:val="bottom"/>
            <w:shd w:val="clear" w:color="auto" w:fill="B9CDE5"/>
          </w:tcPr>
          <w:p>
            <w:pPr>
              <w:spacing w:after="0"/>
              <w:rPr>
                <w:sz w:val="17"/>
                <w:szCs w:val="17"/>
                <w:color w:val="auto"/>
              </w:rPr>
            </w:pPr>
          </w:p>
        </w:tc>
        <w:tc>
          <w:tcPr>
            <w:tcW w:w="140" w:type="dxa"/>
            <w:vAlign w:val="bottom"/>
            <w:tcBorders>
              <w:right w:val="single" w:sz="8" w:color="auto"/>
            </w:tcBorders>
            <w:shd w:val="clear" w:color="auto" w:fill="B9CDE5"/>
          </w:tcPr>
          <w:p>
            <w:pPr>
              <w:spacing w:after="0"/>
              <w:rPr>
                <w:sz w:val="17"/>
                <w:szCs w:val="17"/>
                <w:color w:val="auto"/>
              </w:rPr>
            </w:pPr>
          </w:p>
        </w:tc>
        <w:tc>
          <w:tcPr>
            <w:tcW w:w="1240" w:type="dxa"/>
            <w:vAlign w:val="bottom"/>
            <w:tcBorders>
              <w:right w:val="single" w:sz="8" w:color="auto"/>
            </w:tcBorders>
            <w:shd w:val="clear" w:color="auto" w:fill="DCE6F2"/>
          </w:tcPr>
          <w:p>
            <w:pPr>
              <w:spacing w:after="0"/>
              <w:rPr>
                <w:sz w:val="17"/>
                <w:szCs w:val="17"/>
                <w:color w:val="auto"/>
              </w:rPr>
            </w:pPr>
          </w:p>
        </w:tc>
        <w:tc>
          <w:tcPr>
            <w:tcW w:w="180" w:type="dxa"/>
            <w:vAlign w:val="bottom"/>
            <w:shd w:val="clear" w:color="auto" w:fill="DCE6F2"/>
          </w:tcPr>
          <w:p>
            <w:pPr>
              <w:spacing w:after="0"/>
              <w:rPr>
                <w:sz w:val="17"/>
                <w:szCs w:val="17"/>
                <w:color w:val="auto"/>
              </w:rPr>
            </w:pPr>
          </w:p>
        </w:tc>
        <w:tc>
          <w:tcPr>
            <w:tcW w:w="180" w:type="dxa"/>
            <w:vAlign w:val="bottom"/>
            <w:tcBorders>
              <w:right w:val="single" w:sz="8" w:color="DCE6F2"/>
            </w:tcBorders>
            <w:shd w:val="clear" w:color="auto" w:fill="DCE6F2"/>
          </w:tcPr>
          <w:p>
            <w:pPr>
              <w:spacing w:after="0"/>
              <w:rPr>
                <w:sz w:val="17"/>
                <w:szCs w:val="17"/>
                <w:color w:val="auto"/>
              </w:rPr>
            </w:pPr>
          </w:p>
        </w:tc>
        <w:tc>
          <w:tcPr>
            <w:tcW w:w="880" w:type="dxa"/>
            <w:vAlign w:val="bottom"/>
            <w:tcBorders>
              <w:right w:val="single" w:sz="8" w:color="auto"/>
            </w:tcBorders>
            <w:shd w:val="clear" w:color="auto" w:fill="DCE6F2"/>
          </w:tcPr>
          <w:p>
            <w:pPr>
              <w:spacing w:after="0"/>
              <w:rPr>
                <w:sz w:val="17"/>
                <w:szCs w:val="17"/>
                <w:color w:val="auto"/>
              </w:rPr>
            </w:pPr>
          </w:p>
        </w:tc>
        <w:tc>
          <w:tcPr>
            <w:tcW w:w="240" w:type="dxa"/>
            <w:vAlign w:val="bottom"/>
            <w:shd w:val="clear" w:color="auto" w:fill="DCE6F2"/>
          </w:tcPr>
          <w:p>
            <w:pPr>
              <w:spacing w:after="0"/>
              <w:rPr>
                <w:sz w:val="17"/>
                <w:szCs w:val="17"/>
                <w:color w:val="auto"/>
              </w:rPr>
            </w:pPr>
          </w:p>
        </w:tc>
        <w:tc>
          <w:tcPr>
            <w:tcW w:w="120" w:type="dxa"/>
            <w:vAlign w:val="bottom"/>
            <w:shd w:val="clear" w:color="auto" w:fill="DCE6F2"/>
          </w:tcPr>
          <w:p>
            <w:pPr>
              <w:spacing w:after="0"/>
              <w:rPr>
                <w:sz w:val="17"/>
                <w:szCs w:val="17"/>
                <w:color w:val="auto"/>
              </w:rPr>
            </w:pPr>
          </w:p>
        </w:tc>
        <w:tc>
          <w:tcPr>
            <w:tcW w:w="120" w:type="dxa"/>
            <w:vAlign w:val="bottom"/>
            <w:tcBorders>
              <w:right w:val="single" w:sz="8" w:color="DCE6F2"/>
            </w:tcBorders>
            <w:shd w:val="clear" w:color="auto" w:fill="DCE6F2"/>
          </w:tcPr>
          <w:p>
            <w:pPr>
              <w:spacing w:after="0"/>
              <w:rPr>
                <w:sz w:val="17"/>
                <w:szCs w:val="17"/>
                <w:color w:val="auto"/>
              </w:rPr>
            </w:pPr>
          </w:p>
        </w:tc>
        <w:tc>
          <w:tcPr>
            <w:tcW w:w="760" w:type="dxa"/>
            <w:vAlign w:val="bottom"/>
            <w:tcBorders>
              <w:right w:val="single" w:sz="8" w:color="auto"/>
            </w:tcBorders>
            <w:shd w:val="clear" w:color="auto" w:fill="DCE6F2"/>
          </w:tcPr>
          <w:p>
            <w:pPr>
              <w:spacing w:after="0"/>
              <w:rPr>
                <w:sz w:val="17"/>
                <w:szCs w:val="17"/>
                <w:color w:val="auto"/>
              </w:rPr>
            </w:pPr>
          </w:p>
        </w:tc>
        <w:tc>
          <w:tcPr>
            <w:tcW w:w="1020" w:type="dxa"/>
            <w:vAlign w:val="bottom"/>
            <w:gridSpan w:val="2"/>
            <w:shd w:val="clear" w:color="auto" w:fill="95B3D7"/>
          </w:tcPr>
          <w:p>
            <w:pPr>
              <w:jc w:val="center"/>
              <w:ind w:left="290"/>
              <w:spacing w:after="0" w:line="202" w:lineRule="exact"/>
              <w:rPr>
                <w:sz w:val="20"/>
                <w:szCs w:val="20"/>
                <w:color w:val="auto"/>
              </w:rPr>
            </w:pPr>
            <w:r>
              <w:rPr>
                <w:rFonts w:ascii="Arial" w:cs="Arial" w:eastAsia="Arial" w:hAnsi="Arial"/>
                <w:sz w:val="18"/>
                <w:szCs w:val="18"/>
                <w:b w:val="1"/>
                <w:bCs w:val="1"/>
                <w:color w:val="auto"/>
              </w:rPr>
              <w:t>Actual</w:t>
            </w:r>
          </w:p>
        </w:tc>
        <w:tc>
          <w:tcPr>
            <w:tcW w:w="400" w:type="dxa"/>
            <w:vAlign w:val="bottom"/>
            <w:tcBorders>
              <w:right w:val="single" w:sz="8" w:color="auto"/>
            </w:tcBorders>
            <w:shd w:val="clear" w:color="auto" w:fill="95B3D7"/>
          </w:tcPr>
          <w:p>
            <w:pPr>
              <w:spacing w:after="0"/>
              <w:rPr>
                <w:sz w:val="17"/>
                <w:szCs w:val="17"/>
                <w:color w:val="auto"/>
              </w:rPr>
            </w:pPr>
          </w:p>
        </w:tc>
        <w:tc>
          <w:tcPr>
            <w:tcW w:w="2060" w:type="dxa"/>
            <w:vAlign w:val="bottom"/>
            <w:tcBorders>
              <w:right w:val="single" w:sz="8" w:color="95B3D7"/>
            </w:tcBorders>
            <w:shd w:val="clear" w:color="auto" w:fill="95B3D7"/>
          </w:tcPr>
          <w:p>
            <w:pPr>
              <w:jc w:val="center"/>
              <w:spacing w:after="0" w:line="202" w:lineRule="exact"/>
              <w:rPr>
                <w:sz w:val="20"/>
                <w:szCs w:val="20"/>
                <w:color w:val="auto"/>
              </w:rPr>
            </w:pPr>
            <w:r>
              <w:rPr>
                <w:rFonts w:ascii="Arial" w:cs="Arial" w:eastAsia="Arial" w:hAnsi="Arial"/>
                <w:sz w:val="18"/>
                <w:szCs w:val="18"/>
                <w:b w:val="1"/>
                <w:bCs w:val="1"/>
                <w:color w:val="auto"/>
                <w:w w:val="99"/>
              </w:rPr>
              <w:t>Performance Result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1600" w:type="dxa"/>
            <w:vAlign w:val="bottom"/>
            <w:tcBorders>
              <w:left w:val="single" w:sz="8" w:color="B9CDE5"/>
              <w:right w:val="single" w:sz="8" w:color="auto"/>
            </w:tcBorders>
            <w:shd w:val="clear" w:color="auto" w:fill="B9CDE5"/>
          </w:tcPr>
          <w:p>
            <w:pPr>
              <w:jc w:val="center"/>
              <w:spacing w:after="0"/>
              <w:rPr>
                <w:sz w:val="20"/>
                <w:szCs w:val="20"/>
                <w:color w:val="auto"/>
              </w:rPr>
            </w:pPr>
            <w:r>
              <w:rPr>
                <w:rFonts w:ascii="Arial" w:cs="Arial" w:eastAsia="Arial" w:hAnsi="Arial"/>
                <w:sz w:val="18"/>
                <w:szCs w:val="18"/>
                <w:b w:val="1"/>
                <w:bCs w:val="1"/>
                <w:color w:val="auto"/>
              </w:rPr>
              <w:t>Metric</w:t>
            </w:r>
          </w:p>
        </w:tc>
        <w:tc>
          <w:tcPr>
            <w:tcW w:w="980" w:type="dxa"/>
            <w:vAlign w:val="bottom"/>
            <w:shd w:val="clear" w:color="auto" w:fill="B9CDE5"/>
          </w:tcPr>
          <w:p>
            <w:pPr>
              <w:ind w:left="100"/>
              <w:spacing w:after="0"/>
              <w:rPr>
                <w:sz w:val="20"/>
                <w:szCs w:val="20"/>
                <w:color w:val="auto"/>
              </w:rPr>
            </w:pPr>
            <w:r>
              <w:rPr>
                <w:rFonts w:ascii="Arial" w:cs="Arial" w:eastAsia="Arial" w:hAnsi="Arial"/>
                <w:sz w:val="18"/>
                <w:szCs w:val="18"/>
                <w:b w:val="1"/>
                <w:bCs w:val="1"/>
                <w:color w:val="auto"/>
                <w:w w:val="98"/>
              </w:rPr>
              <w:t>Weighting</w:t>
            </w:r>
          </w:p>
        </w:tc>
        <w:tc>
          <w:tcPr>
            <w:tcW w:w="140" w:type="dxa"/>
            <w:vAlign w:val="bottom"/>
            <w:tcBorders>
              <w:right w:val="single" w:sz="8" w:color="auto"/>
            </w:tcBorders>
            <w:shd w:val="clear" w:color="auto" w:fill="B9CDE5"/>
          </w:tcPr>
          <w:p>
            <w:pPr>
              <w:spacing w:after="0"/>
              <w:rPr>
                <w:sz w:val="21"/>
                <w:szCs w:val="21"/>
                <w:color w:val="auto"/>
              </w:rPr>
            </w:pPr>
          </w:p>
        </w:tc>
        <w:tc>
          <w:tcPr>
            <w:tcW w:w="1240" w:type="dxa"/>
            <w:vAlign w:val="bottom"/>
            <w:tcBorders>
              <w:right w:val="single" w:sz="8" w:color="auto"/>
            </w:tcBorders>
            <w:shd w:val="clear" w:color="auto" w:fill="DCE6F2"/>
          </w:tcPr>
          <w:p>
            <w:pPr>
              <w:ind w:left="180"/>
              <w:spacing w:after="0"/>
              <w:rPr>
                <w:sz w:val="20"/>
                <w:szCs w:val="20"/>
                <w:color w:val="auto"/>
              </w:rPr>
            </w:pPr>
            <w:r>
              <w:rPr>
                <w:rFonts w:ascii="Arial" w:cs="Arial" w:eastAsia="Arial" w:hAnsi="Arial"/>
                <w:sz w:val="18"/>
                <w:szCs w:val="18"/>
                <w:b w:val="1"/>
                <w:bCs w:val="1"/>
                <w:color w:val="auto"/>
              </w:rPr>
              <w:t>Threshold</w:t>
            </w:r>
          </w:p>
        </w:tc>
        <w:tc>
          <w:tcPr>
            <w:tcW w:w="180" w:type="dxa"/>
            <w:vAlign w:val="bottom"/>
            <w:shd w:val="clear" w:color="auto" w:fill="DCE6F2"/>
          </w:tcPr>
          <w:p>
            <w:pPr>
              <w:spacing w:after="0"/>
              <w:rPr>
                <w:sz w:val="21"/>
                <w:szCs w:val="21"/>
                <w:color w:val="auto"/>
              </w:rPr>
            </w:pPr>
          </w:p>
        </w:tc>
        <w:tc>
          <w:tcPr>
            <w:tcW w:w="1060" w:type="dxa"/>
            <w:vAlign w:val="bottom"/>
            <w:tcBorders>
              <w:right w:val="single" w:sz="8" w:color="auto"/>
            </w:tcBorders>
            <w:gridSpan w:val="2"/>
            <w:shd w:val="clear" w:color="auto" w:fill="DCE6F2"/>
          </w:tcPr>
          <w:p>
            <w:pPr>
              <w:ind w:left="160"/>
              <w:spacing w:after="0"/>
              <w:rPr>
                <w:sz w:val="20"/>
                <w:szCs w:val="20"/>
                <w:color w:val="auto"/>
              </w:rPr>
            </w:pPr>
            <w:r>
              <w:rPr>
                <w:rFonts w:ascii="Arial" w:cs="Arial" w:eastAsia="Arial" w:hAnsi="Arial"/>
                <w:sz w:val="18"/>
                <w:szCs w:val="18"/>
                <w:b w:val="1"/>
                <w:bCs w:val="1"/>
                <w:color w:val="auto"/>
              </w:rPr>
              <w:t>Target</w:t>
            </w:r>
          </w:p>
        </w:tc>
        <w:tc>
          <w:tcPr>
            <w:tcW w:w="1240" w:type="dxa"/>
            <w:vAlign w:val="bottom"/>
            <w:tcBorders>
              <w:right w:val="single" w:sz="8" w:color="auto"/>
            </w:tcBorders>
            <w:gridSpan w:val="4"/>
            <w:shd w:val="clear" w:color="auto" w:fill="DCE6F2"/>
          </w:tcPr>
          <w:p>
            <w:pPr>
              <w:ind w:left="200"/>
              <w:spacing w:after="0"/>
              <w:rPr>
                <w:sz w:val="20"/>
                <w:szCs w:val="20"/>
                <w:color w:val="auto"/>
              </w:rPr>
            </w:pPr>
            <w:r>
              <w:rPr>
                <w:rFonts w:ascii="Arial" w:cs="Arial" w:eastAsia="Arial" w:hAnsi="Arial"/>
                <w:sz w:val="18"/>
                <w:szCs w:val="18"/>
                <w:b w:val="1"/>
                <w:bCs w:val="1"/>
                <w:color w:val="auto"/>
              </w:rPr>
              <w:t>Maximum</w:t>
            </w:r>
          </w:p>
        </w:tc>
        <w:tc>
          <w:tcPr>
            <w:tcW w:w="1420" w:type="dxa"/>
            <w:vAlign w:val="bottom"/>
            <w:tcBorders>
              <w:right w:val="single" w:sz="8" w:color="auto"/>
            </w:tcBorders>
            <w:gridSpan w:val="3"/>
            <w:shd w:val="clear" w:color="auto" w:fill="95B3D7"/>
          </w:tcPr>
          <w:p>
            <w:pPr>
              <w:jc w:val="center"/>
              <w:spacing w:after="0"/>
              <w:rPr>
                <w:sz w:val="20"/>
                <w:szCs w:val="20"/>
                <w:color w:val="auto"/>
              </w:rPr>
            </w:pPr>
            <w:r>
              <w:rPr>
                <w:rFonts w:ascii="Arial" w:cs="Arial" w:eastAsia="Arial" w:hAnsi="Arial"/>
                <w:sz w:val="18"/>
                <w:szCs w:val="18"/>
                <w:b w:val="1"/>
                <w:bCs w:val="1"/>
                <w:color w:val="auto"/>
                <w:w w:val="99"/>
              </w:rPr>
              <w:t>Achievement</w:t>
            </w:r>
          </w:p>
        </w:tc>
        <w:tc>
          <w:tcPr>
            <w:tcW w:w="2060" w:type="dxa"/>
            <w:vAlign w:val="bottom"/>
            <w:tcBorders>
              <w:right w:val="single" w:sz="8" w:color="95B3D7"/>
            </w:tcBorders>
            <w:shd w:val="clear" w:color="auto" w:fill="95B3D7"/>
          </w:tcPr>
          <w:p>
            <w:pPr>
              <w:jc w:val="center"/>
              <w:spacing w:after="0"/>
              <w:rPr>
                <w:sz w:val="20"/>
                <w:szCs w:val="20"/>
                <w:color w:val="auto"/>
              </w:rPr>
            </w:pPr>
            <w:r>
              <w:rPr>
                <w:rFonts w:ascii="Arial" w:cs="Arial" w:eastAsia="Arial" w:hAnsi="Arial"/>
                <w:sz w:val="18"/>
                <w:szCs w:val="18"/>
                <w:b w:val="1"/>
                <w:bCs w:val="1"/>
                <w:color w:val="auto"/>
                <w:w w:val="98"/>
              </w:rPr>
              <w:t>(% of Target)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3"/>
        </w:trPr>
        <w:tc>
          <w:tcPr>
            <w:tcW w:w="1600" w:type="dxa"/>
            <w:vAlign w:val="bottom"/>
            <w:tcBorders>
              <w:left w:val="single" w:sz="8" w:color="B9CDE5"/>
              <w:bottom w:val="single" w:sz="8" w:color="auto"/>
              <w:right w:val="single" w:sz="8" w:color="auto"/>
            </w:tcBorders>
            <w:shd w:val="clear" w:color="auto" w:fill="B9CDE5"/>
          </w:tcPr>
          <w:p>
            <w:pPr>
              <w:spacing w:after="0"/>
              <w:rPr>
                <w:sz w:val="7"/>
                <w:szCs w:val="7"/>
                <w:color w:val="auto"/>
              </w:rPr>
            </w:pPr>
          </w:p>
        </w:tc>
        <w:tc>
          <w:tcPr>
            <w:tcW w:w="980" w:type="dxa"/>
            <w:vAlign w:val="bottom"/>
            <w:tcBorders>
              <w:bottom w:val="single" w:sz="8" w:color="auto"/>
            </w:tcBorders>
            <w:shd w:val="clear" w:color="auto" w:fill="B9CDE5"/>
          </w:tcPr>
          <w:p>
            <w:pPr>
              <w:spacing w:after="0"/>
              <w:rPr>
                <w:sz w:val="7"/>
                <w:szCs w:val="7"/>
                <w:color w:val="auto"/>
              </w:rPr>
            </w:pPr>
          </w:p>
        </w:tc>
        <w:tc>
          <w:tcPr>
            <w:tcW w:w="140" w:type="dxa"/>
            <w:vAlign w:val="bottom"/>
            <w:tcBorders>
              <w:bottom w:val="single" w:sz="8" w:color="auto"/>
              <w:right w:val="single" w:sz="8" w:color="auto"/>
            </w:tcBorders>
            <w:shd w:val="clear" w:color="auto" w:fill="B9CDE5"/>
          </w:tcPr>
          <w:p>
            <w:pPr>
              <w:spacing w:after="0"/>
              <w:rPr>
                <w:sz w:val="7"/>
                <w:szCs w:val="7"/>
                <w:color w:val="auto"/>
              </w:rPr>
            </w:pPr>
          </w:p>
        </w:tc>
        <w:tc>
          <w:tcPr>
            <w:tcW w:w="1240" w:type="dxa"/>
            <w:vAlign w:val="bottom"/>
            <w:tcBorders>
              <w:bottom w:val="single" w:sz="8" w:color="auto"/>
              <w:right w:val="single" w:sz="8" w:color="auto"/>
            </w:tcBorders>
            <w:shd w:val="clear" w:color="auto" w:fill="DCE6F2"/>
          </w:tcPr>
          <w:p>
            <w:pPr>
              <w:spacing w:after="0"/>
              <w:rPr>
                <w:sz w:val="7"/>
                <w:szCs w:val="7"/>
                <w:color w:val="auto"/>
              </w:rPr>
            </w:pPr>
          </w:p>
        </w:tc>
        <w:tc>
          <w:tcPr>
            <w:tcW w:w="180" w:type="dxa"/>
            <w:vAlign w:val="bottom"/>
            <w:tcBorders>
              <w:bottom w:val="single" w:sz="8" w:color="auto"/>
            </w:tcBorders>
            <w:shd w:val="clear" w:color="auto" w:fill="DCE6F2"/>
          </w:tcPr>
          <w:p>
            <w:pPr>
              <w:spacing w:after="0"/>
              <w:rPr>
                <w:sz w:val="7"/>
                <w:szCs w:val="7"/>
                <w:color w:val="auto"/>
              </w:rPr>
            </w:pPr>
          </w:p>
        </w:tc>
        <w:tc>
          <w:tcPr>
            <w:tcW w:w="180" w:type="dxa"/>
            <w:vAlign w:val="bottom"/>
            <w:tcBorders>
              <w:bottom w:val="single" w:sz="8" w:color="auto"/>
              <w:right w:val="single" w:sz="8" w:color="DCE6F2"/>
            </w:tcBorders>
            <w:shd w:val="clear" w:color="auto" w:fill="DCE6F2"/>
          </w:tcPr>
          <w:p>
            <w:pPr>
              <w:spacing w:after="0"/>
              <w:rPr>
                <w:sz w:val="7"/>
                <w:szCs w:val="7"/>
                <w:color w:val="auto"/>
              </w:rPr>
            </w:pPr>
          </w:p>
        </w:tc>
        <w:tc>
          <w:tcPr>
            <w:tcW w:w="880" w:type="dxa"/>
            <w:vAlign w:val="bottom"/>
            <w:tcBorders>
              <w:bottom w:val="single" w:sz="8" w:color="auto"/>
              <w:right w:val="single" w:sz="8" w:color="auto"/>
            </w:tcBorders>
            <w:shd w:val="clear" w:color="auto" w:fill="DCE6F2"/>
          </w:tcPr>
          <w:p>
            <w:pPr>
              <w:spacing w:after="0"/>
              <w:rPr>
                <w:sz w:val="7"/>
                <w:szCs w:val="7"/>
                <w:color w:val="auto"/>
              </w:rPr>
            </w:pPr>
          </w:p>
        </w:tc>
        <w:tc>
          <w:tcPr>
            <w:tcW w:w="240" w:type="dxa"/>
            <w:vAlign w:val="bottom"/>
            <w:tcBorders>
              <w:bottom w:val="single" w:sz="8" w:color="auto"/>
            </w:tcBorders>
            <w:shd w:val="clear" w:color="auto" w:fill="DCE6F2"/>
          </w:tcPr>
          <w:p>
            <w:pPr>
              <w:spacing w:after="0"/>
              <w:rPr>
                <w:sz w:val="7"/>
                <w:szCs w:val="7"/>
                <w:color w:val="auto"/>
              </w:rPr>
            </w:pPr>
          </w:p>
        </w:tc>
        <w:tc>
          <w:tcPr>
            <w:tcW w:w="120" w:type="dxa"/>
            <w:vAlign w:val="bottom"/>
            <w:tcBorders>
              <w:bottom w:val="single" w:sz="8" w:color="auto"/>
            </w:tcBorders>
            <w:shd w:val="clear" w:color="auto" w:fill="DCE6F2"/>
          </w:tcPr>
          <w:p>
            <w:pPr>
              <w:spacing w:after="0"/>
              <w:rPr>
                <w:sz w:val="7"/>
                <w:szCs w:val="7"/>
                <w:color w:val="auto"/>
              </w:rPr>
            </w:pPr>
          </w:p>
        </w:tc>
        <w:tc>
          <w:tcPr>
            <w:tcW w:w="120" w:type="dxa"/>
            <w:vAlign w:val="bottom"/>
            <w:tcBorders>
              <w:bottom w:val="single" w:sz="8" w:color="auto"/>
              <w:right w:val="single" w:sz="8" w:color="DCE6F2"/>
            </w:tcBorders>
            <w:shd w:val="clear" w:color="auto" w:fill="DCE6F2"/>
          </w:tcPr>
          <w:p>
            <w:pPr>
              <w:spacing w:after="0"/>
              <w:rPr>
                <w:sz w:val="7"/>
                <w:szCs w:val="7"/>
                <w:color w:val="auto"/>
              </w:rPr>
            </w:pPr>
          </w:p>
        </w:tc>
        <w:tc>
          <w:tcPr>
            <w:tcW w:w="760" w:type="dxa"/>
            <w:vAlign w:val="bottom"/>
            <w:tcBorders>
              <w:bottom w:val="single" w:sz="8" w:color="auto"/>
              <w:right w:val="single" w:sz="8" w:color="auto"/>
            </w:tcBorders>
            <w:shd w:val="clear" w:color="auto" w:fill="DCE6F2"/>
          </w:tcPr>
          <w:p>
            <w:pPr>
              <w:spacing w:after="0"/>
              <w:rPr>
                <w:sz w:val="7"/>
                <w:szCs w:val="7"/>
                <w:color w:val="auto"/>
              </w:rPr>
            </w:pPr>
          </w:p>
        </w:tc>
        <w:tc>
          <w:tcPr>
            <w:tcW w:w="780" w:type="dxa"/>
            <w:vAlign w:val="bottom"/>
            <w:tcBorders>
              <w:bottom w:val="single" w:sz="8" w:color="auto"/>
              <w:right w:val="single" w:sz="8" w:color="95B3D7"/>
            </w:tcBorders>
            <w:shd w:val="clear" w:color="auto" w:fill="95B3D7"/>
          </w:tcPr>
          <w:p>
            <w:pPr>
              <w:spacing w:after="0"/>
              <w:rPr>
                <w:sz w:val="7"/>
                <w:szCs w:val="7"/>
                <w:color w:val="auto"/>
              </w:rPr>
            </w:pPr>
          </w:p>
        </w:tc>
        <w:tc>
          <w:tcPr>
            <w:tcW w:w="240" w:type="dxa"/>
            <w:vAlign w:val="bottom"/>
            <w:tcBorders>
              <w:bottom w:val="single" w:sz="8" w:color="auto"/>
            </w:tcBorders>
            <w:shd w:val="clear" w:color="auto" w:fill="95B3D7"/>
          </w:tcPr>
          <w:p>
            <w:pPr>
              <w:spacing w:after="0"/>
              <w:rPr>
                <w:sz w:val="7"/>
                <w:szCs w:val="7"/>
                <w:color w:val="auto"/>
              </w:rPr>
            </w:pPr>
          </w:p>
        </w:tc>
        <w:tc>
          <w:tcPr>
            <w:tcW w:w="400" w:type="dxa"/>
            <w:vAlign w:val="bottom"/>
            <w:tcBorders>
              <w:bottom w:val="single" w:sz="8" w:color="auto"/>
              <w:right w:val="single" w:sz="8" w:color="auto"/>
            </w:tcBorders>
            <w:shd w:val="clear" w:color="auto" w:fill="95B3D7"/>
          </w:tcPr>
          <w:p>
            <w:pPr>
              <w:spacing w:after="0"/>
              <w:rPr>
                <w:sz w:val="7"/>
                <w:szCs w:val="7"/>
                <w:color w:val="auto"/>
              </w:rPr>
            </w:pPr>
          </w:p>
        </w:tc>
        <w:tc>
          <w:tcPr>
            <w:tcW w:w="2060" w:type="dxa"/>
            <w:vAlign w:val="bottom"/>
            <w:tcBorders>
              <w:bottom w:val="single" w:sz="8" w:color="auto"/>
              <w:right w:val="single" w:sz="8" w:color="95B3D7"/>
            </w:tcBorders>
            <w:shd w:val="clear" w:color="auto" w:fill="95B3D7"/>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1600" w:type="dxa"/>
            <w:vAlign w:val="bottom"/>
            <w:tcBorders>
              <w:right w:val="single" w:sz="8" w:color="auto"/>
            </w:tcBorders>
          </w:tcPr>
          <w:p>
            <w:pPr>
              <w:jc w:val="center"/>
              <w:spacing w:after="0" w:line="177" w:lineRule="exact"/>
              <w:rPr>
                <w:sz w:val="20"/>
                <w:szCs w:val="20"/>
                <w:color w:val="auto"/>
              </w:rPr>
            </w:pPr>
            <w:r>
              <w:rPr>
                <w:rFonts w:ascii="Arial" w:cs="Arial" w:eastAsia="Arial" w:hAnsi="Arial"/>
                <w:sz w:val="18"/>
                <w:szCs w:val="18"/>
                <w:color w:val="auto"/>
                <w:w w:val="99"/>
              </w:rPr>
              <w:t>Adjusted Pre-Tax</w:t>
            </w:r>
          </w:p>
        </w:tc>
        <w:tc>
          <w:tcPr>
            <w:tcW w:w="980" w:type="dxa"/>
            <w:vAlign w:val="bottom"/>
            <w:vMerge w:val="restart"/>
          </w:tcPr>
          <w:p>
            <w:pPr>
              <w:jc w:val="right"/>
              <w:ind w:right="110"/>
              <w:spacing w:after="0"/>
              <w:rPr>
                <w:sz w:val="20"/>
                <w:szCs w:val="20"/>
                <w:color w:val="auto"/>
              </w:rPr>
            </w:pPr>
            <w:r>
              <w:rPr>
                <w:rFonts w:ascii="Arial" w:cs="Arial" w:eastAsia="Arial" w:hAnsi="Arial"/>
                <w:sz w:val="18"/>
                <w:szCs w:val="18"/>
                <w:color w:val="auto"/>
              </w:rPr>
              <w:t>100%</w:t>
            </w:r>
          </w:p>
        </w:tc>
        <w:tc>
          <w:tcPr>
            <w:tcW w:w="140" w:type="dxa"/>
            <w:vAlign w:val="bottom"/>
            <w:tcBorders>
              <w:right w:val="single" w:sz="8" w:color="auto"/>
            </w:tcBorders>
          </w:tcPr>
          <w:p>
            <w:pPr>
              <w:spacing w:after="0"/>
              <w:rPr>
                <w:sz w:val="15"/>
                <w:szCs w:val="15"/>
                <w:color w:val="auto"/>
              </w:rPr>
            </w:pP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$189.2M</w:t>
            </w:r>
          </w:p>
        </w:tc>
        <w:tc>
          <w:tcPr>
            <w:tcW w:w="180" w:type="dxa"/>
            <w:vAlign w:val="bottom"/>
          </w:tcPr>
          <w:p>
            <w:pPr>
              <w:spacing w:after="0"/>
              <w:rPr>
                <w:sz w:val="15"/>
                <w:szCs w:val="15"/>
                <w:color w:val="auto"/>
              </w:rPr>
            </w:pPr>
          </w:p>
        </w:tc>
        <w:tc>
          <w:tcPr>
            <w:tcW w:w="1060" w:type="dxa"/>
            <w:vAlign w:val="bottom"/>
            <w:tcBorders>
              <w:right w:val="single" w:sz="8" w:color="auto"/>
            </w:tcBorders>
            <w:gridSpan w:val="2"/>
            <w:vMerge w:val="restart"/>
          </w:tcPr>
          <w:p>
            <w:pPr>
              <w:jc w:val="center"/>
              <w:ind w:right="110"/>
              <w:spacing w:after="0"/>
              <w:rPr>
                <w:sz w:val="20"/>
                <w:szCs w:val="20"/>
                <w:color w:val="auto"/>
              </w:rPr>
            </w:pPr>
            <w:r>
              <w:rPr>
                <w:rFonts w:ascii="Arial" w:cs="Arial" w:eastAsia="Arial" w:hAnsi="Arial"/>
                <w:sz w:val="18"/>
                <w:szCs w:val="18"/>
                <w:color w:val="auto"/>
                <w:w w:val="99"/>
              </w:rPr>
              <w:t>$252.2M</w:t>
            </w:r>
          </w:p>
        </w:tc>
        <w:tc>
          <w:tcPr>
            <w:tcW w:w="240" w:type="dxa"/>
            <w:vAlign w:val="bottom"/>
          </w:tcPr>
          <w:p>
            <w:pPr>
              <w:spacing w:after="0"/>
              <w:rPr>
                <w:sz w:val="15"/>
                <w:szCs w:val="15"/>
                <w:color w:val="auto"/>
              </w:rPr>
            </w:pPr>
          </w:p>
        </w:tc>
        <w:tc>
          <w:tcPr>
            <w:tcW w:w="1000" w:type="dxa"/>
            <w:vAlign w:val="bottom"/>
            <w:tcBorders>
              <w:right w:val="single" w:sz="8" w:color="auto"/>
            </w:tcBorders>
            <w:gridSpan w:val="3"/>
            <w:vMerge w:val="restart"/>
          </w:tcPr>
          <w:p>
            <w:pPr>
              <w:jc w:val="center"/>
              <w:ind w:right="170"/>
              <w:spacing w:after="0"/>
              <w:rPr>
                <w:sz w:val="20"/>
                <w:szCs w:val="20"/>
                <w:color w:val="auto"/>
              </w:rPr>
            </w:pPr>
            <w:r>
              <w:rPr>
                <w:rFonts w:ascii="Arial" w:cs="Arial" w:eastAsia="Arial" w:hAnsi="Arial"/>
                <w:sz w:val="18"/>
                <w:szCs w:val="18"/>
                <w:color w:val="auto"/>
                <w:w w:val="99"/>
              </w:rPr>
              <w:t>$289.9M</w:t>
            </w:r>
          </w:p>
        </w:tc>
        <w:tc>
          <w:tcPr>
            <w:tcW w:w="1020" w:type="dxa"/>
            <w:vAlign w:val="bottom"/>
            <w:gridSpan w:val="2"/>
            <w:vMerge w:val="restart"/>
          </w:tcPr>
          <w:p>
            <w:pPr>
              <w:jc w:val="center"/>
              <w:ind w:left="290"/>
              <w:spacing w:after="0"/>
              <w:rPr>
                <w:sz w:val="20"/>
                <w:szCs w:val="20"/>
                <w:color w:val="auto"/>
              </w:rPr>
            </w:pPr>
            <w:r>
              <w:rPr>
                <w:rFonts w:ascii="Arial" w:cs="Arial" w:eastAsia="Arial" w:hAnsi="Arial"/>
                <w:sz w:val="18"/>
                <w:szCs w:val="18"/>
                <w:color w:val="auto"/>
              </w:rPr>
              <w:t>$263M</w:t>
            </w:r>
          </w:p>
        </w:tc>
        <w:tc>
          <w:tcPr>
            <w:tcW w:w="400" w:type="dxa"/>
            <w:vAlign w:val="bottom"/>
            <w:tcBorders>
              <w:right w:val="single" w:sz="8" w:color="auto"/>
            </w:tcBorders>
          </w:tcPr>
          <w:p>
            <w:pPr>
              <w:spacing w:after="0"/>
              <w:rPr>
                <w:sz w:val="15"/>
                <w:szCs w:val="15"/>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auto"/>
                <w:w w:val="99"/>
              </w:rPr>
              <w:t>122%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Income vs Budget</w:t>
            </w:r>
          </w:p>
        </w:tc>
        <w:tc>
          <w:tcPr>
            <w:tcW w:w="980" w:type="dxa"/>
            <w:vAlign w:val="bottom"/>
            <w:vMerge w:val="continue"/>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Borders>
              <w:right w:val="single" w:sz="8" w:color="auto"/>
            </w:tcBorders>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Borders>
              <w:right w:val="single" w:sz="8" w:color="auto"/>
            </w:tcBorders>
            <w:gridSpan w:val="3"/>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20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 See Appendix B)</w:t>
            </w:r>
          </w:p>
        </w:tc>
        <w:tc>
          <w:tcPr>
            <w:tcW w:w="980" w:type="dxa"/>
            <w:vAlign w:val="bottom"/>
            <w:tcBorders>
              <w:bottom w:val="single" w:sz="8" w:color="auto"/>
            </w:tcBorders>
          </w:tcPr>
          <w:p>
            <w:pPr>
              <w:spacing w:after="0"/>
              <w:rPr>
                <w:sz w:val="14"/>
                <w:szCs w:val="14"/>
                <w:color w:val="auto"/>
              </w:rPr>
            </w:pPr>
          </w:p>
        </w:tc>
        <w:tc>
          <w:tcPr>
            <w:tcW w:w="140" w:type="dxa"/>
            <w:vAlign w:val="bottom"/>
            <w:tcBorders>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0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600" w:type="dxa"/>
            <w:vAlign w:val="bottom"/>
            <w:tcBorders>
              <w:right w:val="single" w:sz="8" w:color="auto"/>
            </w:tcBorders>
          </w:tcPr>
          <w:p>
            <w:pPr>
              <w:jc w:val="center"/>
              <w:spacing w:after="0" w:line="177" w:lineRule="exact"/>
              <w:rPr>
                <w:sz w:val="20"/>
                <w:szCs w:val="20"/>
                <w:color w:val="auto"/>
              </w:rPr>
            </w:pPr>
            <w:r>
              <w:rPr>
                <w:rFonts w:ascii="Arial" w:cs="Arial" w:eastAsia="Arial" w:hAnsi="Arial"/>
                <w:sz w:val="18"/>
                <w:szCs w:val="18"/>
                <w:color w:val="auto"/>
                <w:w w:val="99"/>
              </w:rPr>
              <w:t>Change in Basic</w:t>
            </w:r>
          </w:p>
        </w:tc>
        <w:tc>
          <w:tcPr>
            <w:tcW w:w="980" w:type="dxa"/>
            <w:vAlign w:val="bottom"/>
            <w:vMerge w:val="restart"/>
          </w:tcPr>
          <w:p>
            <w:pPr>
              <w:jc w:val="center"/>
              <w:ind w:left="10"/>
              <w:spacing w:after="0"/>
              <w:rPr>
                <w:sz w:val="20"/>
                <w:szCs w:val="20"/>
                <w:color w:val="auto"/>
              </w:rPr>
            </w:pPr>
            <w:r>
              <w:rPr>
                <w:rFonts w:ascii="Arial" w:cs="Arial" w:eastAsia="Arial" w:hAnsi="Arial"/>
                <w:sz w:val="18"/>
                <w:szCs w:val="18"/>
                <w:color w:val="auto"/>
                <w:w w:val="98"/>
              </w:rPr>
              <w:t>Modifier:</w:t>
            </w:r>
          </w:p>
        </w:tc>
        <w:tc>
          <w:tcPr>
            <w:tcW w:w="140" w:type="dxa"/>
            <w:vAlign w:val="bottom"/>
            <w:tcBorders>
              <w:right w:val="single" w:sz="8" w:color="auto"/>
            </w:tcBorders>
          </w:tcPr>
          <w:p>
            <w:pPr>
              <w:spacing w:after="0"/>
              <w:rPr>
                <w:sz w:val="15"/>
                <w:szCs w:val="15"/>
                <w:color w:val="auto"/>
              </w:rPr>
            </w:pPr>
          </w:p>
        </w:tc>
        <w:tc>
          <w:tcPr>
            <w:tcW w:w="124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Borders>
              <w:right w:val="single" w:sz="8" w:color="auto"/>
            </w:tcBorders>
          </w:tcPr>
          <w:p>
            <w:pPr>
              <w:spacing w:after="0"/>
              <w:rPr>
                <w:sz w:val="15"/>
                <w:szCs w:val="15"/>
                <w:color w:val="auto"/>
              </w:rPr>
            </w:pPr>
          </w:p>
        </w:tc>
        <w:tc>
          <w:tcPr>
            <w:tcW w:w="2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600" w:type="dxa"/>
            <w:vAlign w:val="bottom"/>
            <w:tcBorders>
              <w:right w:val="single" w:sz="8" w:color="auto"/>
            </w:tcBorders>
            <w:vMerge w:val="restart"/>
          </w:tcPr>
          <w:p>
            <w:pPr>
              <w:jc w:val="center"/>
              <w:spacing w:after="0" w:line="202" w:lineRule="exact"/>
              <w:rPr>
                <w:sz w:val="20"/>
                <w:szCs w:val="20"/>
                <w:color w:val="auto"/>
              </w:rPr>
            </w:pPr>
            <w:r>
              <w:rPr>
                <w:rFonts w:ascii="Arial" w:cs="Arial" w:eastAsia="Arial" w:hAnsi="Arial"/>
                <w:sz w:val="18"/>
                <w:szCs w:val="18"/>
                <w:color w:val="auto"/>
                <w:w w:val="99"/>
              </w:rPr>
              <w:t>Common Stock</w:t>
            </w:r>
          </w:p>
        </w:tc>
        <w:tc>
          <w:tcPr>
            <w:tcW w:w="980" w:type="dxa"/>
            <w:vAlign w:val="bottom"/>
            <w:vMerge w:val="continue"/>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1240" w:type="dxa"/>
            <w:vAlign w:val="bottom"/>
            <w:tcBorders>
              <w:right w:val="single" w:sz="8" w:color="auto"/>
            </w:tcBorders>
            <w:vMerge w:val="restart"/>
          </w:tcPr>
          <w:p>
            <w:pPr>
              <w:jc w:val="center"/>
              <w:spacing w:after="0" w:line="202" w:lineRule="exact"/>
              <w:rPr>
                <w:sz w:val="20"/>
                <w:szCs w:val="20"/>
                <w:color w:val="auto"/>
              </w:rPr>
            </w:pPr>
            <w:r>
              <w:rPr>
                <w:rFonts w:ascii="Arial" w:cs="Arial" w:eastAsia="Arial" w:hAnsi="Arial"/>
                <w:sz w:val="18"/>
                <w:szCs w:val="18"/>
                <w:color w:val="auto"/>
                <w:w w:val="99"/>
              </w:rPr>
              <w:t>-5%</w:t>
            </w:r>
          </w:p>
        </w:tc>
        <w:tc>
          <w:tcPr>
            <w:tcW w:w="180" w:type="dxa"/>
            <w:vAlign w:val="bottom"/>
          </w:tcPr>
          <w:p>
            <w:pPr>
              <w:spacing w:after="0"/>
              <w:rPr>
                <w:sz w:val="8"/>
                <w:szCs w:val="8"/>
                <w:color w:val="auto"/>
              </w:rPr>
            </w:pPr>
          </w:p>
        </w:tc>
        <w:tc>
          <w:tcPr>
            <w:tcW w:w="1060" w:type="dxa"/>
            <w:vAlign w:val="bottom"/>
            <w:tcBorders>
              <w:right w:val="single" w:sz="8" w:color="auto"/>
            </w:tcBorders>
            <w:gridSpan w:val="2"/>
            <w:vMerge w:val="restart"/>
          </w:tcPr>
          <w:p>
            <w:pPr>
              <w:jc w:val="center"/>
              <w:ind w:right="110"/>
              <w:spacing w:after="0" w:line="202" w:lineRule="exact"/>
              <w:rPr>
                <w:sz w:val="20"/>
                <w:szCs w:val="20"/>
                <w:color w:val="auto"/>
              </w:rPr>
            </w:pPr>
            <w:r>
              <w:rPr>
                <w:rFonts w:ascii="Arial" w:cs="Arial" w:eastAsia="Arial" w:hAnsi="Arial"/>
                <w:sz w:val="18"/>
                <w:szCs w:val="18"/>
                <w:color w:val="auto"/>
                <w:w w:val="99"/>
              </w:rPr>
              <w:t>0%</w:t>
            </w: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Borders>
              <w:right w:val="single" w:sz="8" w:color="auto"/>
            </w:tcBorders>
            <w:gridSpan w:val="2"/>
            <w:vMerge w:val="restart"/>
          </w:tcPr>
          <w:p>
            <w:pPr>
              <w:jc w:val="center"/>
              <w:ind w:right="310"/>
              <w:spacing w:after="0" w:line="202" w:lineRule="exact"/>
              <w:rPr>
                <w:sz w:val="20"/>
                <w:szCs w:val="20"/>
                <w:color w:val="auto"/>
              </w:rPr>
            </w:pPr>
            <w:r>
              <w:rPr>
                <w:rFonts w:ascii="Arial" w:cs="Arial" w:eastAsia="Arial" w:hAnsi="Arial"/>
                <w:sz w:val="18"/>
                <w:szCs w:val="18"/>
                <w:color w:val="auto"/>
                <w:w w:val="98"/>
              </w:rPr>
              <w:t>+5%</w:t>
            </w:r>
          </w:p>
        </w:tc>
        <w:tc>
          <w:tcPr>
            <w:tcW w:w="1020" w:type="dxa"/>
            <w:vAlign w:val="bottom"/>
            <w:gridSpan w:val="2"/>
            <w:vMerge w:val="restart"/>
          </w:tcPr>
          <w:p>
            <w:pPr>
              <w:jc w:val="center"/>
              <w:ind w:left="290"/>
              <w:spacing w:after="0" w:line="202" w:lineRule="exact"/>
              <w:rPr>
                <w:sz w:val="20"/>
                <w:szCs w:val="20"/>
                <w:color w:val="auto"/>
              </w:rPr>
            </w:pPr>
            <w:r>
              <w:rPr>
                <w:rFonts w:ascii="Arial" w:cs="Arial" w:eastAsia="Arial" w:hAnsi="Arial"/>
                <w:sz w:val="18"/>
                <w:szCs w:val="18"/>
                <w:color w:val="auto"/>
                <w:w w:val="98"/>
              </w:rPr>
              <w:t>+4%</w:t>
            </w:r>
          </w:p>
        </w:tc>
        <w:tc>
          <w:tcPr>
            <w:tcW w:w="400" w:type="dxa"/>
            <w:vAlign w:val="bottom"/>
            <w:tcBorders>
              <w:right w:val="single" w:sz="8" w:color="auto"/>
            </w:tcBorders>
          </w:tcPr>
          <w:p>
            <w:pPr>
              <w:spacing w:after="0"/>
              <w:rPr>
                <w:sz w:val="8"/>
                <w:szCs w:val="8"/>
                <w:color w:val="auto"/>
              </w:rPr>
            </w:pPr>
          </w:p>
        </w:tc>
        <w:tc>
          <w:tcPr>
            <w:tcW w:w="206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9"/>
              </w:rPr>
              <w:t>104%</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600" w:type="dxa"/>
            <w:vAlign w:val="bottom"/>
            <w:tcBorders>
              <w:right w:val="single" w:sz="8" w:color="auto"/>
            </w:tcBorders>
            <w:vMerge w:val="continue"/>
          </w:tcPr>
          <w:p>
            <w:pPr>
              <w:spacing w:after="0"/>
              <w:rPr>
                <w:sz w:val="9"/>
                <w:szCs w:val="9"/>
                <w:color w:val="auto"/>
              </w:rPr>
            </w:pPr>
          </w:p>
        </w:tc>
        <w:tc>
          <w:tcPr>
            <w:tcW w:w="980" w:type="dxa"/>
            <w:vAlign w:val="bottom"/>
            <w:vMerge w:val="restart"/>
          </w:tcPr>
          <w:p>
            <w:pPr>
              <w:jc w:val="center"/>
              <w:ind w:left="50"/>
              <w:spacing w:after="0"/>
              <w:rPr>
                <w:sz w:val="20"/>
                <w:szCs w:val="20"/>
                <w:color w:val="auto"/>
              </w:rPr>
            </w:pPr>
            <w:r>
              <w:rPr>
                <w:rFonts w:ascii="Arial" w:cs="Arial" w:eastAsia="Arial" w:hAnsi="Arial"/>
                <w:sz w:val="18"/>
                <w:szCs w:val="18"/>
                <w:color w:val="auto"/>
              </w:rPr>
              <w:t>+/-5%</w:t>
            </w:r>
          </w:p>
        </w:tc>
        <w:tc>
          <w:tcPr>
            <w:tcW w:w="140" w:type="dxa"/>
            <w:vAlign w:val="bottom"/>
            <w:tcBorders>
              <w:right w:val="single" w:sz="8" w:color="auto"/>
            </w:tcBorders>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Borders>
              <w:right w:val="single" w:sz="8" w:color="auto"/>
            </w:tcBorders>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Borders>
              <w:right w:val="single" w:sz="8" w:color="auto"/>
            </w:tcBorders>
            <w:gridSpan w:val="2"/>
            <w:vMerge w:val="continue"/>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206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Outstanding</w:t>
            </w:r>
          </w:p>
        </w:tc>
        <w:tc>
          <w:tcPr>
            <w:tcW w:w="980" w:type="dxa"/>
            <w:vAlign w:val="bottom"/>
            <w:vMerge w:val="continue"/>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Borders>
              <w:right w:val="single" w:sz="8" w:color="auto"/>
            </w:tcBorders>
          </w:tcPr>
          <w:p>
            <w:pPr>
              <w:spacing w:after="0"/>
              <w:rPr>
                <w:sz w:val="11"/>
                <w:szCs w:val="11"/>
                <w:color w:val="auto"/>
              </w:rPr>
            </w:pPr>
          </w:p>
        </w:tc>
        <w:tc>
          <w:tcPr>
            <w:tcW w:w="2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1600" w:type="dxa"/>
            <w:vAlign w:val="bottom"/>
            <w:tcBorders>
              <w:bottom w:val="single" w:sz="8" w:color="auto"/>
              <w:right w:val="single" w:sz="8" w:color="auto"/>
            </w:tcBorders>
            <w:vMerge w:val="continue"/>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140" w:type="dxa"/>
            <w:vAlign w:val="bottom"/>
            <w:tcBorders>
              <w:bottom w:val="single" w:sz="8" w:color="auto"/>
              <w:right w:val="single" w:sz="8" w:color="auto"/>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80" w:type="dxa"/>
            <w:vAlign w:val="bottom"/>
            <w:tcBorders>
              <w:bottom w:val="single" w:sz="8" w:color="auto"/>
              <w:right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Borders>
              <w:bottom w:val="single" w:sz="8" w:color="auto"/>
              <w:right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400" w:type="dxa"/>
            <w:vAlign w:val="bottom"/>
            <w:tcBorders>
              <w:bottom w:val="single" w:sz="8" w:color="auto"/>
              <w:right w:val="single" w:sz="8" w:color="auto"/>
            </w:tcBorders>
          </w:tcPr>
          <w:p>
            <w:pPr>
              <w:spacing w:after="0"/>
              <w:rPr>
                <w:sz w:val="7"/>
                <w:szCs w:val="7"/>
                <w:color w:val="auto"/>
              </w:rPr>
            </w:pPr>
          </w:p>
        </w:tc>
        <w:tc>
          <w:tcPr>
            <w:tcW w:w="20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1600" w:type="dxa"/>
            <w:vAlign w:val="bottom"/>
            <w:tcBorders>
              <w:right w:val="single" w:sz="8" w:color="auto"/>
            </w:tcBorders>
          </w:tcPr>
          <w:p>
            <w:pPr>
              <w:jc w:val="center"/>
              <w:spacing w:after="0" w:line="177" w:lineRule="exact"/>
              <w:rPr>
                <w:sz w:val="20"/>
                <w:szCs w:val="20"/>
                <w:color w:val="auto"/>
              </w:rPr>
            </w:pPr>
            <w:r>
              <w:rPr>
                <w:rFonts w:ascii="Arial" w:cs="Arial" w:eastAsia="Arial" w:hAnsi="Arial"/>
                <w:sz w:val="18"/>
                <w:szCs w:val="18"/>
                <w:color w:val="auto"/>
                <w:w w:val="99"/>
              </w:rPr>
              <w:t>Change in</w:t>
            </w:r>
          </w:p>
        </w:tc>
        <w:tc>
          <w:tcPr>
            <w:tcW w:w="980" w:type="dxa"/>
            <w:vAlign w:val="bottom"/>
            <w:vMerge w:val="restart"/>
          </w:tcPr>
          <w:p>
            <w:pPr>
              <w:jc w:val="center"/>
              <w:ind w:left="10"/>
              <w:spacing w:after="0"/>
              <w:rPr>
                <w:sz w:val="20"/>
                <w:szCs w:val="20"/>
                <w:color w:val="auto"/>
              </w:rPr>
            </w:pPr>
            <w:r>
              <w:rPr>
                <w:rFonts w:ascii="Arial" w:cs="Arial" w:eastAsia="Arial" w:hAnsi="Arial"/>
                <w:sz w:val="18"/>
                <w:szCs w:val="18"/>
                <w:color w:val="auto"/>
                <w:w w:val="98"/>
              </w:rPr>
              <w:t>Modifier:</w:t>
            </w:r>
          </w:p>
        </w:tc>
        <w:tc>
          <w:tcPr>
            <w:tcW w:w="140" w:type="dxa"/>
            <w:vAlign w:val="bottom"/>
            <w:tcBorders>
              <w:right w:val="single" w:sz="8" w:color="auto"/>
            </w:tcBorders>
          </w:tcPr>
          <w:p>
            <w:pPr>
              <w:spacing w:after="0"/>
              <w:rPr>
                <w:sz w:val="15"/>
                <w:szCs w:val="15"/>
                <w:color w:val="auto"/>
              </w:rPr>
            </w:pPr>
          </w:p>
        </w:tc>
        <w:tc>
          <w:tcPr>
            <w:tcW w:w="124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Borders>
              <w:right w:val="single" w:sz="8" w:color="auto"/>
            </w:tcBorders>
          </w:tcPr>
          <w:p>
            <w:pPr>
              <w:spacing w:after="0"/>
              <w:rPr>
                <w:sz w:val="15"/>
                <w:szCs w:val="15"/>
                <w:color w:val="auto"/>
              </w:rPr>
            </w:pPr>
          </w:p>
        </w:tc>
        <w:tc>
          <w:tcPr>
            <w:tcW w:w="2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600" w:type="dxa"/>
            <w:vAlign w:val="bottom"/>
            <w:tcBorders>
              <w:right w:val="single" w:sz="8" w:color="auto"/>
            </w:tcBorders>
            <w:vMerge w:val="restart"/>
          </w:tcPr>
          <w:p>
            <w:pPr>
              <w:jc w:val="center"/>
              <w:spacing w:after="0" w:line="202" w:lineRule="exact"/>
              <w:rPr>
                <w:sz w:val="20"/>
                <w:szCs w:val="20"/>
                <w:color w:val="auto"/>
              </w:rPr>
            </w:pPr>
            <w:r>
              <w:rPr>
                <w:rFonts w:ascii="Arial" w:cs="Arial" w:eastAsia="Arial" w:hAnsi="Arial"/>
                <w:sz w:val="18"/>
                <w:szCs w:val="18"/>
                <w:color w:val="auto"/>
                <w:w w:val="99"/>
              </w:rPr>
              <w:t>Adjusted Earnings</w:t>
            </w:r>
          </w:p>
        </w:tc>
        <w:tc>
          <w:tcPr>
            <w:tcW w:w="980" w:type="dxa"/>
            <w:vAlign w:val="bottom"/>
            <w:vMerge w:val="continue"/>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1240" w:type="dxa"/>
            <w:vAlign w:val="bottom"/>
            <w:tcBorders>
              <w:right w:val="single" w:sz="8" w:color="auto"/>
            </w:tcBorders>
            <w:vMerge w:val="restart"/>
          </w:tcPr>
          <w:p>
            <w:pPr>
              <w:jc w:val="center"/>
              <w:spacing w:after="0" w:line="202" w:lineRule="exact"/>
              <w:rPr>
                <w:sz w:val="20"/>
                <w:szCs w:val="20"/>
                <w:color w:val="auto"/>
              </w:rPr>
            </w:pPr>
            <w:r>
              <w:rPr>
                <w:rFonts w:ascii="Arial" w:cs="Arial" w:eastAsia="Arial" w:hAnsi="Arial"/>
                <w:sz w:val="18"/>
                <w:szCs w:val="18"/>
                <w:color w:val="auto"/>
                <w:w w:val="99"/>
              </w:rPr>
              <w:t>-15%</w:t>
            </w:r>
          </w:p>
        </w:tc>
        <w:tc>
          <w:tcPr>
            <w:tcW w:w="180" w:type="dxa"/>
            <w:vAlign w:val="bottom"/>
          </w:tcPr>
          <w:p>
            <w:pPr>
              <w:spacing w:after="0"/>
              <w:rPr>
                <w:sz w:val="8"/>
                <w:szCs w:val="8"/>
                <w:color w:val="auto"/>
              </w:rPr>
            </w:pPr>
          </w:p>
        </w:tc>
        <w:tc>
          <w:tcPr>
            <w:tcW w:w="1060" w:type="dxa"/>
            <w:vAlign w:val="bottom"/>
            <w:tcBorders>
              <w:right w:val="single" w:sz="8" w:color="auto"/>
            </w:tcBorders>
            <w:gridSpan w:val="2"/>
            <w:vMerge w:val="restart"/>
          </w:tcPr>
          <w:p>
            <w:pPr>
              <w:jc w:val="center"/>
              <w:ind w:right="130"/>
              <w:spacing w:after="0" w:line="202" w:lineRule="exact"/>
              <w:rPr>
                <w:sz w:val="20"/>
                <w:szCs w:val="20"/>
                <w:color w:val="auto"/>
              </w:rPr>
            </w:pPr>
            <w:r>
              <w:rPr>
                <w:rFonts w:ascii="Arial" w:cs="Arial" w:eastAsia="Arial" w:hAnsi="Arial"/>
                <w:sz w:val="18"/>
                <w:szCs w:val="18"/>
                <w:color w:val="auto"/>
                <w:w w:val="98"/>
              </w:rPr>
              <w:t>+0%</w:t>
            </w: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Borders>
              <w:right w:val="single" w:sz="8" w:color="auto"/>
            </w:tcBorders>
            <w:gridSpan w:val="2"/>
            <w:vMerge w:val="restart"/>
          </w:tcPr>
          <w:p>
            <w:pPr>
              <w:jc w:val="center"/>
              <w:ind w:right="290"/>
              <w:spacing w:after="0" w:line="202" w:lineRule="exact"/>
              <w:rPr>
                <w:sz w:val="20"/>
                <w:szCs w:val="20"/>
                <w:color w:val="auto"/>
              </w:rPr>
            </w:pPr>
            <w:r>
              <w:rPr>
                <w:rFonts w:ascii="Arial" w:cs="Arial" w:eastAsia="Arial" w:hAnsi="Arial"/>
                <w:sz w:val="18"/>
                <w:szCs w:val="18"/>
                <w:color w:val="auto"/>
                <w:w w:val="98"/>
              </w:rPr>
              <w:t>+15%</w:t>
            </w:r>
          </w:p>
        </w:tc>
        <w:tc>
          <w:tcPr>
            <w:tcW w:w="1020" w:type="dxa"/>
            <w:vAlign w:val="bottom"/>
            <w:gridSpan w:val="2"/>
            <w:vMerge w:val="restart"/>
          </w:tcPr>
          <w:p>
            <w:pPr>
              <w:jc w:val="center"/>
              <w:ind w:left="290"/>
              <w:spacing w:after="0" w:line="202" w:lineRule="exact"/>
              <w:rPr>
                <w:sz w:val="20"/>
                <w:szCs w:val="20"/>
                <w:color w:val="auto"/>
              </w:rPr>
            </w:pPr>
            <w:r>
              <w:rPr>
                <w:rFonts w:ascii="Arial" w:cs="Arial" w:eastAsia="Arial" w:hAnsi="Arial"/>
                <w:sz w:val="18"/>
                <w:szCs w:val="18"/>
                <w:color w:val="auto"/>
                <w:w w:val="99"/>
              </w:rPr>
              <w:t>-5%</w:t>
            </w:r>
          </w:p>
        </w:tc>
        <w:tc>
          <w:tcPr>
            <w:tcW w:w="400" w:type="dxa"/>
            <w:vAlign w:val="bottom"/>
            <w:tcBorders>
              <w:right w:val="single" w:sz="8" w:color="auto"/>
            </w:tcBorders>
          </w:tcPr>
          <w:p>
            <w:pPr>
              <w:spacing w:after="0"/>
              <w:rPr>
                <w:sz w:val="8"/>
                <w:szCs w:val="8"/>
                <w:color w:val="auto"/>
              </w:rPr>
            </w:pPr>
          </w:p>
        </w:tc>
        <w:tc>
          <w:tcPr>
            <w:tcW w:w="206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9"/>
              </w:rPr>
              <w:t>95%</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600" w:type="dxa"/>
            <w:vAlign w:val="bottom"/>
            <w:tcBorders>
              <w:right w:val="single" w:sz="8" w:color="auto"/>
            </w:tcBorders>
            <w:vMerge w:val="continue"/>
          </w:tcPr>
          <w:p>
            <w:pPr>
              <w:spacing w:after="0"/>
              <w:rPr>
                <w:sz w:val="9"/>
                <w:szCs w:val="9"/>
                <w:color w:val="auto"/>
              </w:rPr>
            </w:pPr>
          </w:p>
        </w:tc>
        <w:tc>
          <w:tcPr>
            <w:tcW w:w="980" w:type="dxa"/>
            <w:vAlign w:val="bottom"/>
            <w:vMerge w:val="restart"/>
          </w:tcPr>
          <w:p>
            <w:pPr>
              <w:jc w:val="right"/>
              <w:ind w:right="70"/>
              <w:spacing w:after="0"/>
              <w:rPr>
                <w:sz w:val="20"/>
                <w:szCs w:val="20"/>
                <w:color w:val="auto"/>
              </w:rPr>
            </w:pPr>
            <w:r>
              <w:rPr>
                <w:rFonts w:ascii="Arial" w:cs="Arial" w:eastAsia="Arial" w:hAnsi="Arial"/>
                <w:sz w:val="18"/>
                <w:szCs w:val="18"/>
                <w:color w:val="auto"/>
              </w:rPr>
              <w:t>+/-15%</w:t>
            </w:r>
          </w:p>
        </w:tc>
        <w:tc>
          <w:tcPr>
            <w:tcW w:w="140" w:type="dxa"/>
            <w:vAlign w:val="bottom"/>
            <w:tcBorders>
              <w:right w:val="single" w:sz="8" w:color="auto"/>
            </w:tcBorders>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Borders>
              <w:right w:val="single" w:sz="8" w:color="auto"/>
            </w:tcBorders>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Borders>
              <w:right w:val="single" w:sz="8" w:color="auto"/>
            </w:tcBorders>
            <w:gridSpan w:val="2"/>
            <w:vMerge w:val="continue"/>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206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60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per Share (EPS)</w:t>
            </w:r>
          </w:p>
        </w:tc>
        <w:tc>
          <w:tcPr>
            <w:tcW w:w="980" w:type="dxa"/>
            <w:vAlign w:val="bottom"/>
            <w:vMerge w:val="continue"/>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Borders>
              <w:right w:val="single" w:sz="8" w:color="auto"/>
            </w:tcBorders>
          </w:tcPr>
          <w:p>
            <w:pPr>
              <w:spacing w:after="0"/>
              <w:rPr>
                <w:sz w:val="11"/>
                <w:szCs w:val="11"/>
                <w:color w:val="auto"/>
              </w:rPr>
            </w:pPr>
          </w:p>
        </w:tc>
        <w:tc>
          <w:tcPr>
            <w:tcW w:w="2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600" w:type="dxa"/>
            <w:vAlign w:val="bottom"/>
            <w:tcBorders>
              <w:bottom w:val="single" w:sz="8" w:color="auto"/>
              <w:right w:val="single" w:sz="8" w:color="auto"/>
            </w:tcBorders>
            <w:vMerge w:val="continue"/>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40" w:type="dxa"/>
            <w:vAlign w:val="bottom"/>
            <w:tcBorders>
              <w:bottom w:val="single" w:sz="8" w:color="auto"/>
              <w:right w:val="single" w:sz="8" w:color="auto"/>
            </w:tcBorders>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80" w:type="dxa"/>
            <w:vAlign w:val="bottom"/>
            <w:tcBorders>
              <w:bottom w:val="single" w:sz="8" w:color="auto"/>
              <w:right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6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00" w:type="dxa"/>
            <w:vAlign w:val="bottom"/>
            <w:tcBorders>
              <w:bottom w:val="single" w:sz="8" w:color="auto"/>
              <w:right w:val="single" w:sz="8" w:color="auto"/>
            </w:tcBorders>
          </w:tcPr>
          <w:p>
            <w:pPr>
              <w:spacing w:after="0"/>
              <w:rPr>
                <w:sz w:val="8"/>
                <w:szCs w:val="8"/>
                <w:color w:val="auto"/>
              </w:rPr>
            </w:pPr>
          </w:p>
        </w:tc>
        <w:tc>
          <w:tcPr>
            <w:tcW w:w="20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1600" w:type="dxa"/>
            <w:vAlign w:val="bottom"/>
            <w:tcBorders>
              <w:left w:val="single" w:sz="8" w:color="auto"/>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660" w:type="dxa"/>
            <w:vAlign w:val="bottom"/>
            <w:tcBorders>
              <w:bottom w:val="single" w:sz="8" w:color="auto"/>
              <w:right w:val="single" w:sz="8" w:color="auto"/>
            </w:tcBorders>
            <w:gridSpan w:val="7"/>
          </w:tcPr>
          <w:p>
            <w:pPr>
              <w:spacing w:after="0" w:line="202" w:lineRule="exact"/>
              <w:rPr>
                <w:sz w:val="20"/>
                <w:szCs w:val="20"/>
                <w:color w:val="auto"/>
              </w:rPr>
            </w:pPr>
            <w:r>
              <w:rPr>
                <w:rFonts w:ascii="Arial" w:cs="Arial" w:eastAsia="Arial" w:hAnsi="Arial"/>
                <w:sz w:val="18"/>
                <w:szCs w:val="18"/>
                <w:b w:val="1"/>
                <w:bCs w:val="1"/>
                <w:color w:val="auto"/>
                <w:w w:val="98"/>
              </w:rPr>
              <w:t>Overall Funding as % of Target</w:t>
            </w:r>
          </w:p>
        </w:tc>
        <w:tc>
          <w:tcPr>
            <w:tcW w:w="2060" w:type="dxa"/>
            <w:vAlign w:val="bottom"/>
            <w:tcBorders>
              <w:bottom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8"/>
              </w:rPr>
              <w:t>120.8%</w:t>
            </w:r>
          </w:p>
        </w:tc>
        <w:tc>
          <w:tcPr>
            <w:tcW w:w="20" w:type="dxa"/>
            <w:vAlign w:val="bottom"/>
            <w:tcBorders>
              <w:bottom w:val="single" w:sz="8" w:color="auto"/>
            </w:tcBorders>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1600" w:type="dxa"/>
            <w:vAlign w:val="bottom"/>
            <w:tcBorders>
              <w:left w:val="single" w:sz="8" w:color="auto"/>
              <w:right w:val="single" w:sz="8" w:color="auto"/>
            </w:tcBorders>
            <w:shd w:val="clear" w:color="auto" w:fill="B9CDE5"/>
          </w:tcPr>
          <w:p>
            <w:pPr>
              <w:spacing w:after="0"/>
              <w:rPr>
                <w:sz w:val="23"/>
                <w:szCs w:val="23"/>
                <w:color w:val="auto"/>
              </w:rPr>
            </w:pPr>
          </w:p>
        </w:tc>
        <w:tc>
          <w:tcPr>
            <w:tcW w:w="980" w:type="dxa"/>
            <w:vAlign w:val="bottom"/>
            <w:shd w:val="clear" w:color="auto" w:fill="B9CDE5"/>
          </w:tcPr>
          <w:p>
            <w:pPr>
              <w:spacing w:after="0"/>
              <w:rPr>
                <w:sz w:val="23"/>
                <w:szCs w:val="23"/>
                <w:color w:val="auto"/>
              </w:rPr>
            </w:pPr>
          </w:p>
        </w:tc>
        <w:tc>
          <w:tcPr>
            <w:tcW w:w="140" w:type="dxa"/>
            <w:vAlign w:val="bottom"/>
            <w:tcBorders>
              <w:right w:val="single" w:sz="8" w:color="B9CDE5"/>
            </w:tcBorders>
            <w:shd w:val="clear" w:color="auto" w:fill="B9CDE5"/>
          </w:tcPr>
          <w:p>
            <w:pPr>
              <w:spacing w:after="0"/>
              <w:rPr>
                <w:sz w:val="23"/>
                <w:szCs w:val="23"/>
                <w:color w:val="auto"/>
              </w:rPr>
            </w:pPr>
          </w:p>
        </w:tc>
        <w:tc>
          <w:tcPr>
            <w:tcW w:w="1240" w:type="dxa"/>
            <w:vAlign w:val="bottom"/>
            <w:tcBorders>
              <w:right w:val="single" w:sz="8" w:color="B9CDE5"/>
            </w:tcBorders>
            <w:shd w:val="clear" w:color="auto" w:fill="B9CDE5"/>
          </w:tcPr>
          <w:p>
            <w:pPr>
              <w:spacing w:after="0"/>
              <w:rPr>
                <w:sz w:val="23"/>
                <w:szCs w:val="23"/>
                <w:color w:val="auto"/>
              </w:rPr>
            </w:pPr>
          </w:p>
        </w:tc>
        <w:tc>
          <w:tcPr>
            <w:tcW w:w="180" w:type="dxa"/>
            <w:vAlign w:val="bottom"/>
            <w:shd w:val="clear" w:color="auto" w:fill="B9CDE5"/>
          </w:tcPr>
          <w:p>
            <w:pPr>
              <w:spacing w:after="0"/>
              <w:rPr>
                <w:sz w:val="23"/>
                <w:szCs w:val="23"/>
                <w:color w:val="auto"/>
              </w:rPr>
            </w:pPr>
          </w:p>
        </w:tc>
        <w:tc>
          <w:tcPr>
            <w:tcW w:w="180" w:type="dxa"/>
            <w:vAlign w:val="bottom"/>
            <w:tcBorders>
              <w:right w:val="single" w:sz="8" w:color="auto"/>
            </w:tcBorders>
            <w:shd w:val="clear" w:color="auto" w:fill="B9CDE5"/>
          </w:tcPr>
          <w:p>
            <w:pPr>
              <w:spacing w:after="0"/>
              <w:rPr>
                <w:sz w:val="23"/>
                <w:szCs w:val="23"/>
                <w:color w:val="auto"/>
              </w:rPr>
            </w:pPr>
          </w:p>
        </w:tc>
        <w:tc>
          <w:tcPr>
            <w:tcW w:w="880" w:type="dxa"/>
            <w:vAlign w:val="bottom"/>
            <w:tcBorders>
              <w:right w:val="single" w:sz="8" w:color="DCE6F2"/>
            </w:tcBorders>
            <w:shd w:val="clear" w:color="auto" w:fill="DCE6F2"/>
          </w:tcPr>
          <w:p>
            <w:pPr>
              <w:spacing w:after="0"/>
              <w:rPr>
                <w:sz w:val="23"/>
                <w:szCs w:val="23"/>
                <w:color w:val="auto"/>
              </w:rPr>
            </w:pPr>
          </w:p>
        </w:tc>
        <w:tc>
          <w:tcPr>
            <w:tcW w:w="240" w:type="dxa"/>
            <w:vAlign w:val="bottom"/>
            <w:shd w:val="clear" w:color="auto" w:fill="DCE6F2"/>
          </w:tcPr>
          <w:p>
            <w:pPr>
              <w:spacing w:after="0"/>
              <w:rPr>
                <w:sz w:val="23"/>
                <w:szCs w:val="23"/>
                <w:color w:val="auto"/>
              </w:rPr>
            </w:pPr>
          </w:p>
        </w:tc>
        <w:tc>
          <w:tcPr>
            <w:tcW w:w="120" w:type="dxa"/>
            <w:vAlign w:val="bottom"/>
            <w:shd w:val="clear" w:color="auto" w:fill="DCE6F2"/>
          </w:tcPr>
          <w:p>
            <w:pPr>
              <w:spacing w:after="0"/>
              <w:rPr>
                <w:sz w:val="23"/>
                <w:szCs w:val="23"/>
                <w:color w:val="auto"/>
              </w:rPr>
            </w:pPr>
          </w:p>
        </w:tc>
        <w:tc>
          <w:tcPr>
            <w:tcW w:w="120" w:type="dxa"/>
            <w:vAlign w:val="bottom"/>
            <w:tcBorders>
              <w:right w:val="single" w:sz="8" w:color="auto"/>
            </w:tcBorders>
            <w:shd w:val="clear" w:color="auto" w:fill="DCE6F2"/>
          </w:tcPr>
          <w:p>
            <w:pPr>
              <w:spacing w:after="0"/>
              <w:rPr>
                <w:sz w:val="23"/>
                <w:szCs w:val="23"/>
                <w:color w:val="auto"/>
              </w:rPr>
            </w:pPr>
          </w:p>
        </w:tc>
        <w:tc>
          <w:tcPr>
            <w:tcW w:w="1540" w:type="dxa"/>
            <w:vAlign w:val="bottom"/>
            <w:tcBorders>
              <w:right w:val="single" w:sz="8" w:color="auto"/>
            </w:tcBorders>
            <w:gridSpan w:val="2"/>
            <w:shd w:val="clear" w:color="auto" w:fill="95B3D7"/>
          </w:tcPr>
          <w:p>
            <w:pPr>
              <w:jc w:val="center"/>
              <w:spacing w:after="0"/>
              <w:rPr>
                <w:sz w:val="20"/>
                <w:szCs w:val="20"/>
                <w:color w:val="auto"/>
              </w:rPr>
            </w:pPr>
            <w:r>
              <w:rPr>
                <w:rFonts w:ascii="Arial" w:cs="Arial" w:eastAsia="Arial" w:hAnsi="Arial"/>
                <w:sz w:val="18"/>
                <w:szCs w:val="18"/>
                <w:b w:val="1"/>
                <w:bCs w:val="1"/>
                <w:color w:val="auto"/>
              </w:rPr>
              <w:t>Actual</w:t>
            </w:r>
          </w:p>
        </w:tc>
        <w:tc>
          <w:tcPr>
            <w:tcW w:w="240" w:type="dxa"/>
            <w:vAlign w:val="bottom"/>
            <w:shd w:val="clear" w:color="auto" w:fill="95B3D7"/>
          </w:tcPr>
          <w:p>
            <w:pPr>
              <w:spacing w:after="0"/>
              <w:rPr>
                <w:sz w:val="23"/>
                <w:szCs w:val="23"/>
                <w:color w:val="auto"/>
              </w:rPr>
            </w:pPr>
          </w:p>
        </w:tc>
        <w:tc>
          <w:tcPr>
            <w:tcW w:w="400" w:type="dxa"/>
            <w:vAlign w:val="bottom"/>
            <w:tcBorders>
              <w:right w:val="single" w:sz="8" w:color="95B3D7"/>
            </w:tcBorders>
            <w:shd w:val="clear" w:color="auto" w:fill="95B3D7"/>
          </w:tcPr>
          <w:p>
            <w:pPr>
              <w:spacing w:after="0"/>
              <w:rPr>
                <w:sz w:val="23"/>
                <w:szCs w:val="23"/>
                <w:color w:val="auto"/>
              </w:rPr>
            </w:pPr>
          </w:p>
        </w:tc>
        <w:tc>
          <w:tcPr>
            <w:tcW w:w="2060" w:type="dxa"/>
            <w:vAlign w:val="bottom"/>
            <w:tcBorders>
              <w:right w:val="single" w:sz="8" w:color="95B3D7"/>
            </w:tcBorders>
            <w:shd w:val="clear" w:color="auto" w:fill="95B3D7"/>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1600" w:type="dxa"/>
            <w:vAlign w:val="bottom"/>
            <w:tcBorders>
              <w:left w:val="single" w:sz="8" w:color="auto"/>
              <w:right w:val="single" w:sz="8" w:color="auto"/>
            </w:tcBorders>
            <w:shd w:val="clear" w:color="auto" w:fill="B9CDE5"/>
          </w:tcPr>
          <w:p>
            <w:pPr>
              <w:spacing w:after="0"/>
              <w:rPr>
                <w:sz w:val="17"/>
                <w:szCs w:val="17"/>
                <w:color w:val="auto"/>
              </w:rPr>
            </w:pPr>
          </w:p>
        </w:tc>
        <w:tc>
          <w:tcPr>
            <w:tcW w:w="980" w:type="dxa"/>
            <w:vAlign w:val="bottom"/>
            <w:shd w:val="clear" w:color="auto" w:fill="B9CDE5"/>
          </w:tcPr>
          <w:p>
            <w:pPr>
              <w:spacing w:after="0"/>
              <w:rPr>
                <w:sz w:val="17"/>
                <w:szCs w:val="17"/>
                <w:color w:val="auto"/>
              </w:rPr>
            </w:pPr>
          </w:p>
        </w:tc>
        <w:tc>
          <w:tcPr>
            <w:tcW w:w="140" w:type="dxa"/>
            <w:vAlign w:val="bottom"/>
            <w:tcBorders>
              <w:right w:val="single" w:sz="8" w:color="B9CDE5"/>
            </w:tcBorders>
            <w:shd w:val="clear" w:color="auto" w:fill="B9CDE5"/>
          </w:tcPr>
          <w:p>
            <w:pPr>
              <w:spacing w:after="0"/>
              <w:rPr>
                <w:sz w:val="17"/>
                <w:szCs w:val="17"/>
                <w:color w:val="auto"/>
              </w:rPr>
            </w:pPr>
          </w:p>
        </w:tc>
        <w:tc>
          <w:tcPr>
            <w:tcW w:w="1240" w:type="dxa"/>
            <w:vAlign w:val="bottom"/>
            <w:tcBorders>
              <w:right w:val="single" w:sz="8" w:color="B9CDE5"/>
            </w:tcBorders>
            <w:shd w:val="clear" w:color="auto" w:fill="B9CDE5"/>
          </w:tcPr>
          <w:p>
            <w:pPr>
              <w:spacing w:after="0"/>
              <w:rPr>
                <w:sz w:val="17"/>
                <w:szCs w:val="17"/>
                <w:color w:val="auto"/>
              </w:rPr>
            </w:pPr>
          </w:p>
        </w:tc>
        <w:tc>
          <w:tcPr>
            <w:tcW w:w="180" w:type="dxa"/>
            <w:vAlign w:val="bottom"/>
            <w:shd w:val="clear" w:color="auto" w:fill="B9CDE5"/>
          </w:tcPr>
          <w:p>
            <w:pPr>
              <w:spacing w:after="0"/>
              <w:rPr>
                <w:sz w:val="17"/>
                <w:szCs w:val="17"/>
                <w:color w:val="auto"/>
              </w:rPr>
            </w:pPr>
          </w:p>
        </w:tc>
        <w:tc>
          <w:tcPr>
            <w:tcW w:w="180" w:type="dxa"/>
            <w:vAlign w:val="bottom"/>
            <w:tcBorders>
              <w:right w:val="single" w:sz="8" w:color="auto"/>
            </w:tcBorders>
            <w:shd w:val="clear" w:color="auto" w:fill="B9CDE5"/>
          </w:tcPr>
          <w:p>
            <w:pPr>
              <w:spacing w:after="0"/>
              <w:rPr>
                <w:sz w:val="17"/>
                <w:szCs w:val="17"/>
                <w:color w:val="auto"/>
              </w:rPr>
            </w:pPr>
          </w:p>
        </w:tc>
        <w:tc>
          <w:tcPr>
            <w:tcW w:w="880" w:type="dxa"/>
            <w:vAlign w:val="bottom"/>
            <w:tcBorders>
              <w:right w:val="single" w:sz="8" w:color="DCE6F2"/>
            </w:tcBorders>
            <w:shd w:val="clear" w:color="auto" w:fill="DCE6F2"/>
          </w:tcPr>
          <w:p>
            <w:pPr>
              <w:spacing w:after="0"/>
              <w:rPr>
                <w:sz w:val="17"/>
                <w:szCs w:val="17"/>
                <w:color w:val="auto"/>
              </w:rPr>
            </w:pPr>
          </w:p>
        </w:tc>
        <w:tc>
          <w:tcPr>
            <w:tcW w:w="240" w:type="dxa"/>
            <w:vAlign w:val="bottom"/>
            <w:shd w:val="clear" w:color="auto" w:fill="DCE6F2"/>
          </w:tcPr>
          <w:p>
            <w:pPr>
              <w:spacing w:after="0"/>
              <w:rPr>
                <w:sz w:val="17"/>
                <w:szCs w:val="17"/>
                <w:color w:val="auto"/>
              </w:rPr>
            </w:pPr>
          </w:p>
        </w:tc>
        <w:tc>
          <w:tcPr>
            <w:tcW w:w="120" w:type="dxa"/>
            <w:vAlign w:val="bottom"/>
            <w:shd w:val="clear" w:color="auto" w:fill="DCE6F2"/>
          </w:tcPr>
          <w:p>
            <w:pPr>
              <w:spacing w:after="0"/>
              <w:rPr>
                <w:sz w:val="17"/>
                <w:szCs w:val="17"/>
                <w:color w:val="auto"/>
              </w:rPr>
            </w:pPr>
          </w:p>
        </w:tc>
        <w:tc>
          <w:tcPr>
            <w:tcW w:w="120" w:type="dxa"/>
            <w:vAlign w:val="bottom"/>
            <w:tcBorders>
              <w:right w:val="single" w:sz="8" w:color="auto"/>
            </w:tcBorders>
            <w:shd w:val="clear" w:color="auto" w:fill="DCE6F2"/>
          </w:tcPr>
          <w:p>
            <w:pPr>
              <w:spacing w:after="0"/>
              <w:rPr>
                <w:sz w:val="17"/>
                <w:szCs w:val="17"/>
                <w:color w:val="auto"/>
              </w:rPr>
            </w:pPr>
          </w:p>
        </w:tc>
        <w:tc>
          <w:tcPr>
            <w:tcW w:w="1540" w:type="dxa"/>
            <w:vAlign w:val="bottom"/>
            <w:tcBorders>
              <w:right w:val="single" w:sz="8" w:color="auto"/>
            </w:tcBorders>
            <w:gridSpan w:val="2"/>
            <w:shd w:val="clear" w:color="auto" w:fill="95B3D7"/>
          </w:tcPr>
          <w:p>
            <w:pPr>
              <w:jc w:val="center"/>
              <w:spacing w:after="0" w:line="202" w:lineRule="exact"/>
              <w:rPr>
                <w:sz w:val="20"/>
                <w:szCs w:val="20"/>
                <w:color w:val="auto"/>
              </w:rPr>
            </w:pPr>
            <w:r>
              <w:rPr>
                <w:rFonts w:ascii="Arial" w:cs="Arial" w:eastAsia="Arial" w:hAnsi="Arial"/>
                <w:sz w:val="18"/>
                <w:szCs w:val="18"/>
                <w:b w:val="1"/>
                <w:bCs w:val="1"/>
                <w:color w:val="auto"/>
                <w:w w:val="99"/>
              </w:rPr>
              <w:t>Achievement as</w:t>
            </w:r>
          </w:p>
        </w:tc>
        <w:tc>
          <w:tcPr>
            <w:tcW w:w="240" w:type="dxa"/>
            <w:vAlign w:val="bottom"/>
            <w:shd w:val="clear" w:color="auto" w:fill="95B3D7"/>
          </w:tcPr>
          <w:p>
            <w:pPr>
              <w:spacing w:after="0"/>
              <w:rPr>
                <w:sz w:val="17"/>
                <w:szCs w:val="17"/>
                <w:color w:val="auto"/>
              </w:rPr>
            </w:pPr>
          </w:p>
        </w:tc>
        <w:tc>
          <w:tcPr>
            <w:tcW w:w="2460" w:type="dxa"/>
            <w:vAlign w:val="bottom"/>
            <w:tcBorders>
              <w:right w:val="single" w:sz="8" w:color="95B3D7"/>
            </w:tcBorders>
            <w:gridSpan w:val="2"/>
            <w:vMerge w:val="restart"/>
            <w:shd w:val="clear" w:color="auto" w:fill="95B3D7"/>
          </w:tcPr>
          <w:p>
            <w:pPr>
              <w:jc w:val="center"/>
              <w:ind w:right="150"/>
              <w:spacing w:after="0"/>
              <w:rPr>
                <w:sz w:val="20"/>
                <w:szCs w:val="20"/>
                <w:color w:val="auto"/>
              </w:rPr>
            </w:pPr>
            <w:r>
              <w:rPr>
                <w:rFonts w:ascii="Arial" w:cs="Arial" w:eastAsia="Arial" w:hAnsi="Arial"/>
                <w:sz w:val="18"/>
                <w:szCs w:val="18"/>
                <w:b w:val="1"/>
                <w:bCs w:val="1"/>
                <w:color w:val="auto"/>
                <w:w w:val="99"/>
              </w:rPr>
              <w:t>Fiscal 2026 Annual Cash</w:t>
            </w: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1600" w:type="dxa"/>
            <w:vAlign w:val="bottom"/>
            <w:tcBorders>
              <w:left w:val="single" w:sz="8" w:color="auto"/>
              <w:right w:val="single" w:sz="8" w:color="auto"/>
            </w:tcBorders>
            <w:vMerge w:val="restart"/>
            <w:shd w:val="clear" w:color="auto" w:fill="B9CDE5"/>
          </w:tcPr>
          <w:p>
            <w:pPr>
              <w:jc w:val="center"/>
              <w:spacing w:after="0"/>
              <w:rPr>
                <w:sz w:val="20"/>
                <w:szCs w:val="20"/>
                <w:color w:val="auto"/>
              </w:rPr>
            </w:pPr>
            <w:r>
              <w:rPr>
                <w:rFonts w:ascii="Arial" w:cs="Arial" w:eastAsia="Arial" w:hAnsi="Arial"/>
                <w:sz w:val="18"/>
                <w:szCs w:val="18"/>
                <w:b w:val="1"/>
                <w:bCs w:val="1"/>
                <w:color w:val="auto"/>
                <w:w w:val="99"/>
              </w:rPr>
              <w:t>Executive</w:t>
            </w:r>
          </w:p>
        </w:tc>
        <w:tc>
          <w:tcPr>
            <w:tcW w:w="980" w:type="dxa"/>
            <w:vAlign w:val="bottom"/>
            <w:shd w:val="clear" w:color="auto" w:fill="B9CDE5"/>
          </w:tcPr>
          <w:p>
            <w:pPr>
              <w:spacing w:after="0"/>
              <w:rPr>
                <w:sz w:val="9"/>
                <w:szCs w:val="9"/>
                <w:color w:val="auto"/>
              </w:rPr>
            </w:pPr>
          </w:p>
        </w:tc>
        <w:tc>
          <w:tcPr>
            <w:tcW w:w="1560" w:type="dxa"/>
            <w:vAlign w:val="bottom"/>
            <w:gridSpan w:val="3"/>
            <w:vMerge w:val="restart"/>
            <w:shd w:val="clear" w:color="auto" w:fill="B9CDE5"/>
          </w:tcPr>
          <w:p>
            <w:pPr>
              <w:spacing w:after="0"/>
              <w:rPr>
                <w:sz w:val="20"/>
                <w:szCs w:val="20"/>
                <w:color w:val="auto"/>
              </w:rPr>
            </w:pPr>
            <w:r>
              <w:rPr>
                <w:rFonts w:ascii="Arial" w:cs="Arial" w:eastAsia="Arial" w:hAnsi="Arial"/>
                <w:sz w:val="18"/>
                <w:szCs w:val="18"/>
                <w:b w:val="1"/>
                <w:bCs w:val="1"/>
                <w:color w:val="auto"/>
              </w:rPr>
              <w:t>Position</w:t>
            </w:r>
          </w:p>
        </w:tc>
        <w:tc>
          <w:tcPr>
            <w:tcW w:w="180" w:type="dxa"/>
            <w:vAlign w:val="bottom"/>
            <w:tcBorders>
              <w:right w:val="single" w:sz="8" w:color="auto"/>
            </w:tcBorders>
            <w:shd w:val="clear" w:color="auto" w:fill="B9CDE5"/>
          </w:tcPr>
          <w:p>
            <w:pPr>
              <w:spacing w:after="0"/>
              <w:rPr>
                <w:sz w:val="9"/>
                <w:szCs w:val="9"/>
                <w:color w:val="auto"/>
              </w:rPr>
            </w:pPr>
          </w:p>
        </w:tc>
        <w:tc>
          <w:tcPr>
            <w:tcW w:w="1240" w:type="dxa"/>
            <w:vAlign w:val="bottom"/>
            <w:gridSpan w:val="3"/>
            <w:vMerge w:val="restart"/>
            <w:shd w:val="clear" w:color="auto" w:fill="DCE6F2"/>
          </w:tcPr>
          <w:p>
            <w:pPr>
              <w:jc w:val="center"/>
              <w:ind w:left="10"/>
              <w:spacing w:after="0"/>
              <w:rPr>
                <w:sz w:val="20"/>
                <w:szCs w:val="20"/>
                <w:color w:val="auto"/>
              </w:rPr>
            </w:pPr>
            <w:r>
              <w:rPr>
                <w:rFonts w:ascii="Arial" w:cs="Arial" w:eastAsia="Arial" w:hAnsi="Arial"/>
                <w:sz w:val="18"/>
                <w:szCs w:val="18"/>
                <w:b w:val="1"/>
                <w:bCs w:val="1"/>
                <w:color w:val="auto"/>
                <w:w w:val="99"/>
              </w:rPr>
              <w:t>Target Award</w:t>
            </w:r>
          </w:p>
        </w:tc>
        <w:tc>
          <w:tcPr>
            <w:tcW w:w="120" w:type="dxa"/>
            <w:vAlign w:val="bottom"/>
            <w:tcBorders>
              <w:right w:val="single" w:sz="8" w:color="auto"/>
            </w:tcBorders>
            <w:shd w:val="clear" w:color="auto" w:fill="DCE6F2"/>
          </w:tcPr>
          <w:p>
            <w:pPr>
              <w:spacing w:after="0"/>
              <w:rPr>
                <w:sz w:val="9"/>
                <w:szCs w:val="9"/>
                <w:color w:val="auto"/>
              </w:rPr>
            </w:pPr>
          </w:p>
        </w:tc>
        <w:tc>
          <w:tcPr>
            <w:tcW w:w="1540" w:type="dxa"/>
            <w:vAlign w:val="bottom"/>
            <w:tcBorders>
              <w:right w:val="single" w:sz="8" w:color="auto"/>
            </w:tcBorders>
            <w:gridSpan w:val="2"/>
            <w:vMerge w:val="restart"/>
            <w:shd w:val="clear" w:color="auto" w:fill="95B3D7"/>
          </w:tcPr>
          <w:p>
            <w:pPr>
              <w:jc w:val="center"/>
              <w:spacing w:after="0"/>
              <w:rPr>
                <w:sz w:val="20"/>
                <w:szCs w:val="20"/>
                <w:color w:val="auto"/>
              </w:rPr>
            </w:pPr>
            <w:r>
              <w:rPr>
                <w:rFonts w:ascii="Arial" w:cs="Arial" w:eastAsia="Arial" w:hAnsi="Arial"/>
                <w:sz w:val="18"/>
                <w:szCs w:val="18"/>
                <w:b w:val="1"/>
                <w:bCs w:val="1"/>
                <w:color w:val="auto"/>
                <w:w w:val="97"/>
              </w:rPr>
              <w:t>% of Target</w:t>
            </w:r>
          </w:p>
        </w:tc>
        <w:tc>
          <w:tcPr>
            <w:tcW w:w="240" w:type="dxa"/>
            <w:vAlign w:val="bottom"/>
            <w:shd w:val="clear" w:color="auto" w:fill="95B3D7"/>
          </w:tcPr>
          <w:p>
            <w:pPr>
              <w:spacing w:after="0"/>
              <w:rPr>
                <w:sz w:val="9"/>
                <w:szCs w:val="9"/>
                <w:color w:val="auto"/>
              </w:rPr>
            </w:pPr>
          </w:p>
        </w:tc>
        <w:tc>
          <w:tcPr>
            <w:tcW w:w="2460" w:type="dxa"/>
            <w:vAlign w:val="bottom"/>
            <w:tcBorders>
              <w:right w:val="single" w:sz="8" w:color="95B3D7"/>
            </w:tcBorders>
            <w:gridSpan w:val="2"/>
            <w:vMerge w:val="continue"/>
            <w:shd w:val="clear" w:color="auto" w:fill="95B3D7"/>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1600" w:type="dxa"/>
            <w:vAlign w:val="bottom"/>
            <w:tcBorders>
              <w:left w:val="single" w:sz="8" w:color="auto"/>
              <w:right w:val="single" w:sz="8" w:color="auto"/>
            </w:tcBorders>
            <w:vMerge w:val="continue"/>
            <w:shd w:val="clear" w:color="auto" w:fill="B9CDE5"/>
          </w:tcPr>
          <w:p>
            <w:pPr>
              <w:spacing w:after="0"/>
              <w:rPr>
                <w:sz w:val="12"/>
                <w:szCs w:val="12"/>
                <w:color w:val="auto"/>
              </w:rPr>
            </w:pPr>
          </w:p>
        </w:tc>
        <w:tc>
          <w:tcPr>
            <w:tcW w:w="980" w:type="dxa"/>
            <w:vAlign w:val="bottom"/>
            <w:shd w:val="clear" w:color="auto" w:fill="B9CDE5"/>
          </w:tcPr>
          <w:p>
            <w:pPr>
              <w:spacing w:after="0"/>
              <w:rPr>
                <w:sz w:val="12"/>
                <w:szCs w:val="12"/>
                <w:color w:val="auto"/>
              </w:rPr>
            </w:pPr>
          </w:p>
        </w:tc>
        <w:tc>
          <w:tcPr>
            <w:tcW w:w="1560" w:type="dxa"/>
            <w:vAlign w:val="bottom"/>
            <w:gridSpan w:val="3"/>
            <w:vMerge w:val="continue"/>
            <w:shd w:val="clear" w:color="auto" w:fill="B9CDE5"/>
          </w:tcPr>
          <w:p>
            <w:pPr>
              <w:spacing w:after="0"/>
              <w:rPr>
                <w:sz w:val="12"/>
                <w:szCs w:val="12"/>
                <w:color w:val="auto"/>
              </w:rPr>
            </w:pPr>
          </w:p>
        </w:tc>
        <w:tc>
          <w:tcPr>
            <w:tcW w:w="180" w:type="dxa"/>
            <w:vAlign w:val="bottom"/>
            <w:tcBorders>
              <w:right w:val="single" w:sz="8" w:color="auto"/>
            </w:tcBorders>
            <w:shd w:val="clear" w:color="auto" w:fill="B9CDE5"/>
          </w:tcPr>
          <w:p>
            <w:pPr>
              <w:spacing w:after="0"/>
              <w:rPr>
                <w:sz w:val="12"/>
                <w:szCs w:val="12"/>
                <w:color w:val="auto"/>
              </w:rPr>
            </w:pPr>
          </w:p>
        </w:tc>
        <w:tc>
          <w:tcPr>
            <w:tcW w:w="1240" w:type="dxa"/>
            <w:vAlign w:val="bottom"/>
            <w:gridSpan w:val="3"/>
            <w:vMerge w:val="continue"/>
            <w:shd w:val="clear" w:color="auto" w:fill="DCE6F2"/>
          </w:tcPr>
          <w:p>
            <w:pPr>
              <w:spacing w:after="0"/>
              <w:rPr>
                <w:sz w:val="12"/>
                <w:szCs w:val="12"/>
                <w:color w:val="auto"/>
              </w:rPr>
            </w:pPr>
          </w:p>
        </w:tc>
        <w:tc>
          <w:tcPr>
            <w:tcW w:w="120" w:type="dxa"/>
            <w:vAlign w:val="bottom"/>
            <w:tcBorders>
              <w:right w:val="single" w:sz="8" w:color="auto"/>
            </w:tcBorders>
            <w:shd w:val="clear" w:color="auto" w:fill="DCE6F2"/>
          </w:tcPr>
          <w:p>
            <w:pPr>
              <w:spacing w:after="0"/>
              <w:rPr>
                <w:sz w:val="12"/>
                <w:szCs w:val="12"/>
                <w:color w:val="auto"/>
              </w:rPr>
            </w:pPr>
          </w:p>
        </w:tc>
        <w:tc>
          <w:tcPr>
            <w:tcW w:w="1540" w:type="dxa"/>
            <w:vAlign w:val="bottom"/>
            <w:tcBorders>
              <w:right w:val="single" w:sz="8" w:color="auto"/>
            </w:tcBorders>
            <w:gridSpan w:val="2"/>
            <w:vMerge w:val="continue"/>
            <w:shd w:val="clear" w:color="auto" w:fill="95B3D7"/>
          </w:tcPr>
          <w:p>
            <w:pPr>
              <w:spacing w:after="0"/>
              <w:rPr>
                <w:sz w:val="12"/>
                <w:szCs w:val="12"/>
                <w:color w:val="auto"/>
              </w:rPr>
            </w:pPr>
          </w:p>
        </w:tc>
        <w:tc>
          <w:tcPr>
            <w:tcW w:w="240" w:type="dxa"/>
            <w:vAlign w:val="bottom"/>
            <w:shd w:val="clear" w:color="auto" w:fill="95B3D7"/>
          </w:tcPr>
          <w:p>
            <w:pPr>
              <w:spacing w:after="0"/>
              <w:rPr>
                <w:sz w:val="12"/>
                <w:szCs w:val="12"/>
                <w:color w:val="auto"/>
              </w:rPr>
            </w:pPr>
          </w:p>
        </w:tc>
        <w:tc>
          <w:tcPr>
            <w:tcW w:w="400" w:type="dxa"/>
            <w:vAlign w:val="bottom"/>
            <w:tcBorders>
              <w:right w:val="single" w:sz="8" w:color="95B3D7"/>
            </w:tcBorders>
            <w:shd w:val="clear" w:color="auto" w:fill="95B3D7"/>
          </w:tcPr>
          <w:p>
            <w:pPr>
              <w:spacing w:after="0"/>
              <w:rPr>
                <w:sz w:val="12"/>
                <w:szCs w:val="12"/>
                <w:color w:val="auto"/>
              </w:rPr>
            </w:pPr>
          </w:p>
        </w:tc>
        <w:tc>
          <w:tcPr>
            <w:tcW w:w="2060" w:type="dxa"/>
            <w:vAlign w:val="bottom"/>
            <w:tcBorders>
              <w:right w:val="single" w:sz="8" w:color="95B3D7"/>
            </w:tcBorders>
            <w:vMerge w:val="restart"/>
            <w:shd w:val="clear" w:color="auto" w:fill="95B3D7"/>
          </w:tcPr>
          <w:p>
            <w:pPr>
              <w:jc w:val="center"/>
              <w:ind w:right="530"/>
              <w:spacing w:after="0"/>
              <w:rPr>
                <w:sz w:val="20"/>
                <w:szCs w:val="20"/>
                <w:color w:val="auto"/>
              </w:rPr>
            </w:pPr>
            <w:r>
              <w:rPr>
                <w:rFonts w:ascii="Arial" w:cs="Arial" w:eastAsia="Arial" w:hAnsi="Arial"/>
                <w:sz w:val="18"/>
                <w:szCs w:val="18"/>
                <w:b w:val="1"/>
                <w:bCs w:val="1"/>
                <w:color w:val="auto"/>
                <w:w w:val="97"/>
              </w:rPr>
              <w:t>Incentive Awards</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1600" w:type="dxa"/>
            <w:vAlign w:val="bottom"/>
            <w:tcBorders>
              <w:left w:val="single" w:sz="8" w:color="auto"/>
              <w:bottom w:val="single" w:sz="8" w:color="auto"/>
              <w:right w:val="single" w:sz="8" w:color="auto"/>
            </w:tcBorders>
            <w:shd w:val="clear" w:color="auto" w:fill="B9CDE5"/>
          </w:tcPr>
          <w:p>
            <w:pPr>
              <w:spacing w:after="0"/>
              <w:rPr>
                <w:sz w:val="7"/>
                <w:szCs w:val="7"/>
                <w:color w:val="auto"/>
              </w:rPr>
            </w:pPr>
          </w:p>
        </w:tc>
        <w:tc>
          <w:tcPr>
            <w:tcW w:w="980" w:type="dxa"/>
            <w:vAlign w:val="bottom"/>
            <w:tcBorders>
              <w:bottom w:val="single" w:sz="8" w:color="auto"/>
            </w:tcBorders>
            <w:shd w:val="clear" w:color="auto" w:fill="B9CDE5"/>
          </w:tcPr>
          <w:p>
            <w:pPr>
              <w:spacing w:after="0"/>
              <w:rPr>
                <w:sz w:val="7"/>
                <w:szCs w:val="7"/>
                <w:color w:val="auto"/>
              </w:rPr>
            </w:pPr>
          </w:p>
        </w:tc>
        <w:tc>
          <w:tcPr>
            <w:tcW w:w="140" w:type="dxa"/>
            <w:vAlign w:val="bottom"/>
            <w:tcBorders>
              <w:bottom w:val="single" w:sz="8" w:color="auto"/>
              <w:right w:val="single" w:sz="8" w:color="B9CDE5"/>
            </w:tcBorders>
            <w:shd w:val="clear" w:color="auto" w:fill="B9CDE5"/>
          </w:tcPr>
          <w:p>
            <w:pPr>
              <w:spacing w:after="0"/>
              <w:rPr>
                <w:sz w:val="7"/>
                <w:szCs w:val="7"/>
                <w:color w:val="auto"/>
              </w:rPr>
            </w:pPr>
          </w:p>
        </w:tc>
        <w:tc>
          <w:tcPr>
            <w:tcW w:w="1240" w:type="dxa"/>
            <w:vAlign w:val="bottom"/>
            <w:tcBorders>
              <w:bottom w:val="single" w:sz="8" w:color="auto"/>
              <w:right w:val="single" w:sz="8" w:color="B9CDE5"/>
            </w:tcBorders>
            <w:shd w:val="clear" w:color="auto" w:fill="B9CDE5"/>
          </w:tcPr>
          <w:p>
            <w:pPr>
              <w:spacing w:after="0"/>
              <w:rPr>
                <w:sz w:val="7"/>
                <w:szCs w:val="7"/>
                <w:color w:val="auto"/>
              </w:rPr>
            </w:pPr>
          </w:p>
        </w:tc>
        <w:tc>
          <w:tcPr>
            <w:tcW w:w="180" w:type="dxa"/>
            <w:vAlign w:val="bottom"/>
            <w:tcBorders>
              <w:bottom w:val="single" w:sz="8" w:color="auto"/>
            </w:tcBorders>
            <w:shd w:val="clear" w:color="auto" w:fill="B9CDE5"/>
          </w:tcPr>
          <w:p>
            <w:pPr>
              <w:spacing w:after="0"/>
              <w:rPr>
                <w:sz w:val="7"/>
                <w:szCs w:val="7"/>
                <w:color w:val="auto"/>
              </w:rPr>
            </w:pPr>
          </w:p>
        </w:tc>
        <w:tc>
          <w:tcPr>
            <w:tcW w:w="180" w:type="dxa"/>
            <w:vAlign w:val="bottom"/>
            <w:tcBorders>
              <w:bottom w:val="single" w:sz="8" w:color="auto"/>
              <w:right w:val="single" w:sz="8" w:color="auto"/>
            </w:tcBorders>
            <w:shd w:val="clear" w:color="auto" w:fill="B9CDE5"/>
          </w:tcPr>
          <w:p>
            <w:pPr>
              <w:spacing w:after="0"/>
              <w:rPr>
                <w:sz w:val="7"/>
                <w:szCs w:val="7"/>
                <w:color w:val="auto"/>
              </w:rPr>
            </w:pPr>
          </w:p>
        </w:tc>
        <w:tc>
          <w:tcPr>
            <w:tcW w:w="880" w:type="dxa"/>
            <w:vAlign w:val="bottom"/>
            <w:tcBorders>
              <w:bottom w:val="single" w:sz="8" w:color="auto"/>
              <w:right w:val="single" w:sz="8" w:color="DCE6F2"/>
            </w:tcBorders>
            <w:shd w:val="clear" w:color="auto" w:fill="DCE6F2"/>
          </w:tcPr>
          <w:p>
            <w:pPr>
              <w:spacing w:after="0"/>
              <w:rPr>
                <w:sz w:val="7"/>
                <w:szCs w:val="7"/>
                <w:color w:val="auto"/>
              </w:rPr>
            </w:pPr>
          </w:p>
        </w:tc>
        <w:tc>
          <w:tcPr>
            <w:tcW w:w="240" w:type="dxa"/>
            <w:vAlign w:val="bottom"/>
            <w:tcBorders>
              <w:bottom w:val="single" w:sz="8" w:color="auto"/>
            </w:tcBorders>
            <w:shd w:val="clear" w:color="auto" w:fill="DCE6F2"/>
          </w:tcPr>
          <w:p>
            <w:pPr>
              <w:spacing w:after="0"/>
              <w:rPr>
                <w:sz w:val="7"/>
                <w:szCs w:val="7"/>
                <w:color w:val="auto"/>
              </w:rPr>
            </w:pPr>
          </w:p>
        </w:tc>
        <w:tc>
          <w:tcPr>
            <w:tcW w:w="120" w:type="dxa"/>
            <w:vAlign w:val="bottom"/>
            <w:tcBorders>
              <w:bottom w:val="single" w:sz="8" w:color="auto"/>
            </w:tcBorders>
            <w:shd w:val="clear" w:color="auto" w:fill="DCE6F2"/>
          </w:tcPr>
          <w:p>
            <w:pPr>
              <w:spacing w:after="0"/>
              <w:rPr>
                <w:sz w:val="7"/>
                <w:szCs w:val="7"/>
                <w:color w:val="auto"/>
              </w:rPr>
            </w:pPr>
          </w:p>
        </w:tc>
        <w:tc>
          <w:tcPr>
            <w:tcW w:w="120" w:type="dxa"/>
            <w:vAlign w:val="bottom"/>
            <w:tcBorders>
              <w:bottom w:val="single" w:sz="8" w:color="auto"/>
              <w:right w:val="single" w:sz="8" w:color="auto"/>
            </w:tcBorders>
            <w:shd w:val="clear" w:color="auto" w:fill="DCE6F2"/>
          </w:tcPr>
          <w:p>
            <w:pPr>
              <w:spacing w:after="0"/>
              <w:rPr>
                <w:sz w:val="7"/>
                <w:szCs w:val="7"/>
                <w:color w:val="auto"/>
              </w:rPr>
            </w:pPr>
          </w:p>
        </w:tc>
        <w:tc>
          <w:tcPr>
            <w:tcW w:w="760" w:type="dxa"/>
            <w:vAlign w:val="bottom"/>
            <w:tcBorders>
              <w:bottom w:val="single" w:sz="8" w:color="auto"/>
              <w:right w:val="single" w:sz="8" w:color="95B3D7"/>
            </w:tcBorders>
            <w:shd w:val="clear" w:color="auto" w:fill="95B3D7"/>
          </w:tcPr>
          <w:p>
            <w:pPr>
              <w:spacing w:after="0"/>
              <w:rPr>
                <w:sz w:val="7"/>
                <w:szCs w:val="7"/>
                <w:color w:val="auto"/>
              </w:rPr>
            </w:pPr>
          </w:p>
        </w:tc>
        <w:tc>
          <w:tcPr>
            <w:tcW w:w="780" w:type="dxa"/>
            <w:vAlign w:val="bottom"/>
            <w:tcBorders>
              <w:bottom w:val="single" w:sz="8" w:color="auto"/>
              <w:right w:val="single" w:sz="8" w:color="auto"/>
            </w:tcBorders>
            <w:shd w:val="clear" w:color="auto" w:fill="95B3D7"/>
          </w:tcPr>
          <w:p>
            <w:pPr>
              <w:spacing w:after="0"/>
              <w:rPr>
                <w:sz w:val="7"/>
                <w:szCs w:val="7"/>
                <w:color w:val="auto"/>
              </w:rPr>
            </w:pPr>
          </w:p>
        </w:tc>
        <w:tc>
          <w:tcPr>
            <w:tcW w:w="240" w:type="dxa"/>
            <w:vAlign w:val="bottom"/>
            <w:tcBorders>
              <w:bottom w:val="single" w:sz="8" w:color="auto"/>
            </w:tcBorders>
            <w:shd w:val="clear" w:color="auto" w:fill="95B3D7"/>
          </w:tcPr>
          <w:p>
            <w:pPr>
              <w:spacing w:after="0"/>
              <w:rPr>
                <w:sz w:val="7"/>
                <w:szCs w:val="7"/>
                <w:color w:val="auto"/>
              </w:rPr>
            </w:pPr>
          </w:p>
        </w:tc>
        <w:tc>
          <w:tcPr>
            <w:tcW w:w="400" w:type="dxa"/>
            <w:vAlign w:val="bottom"/>
            <w:tcBorders>
              <w:bottom w:val="single" w:sz="8" w:color="auto"/>
              <w:right w:val="single" w:sz="8" w:color="95B3D7"/>
            </w:tcBorders>
            <w:shd w:val="clear" w:color="auto" w:fill="95B3D7"/>
          </w:tcPr>
          <w:p>
            <w:pPr>
              <w:spacing w:after="0"/>
              <w:rPr>
                <w:sz w:val="7"/>
                <w:szCs w:val="7"/>
                <w:color w:val="auto"/>
              </w:rPr>
            </w:pPr>
          </w:p>
        </w:tc>
        <w:tc>
          <w:tcPr>
            <w:tcW w:w="2060" w:type="dxa"/>
            <w:vAlign w:val="bottom"/>
            <w:tcBorders>
              <w:bottom w:val="single" w:sz="8" w:color="auto"/>
              <w:right w:val="single" w:sz="8" w:color="95B3D7"/>
            </w:tcBorders>
            <w:vMerge w:val="continue"/>
            <w:shd w:val="clear" w:color="auto" w:fill="95B3D7"/>
          </w:tcPr>
          <w:p>
            <w:pPr>
              <w:spacing w:after="0"/>
              <w:rPr>
                <w:sz w:val="7"/>
                <w:szCs w:val="7"/>
                <w:color w:val="auto"/>
              </w:rPr>
            </w:pPr>
          </w:p>
        </w:tc>
        <w:tc>
          <w:tcPr>
            <w:tcW w:w="20" w:type="dxa"/>
            <w:vAlign w:val="bottom"/>
            <w:tcBorders>
              <w:bottom w:val="single" w:sz="8" w:color="auto"/>
            </w:tcBorders>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383"/>
        </w:trPr>
        <w:tc>
          <w:tcPr>
            <w:tcW w:w="1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Morris Goldfarb</w:t>
            </w:r>
          </w:p>
        </w:tc>
        <w:tc>
          <w:tcPr>
            <w:tcW w:w="2540" w:type="dxa"/>
            <w:vAlign w:val="bottom"/>
            <w:gridSpan w:val="4"/>
          </w:tcPr>
          <w:p>
            <w:pPr>
              <w:ind w:left="140"/>
              <w:spacing w:after="0"/>
              <w:rPr>
                <w:sz w:val="20"/>
                <w:szCs w:val="20"/>
                <w:color w:val="auto"/>
              </w:rPr>
            </w:pPr>
            <w:r>
              <w:rPr>
                <w:rFonts w:ascii="Arial" w:cs="Arial" w:eastAsia="Arial" w:hAnsi="Arial"/>
                <w:sz w:val="18"/>
                <w:szCs w:val="18"/>
                <w:color w:val="auto"/>
              </w:rPr>
              <w:t>Chairman and CEO</w:t>
            </w:r>
          </w:p>
        </w:tc>
        <w:tc>
          <w:tcPr>
            <w:tcW w:w="180" w:type="dxa"/>
            <w:vAlign w:val="bottom"/>
            <w:tcBorders>
              <w:right w:val="single" w:sz="8" w:color="auto"/>
            </w:tcBorders>
          </w:tcPr>
          <w:p>
            <w:pPr>
              <w:spacing w:after="0"/>
              <w:rPr>
                <w:sz w:val="24"/>
                <w:szCs w:val="24"/>
                <w:color w:val="auto"/>
              </w:rPr>
            </w:pPr>
          </w:p>
        </w:tc>
        <w:tc>
          <w:tcPr>
            <w:tcW w:w="112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$4,000,000</w:t>
            </w:r>
          </w:p>
        </w:tc>
        <w:tc>
          <w:tcPr>
            <w:tcW w:w="1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5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120.8%</w:t>
            </w: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60" w:type="dxa"/>
            <w:vAlign w:val="bottom"/>
          </w:tcPr>
          <w:p>
            <w:pPr>
              <w:jc w:val="center"/>
              <w:ind w:right="550"/>
              <w:spacing w:after="0"/>
              <w:rPr>
                <w:sz w:val="20"/>
                <w:szCs w:val="20"/>
                <w:color w:val="auto"/>
              </w:rPr>
            </w:pPr>
            <w:r>
              <w:rPr>
                <w:rFonts w:ascii="Arial" w:cs="Arial" w:eastAsia="Arial" w:hAnsi="Arial"/>
                <w:sz w:val="18"/>
                <w:szCs w:val="18"/>
                <w:color w:val="auto"/>
                <w:w w:val="99"/>
              </w:rPr>
              <w:t>$4,832,000</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1600" w:type="dxa"/>
            <w:vAlign w:val="bottom"/>
            <w:tcBorders>
              <w:left w:val="single" w:sz="8" w:color="auto"/>
              <w:bottom w:val="single" w:sz="8" w:color="auto"/>
              <w:right w:val="single" w:sz="8" w:color="auto"/>
            </w:tcBorders>
          </w:tcPr>
          <w:p>
            <w:pPr>
              <w:spacing w:after="0"/>
              <w:rPr>
                <w:sz w:val="11"/>
                <w:szCs w:val="11"/>
                <w:color w:val="auto"/>
              </w:rPr>
            </w:pPr>
          </w:p>
        </w:tc>
        <w:tc>
          <w:tcPr>
            <w:tcW w:w="2540" w:type="dxa"/>
            <w:vAlign w:val="bottom"/>
            <w:tcBorders>
              <w:bottom w:val="single" w:sz="8" w:color="auto"/>
            </w:tcBorders>
            <w:gridSpan w:val="4"/>
          </w:tcPr>
          <w:p>
            <w:pPr>
              <w:spacing w:after="0"/>
              <w:rPr>
                <w:sz w:val="11"/>
                <w:szCs w:val="11"/>
                <w:color w:val="auto"/>
              </w:rPr>
            </w:pPr>
          </w:p>
        </w:tc>
        <w:tc>
          <w:tcPr>
            <w:tcW w:w="180" w:type="dxa"/>
            <w:vAlign w:val="bottom"/>
            <w:tcBorders>
              <w:bottom w:val="single" w:sz="8" w:color="auto"/>
              <w:right w:val="single" w:sz="8" w:color="auto"/>
            </w:tcBorders>
          </w:tcPr>
          <w:p>
            <w:pPr>
              <w:spacing w:after="0"/>
              <w:rPr>
                <w:sz w:val="11"/>
                <w:szCs w:val="11"/>
                <w:color w:val="auto"/>
              </w:rPr>
            </w:pPr>
          </w:p>
        </w:tc>
        <w:tc>
          <w:tcPr>
            <w:tcW w:w="1120" w:type="dxa"/>
            <w:vAlign w:val="bottom"/>
            <w:tcBorders>
              <w:bottom w:val="single" w:sz="8" w:color="auto"/>
            </w:tcBorders>
            <w:gridSpan w:val="2"/>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1540" w:type="dxa"/>
            <w:vAlign w:val="bottom"/>
            <w:tcBorders>
              <w:bottom w:val="single" w:sz="8" w:color="auto"/>
              <w:right w:val="single" w:sz="8" w:color="auto"/>
            </w:tcBorders>
            <w:gridSpan w:val="2"/>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329"/>
        </w:trPr>
        <w:tc>
          <w:tcPr>
            <w:tcW w:w="1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Sammy Aaron</w:t>
            </w:r>
          </w:p>
        </w:tc>
        <w:tc>
          <w:tcPr>
            <w:tcW w:w="2540" w:type="dxa"/>
            <w:vAlign w:val="bottom"/>
            <w:gridSpan w:val="4"/>
          </w:tcPr>
          <w:p>
            <w:pPr>
              <w:ind w:left="140"/>
              <w:spacing w:after="0"/>
              <w:rPr>
                <w:sz w:val="20"/>
                <w:szCs w:val="20"/>
                <w:color w:val="auto"/>
              </w:rPr>
            </w:pPr>
            <w:r>
              <w:rPr>
                <w:rFonts w:ascii="Arial" w:cs="Arial" w:eastAsia="Arial" w:hAnsi="Arial"/>
                <w:sz w:val="18"/>
                <w:szCs w:val="18"/>
                <w:color w:val="auto"/>
              </w:rPr>
              <w:t>Vice Chairman and President</w:t>
            </w:r>
          </w:p>
        </w:tc>
        <w:tc>
          <w:tcPr>
            <w:tcW w:w="180" w:type="dxa"/>
            <w:vAlign w:val="bottom"/>
            <w:tcBorders>
              <w:right w:val="single" w:sz="8" w:color="auto"/>
            </w:tcBorders>
          </w:tcPr>
          <w:p>
            <w:pPr>
              <w:spacing w:after="0"/>
              <w:rPr>
                <w:sz w:val="24"/>
                <w:szCs w:val="24"/>
                <w:color w:val="auto"/>
              </w:rPr>
            </w:pPr>
          </w:p>
        </w:tc>
        <w:tc>
          <w:tcPr>
            <w:tcW w:w="112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$3,000,000</w:t>
            </w:r>
          </w:p>
        </w:tc>
        <w:tc>
          <w:tcPr>
            <w:tcW w:w="1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5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120.8%</w:t>
            </w: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60" w:type="dxa"/>
            <w:vAlign w:val="bottom"/>
          </w:tcPr>
          <w:p>
            <w:pPr>
              <w:jc w:val="center"/>
              <w:ind w:right="550"/>
              <w:spacing w:after="0"/>
              <w:rPr>
                <w:sz w:val="20"/>
                <w:szCs w:val="20"/>
                <w:color w:val="auto"/>
              </w:rPr>
            </w:pPr>
            <w:r>
              <w:rPr>
                <w:rFonts w:ascii="Arial" w:cs="Arial" w:eastAsia="Arial" w:hAnsi="Arial"/>
                <w:sz w:val="18"/>
                <w:szCs w:val="18"/>
                <w:color w:val="auto"/>
                <w:w w:val="99"/>
              </w:rPr>
              <w:t>$3,624,000</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600" w:type="dxa"/>
            <w:vAlign w:val="bottom"/>
            <w:tcBorders>
              <w:left w:val="single" w:sz="8" w:color="auto"/>
              <w:bottom w:val="single" w:sz="8" w:color="auto"/>
              <w:right w:val="single" w:sz="8" w:color="auto"/>
            </w:tcBorders>
          </w:tcPr>
          <w:p>
            <w:pPr>
              <w:spacing w:after="0"/>
              <w:rPr>
                <w:sz w:val="8"/>
                <w:szCs w:val="8"/>
                <w:color w:val="auto"/>
              </w:rPr>
            </w:pPr>
          </w:p>
        </w:tc>
        <w:tc>
          <w:tcPr>
            <w:tcW w:w="2540" w:type="dxa"/>
            <w:vAlign w:val="bottom"/>
            <w:tcBorders>
              <w:bottom w:val="single" w:sz="8" w:color="auto"/>
            </w:tcBorders>
            <w:gridSpan w:val="4"/>
          </w:tcPr>
          <w:p>
            <w:pPr>
              <w:spacing w:after="0"/>
              <w:rPr>
                <w:sz w:val="8"/>
                <w:szCs w:val="8"/>
                <w:color w:val="auto"/>
              </w:rPr>
            </w:pPr>
          </w:p>
        </w:tc>
        <w:tc>
          <w:tcPr>
            <w:tcW w:w="180" w:type="dxa"/>
            <w:vAlign w:val="bottom"/>
            <w:tcBorders>
              <w:bottom w:val="single" w:sz="8" w:color="auto"/>
              <w:right w:val="single" w:sz="8" w:color="auto"/>
            </w:tcBorders>
          </w:tcPr>
          <w:p>
            <w:pPr>
              <w:spacing w:after="0"/>
              <w:rPr>
                <w:sz w:val="8"/>
                <w:szCs w:val="8"/>
                <w:color w:val="auto"/>
              </w:rPr>
            </w:pPr>
          </w:p>
        </w:tc>
        <w:tc>
          <w:tcPr>
            <w:tcW w:w="1120" w:type="dxa"/>
            <w:vAlign w:val="bottom"/>
            <w:tcBorders>
              <w:bottom w:val="single" w:sz="8" w:color="auto"/>
            </w:tcBorders>
            <w:gridSpan w:val="2"/>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0" w:type="dxa"/>
            <w:vAlign w:val="bottom"/>
            <w:tcBorders>
              <w:bottom w:val="single" w:sz="8" w:color="auto"/>
              <w:right w:val="single" w:sz="8" w:color="auto"/>
            </w:tcBorders>
          </w:tcPr>
          <w:p>
            <w:pPr>
              <w:spacing w:after="0"/>
              <w:rPr>
                <w:sz w:val="8"/>
                <w:szCs w:val="8"/>
                <w:color w:val="auto"/>
              </w:rPr>
            </w:pPr>
          </w:p>
        </w:tc>
        <w:tc>
          <w:tcPr>
            <w:tcW w:w="1540" w:type="dxa"/>
            <w:vAlign w:val="bottom"/>
            <w:tcBorders>
              <w:bottom w:val="single" w:sz="8" w:color="auto"/>
              <w:right w:val="single" w:sz="8" w:color="auto"/>
            </w:tcBorders>
            <w:gridSpan w:val="2"/>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397"/>
        </w:trPr>
        <w:tc>
          <w:tcPr>
            <w:tcW w:w="1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Jeffrey Goldfarb</w:t>
            </w:r>
          </w:p>
        </w:tc>
        <w:tc>
          <w:tcPr>
            <w:tcW w:w="2540" w:type="dxa"/>
            <w:vAlign w:val="bottom"/>
            <w:gridSpan w:val="4"/>
          </w:tcPr>
          <w:p>
            <w:pPr>
              <w:ind w:left="140"/>
              <w:spacing w:after="0"/>
              <w:rPr>
                <w:sz w:val="20"/>
                <w:szCs w:val="20"/>
                <w:color w:val="auto"/>
              </w:rPr>
            </w:pPr>
            <w:r>
              <w:rPr>
                <w:rFonts w:ascii="Arial" w:cs="Arial" w:eastAsia="Arial" w:hAnsi="Arial"/>
                <w:sz w:val="18"/>
                <w:szCs w:val="18"/>
                <w:color w:val="auto"/>
              </w:rPr>
              <w:t>Executive Vice President</w:t>
            </w:r>
          </w:p>
        </w:tc>
        <w:tc>
          <w:tcPr>
            <w:tcW w:w="180" w:type="dxa"/>
            <w:vAlign w:val="bottom"/>
            <w:tcBorders>
              <w:right w:val="single" w:sz="8" w:color="auto"/>
            </w:tcBorders>
          </w:tcPr>
          <w:p>
            <w:pPr>
              <w:spacing w:after="0"/>
              <w:rPr>
                <w:sz w:val="24"/>
                <w:szCs w:val="24"/>
                <w:color w:val="auto"/>
              </w:rPr>
            </w:pPr>
          </w:p>
        </w:tc>
        <w:tc>
          <w:tcPr>
            <w:tcW w:w="112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$1,500,000</w:t>
            </w:r>
          </w:p>
        </w:tc>
        <w:tc>
          <w:tcPr>
            <w:tcW w:w="1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5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120.8%</w:t>
            </w: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60" w:type="dxa"/>
            <w:vAlign w:val="bottom"/>
          </w:tcPr>
          <w:p>
            <w:pPr>
              <w:jc w:val="center"/>
              <w:ind w:right="550"/>
              <w:spacing w:after="0"/>
              <w:rPr>
                <w:sz w:val="20"/>
                <w:szCs w:val="20"/>
                <w:color w:val="auto"/>
              </w:rPr>
            </w:pPr>
            <w:r>
              <w:rPr>
                <w:rFonts w:ascii="Arial" w:cs="Arial" w:eastAsia="Arial" w:hAnsi="Arial"/>
                <w:sz w:val="18"/>
                <w:szCs w:val="18"/>
                <w:color w:val="auto"/>
                <w:w w:val="99"/>
              </w:rPr>
              <w:t>$1,812,000</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600" w:type="dxa"/>
            <w:vAlign w:val="bottom"/>
            <w:tcBorders>
              <w:left w:val="single" w:sz="8" w:color="auto"/>
              <w:bottom w:val="single" w:sz="8" w:color="auto"/>
              <w:right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right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jc w:val="both"/>
        <w:ind w:right="20"/>
        <w:spacing w:after="0" w:line="242" w:lineRule="auto"/>
        <w:rPr>
          <w:sz w:val="20"/>
          <w:szCs w:val="20"/>
          <w:color w:val="auto"/>
        </w:rPr>
      </w:pPr>
      <w:r>
        <w:rPr>
          <w:rFonts w:ascii="Arial" w:cs="Arial" w:eastAsia="Arial" w:hAnsi="Arial"/>
          <w:sz w:val="18"/>
          <w:szCs w:val="18"/>
          <w:color w:val="auto"/>
        </w:rPr>
        <w:t>The annual cash incentive program for Neal Nackman, our Chief Financial Officer, and Dana Perlman, our Chief Growth and Operations Officer, was based 60% on adjusted pre-tax income compared to budget ($252.2 million for fiscal 2026) and 40% on an assessment of individual performance. The annual cash incentives for Neal Nackman and Dana Perlman are subject to the same +/-5% modifier based on change in basic common stock outstanding and +/-15% modifier based on the change in annual Adjusted EPS as described above for the other Named Executive Officers. The Committee approved a target award of $750,000 for fiscal 2026 for each executive, with maximum annual cash incentive equal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280035</wp:posOffset>
            </wp:positionV>
            <wp:extent cx="629221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288925</wp:posOffset>
            </wp:positionH>
            <wp:positionV relativeFrom="paragraph">
              <wp:posOffset>331470</wp:posOffset>
            </wp:positionV>
            <wp:extent cx="265430" cy="1543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65430" cy="154305"/>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20"/>
          <w:szCs w:val="20"/>
          <w:b w:val="1"/>
          <w:bCs w:val="1"/>
          <w:color w:val="4A7EBB"/>
        </w:rPr>
        <w:t xml:space="preserve">32 </w:t>
      </w:r>
      <w:r>
        <w:rPr>
          <w:rFonts w:ascii="Arial" w:cs="Arial" w:eastAsia="Arial" w:hAnsi="Arial"/>
          <w:sz w:val="20"/>
          <w:szCs w:val="20"/>
          <w:color w:val="80808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40"/>
          </w:cols>
          <w:pgMar w:left="980" w:top="513" w:right="9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17780</wp:posOffset>
            </wp:positionV>
            <wp:extent cx="629221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1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241.5% of target. Individual performance considerations are based on an assessment of management oversight of their responsibilities, including but not limited to relationships with customers, vendors and licensees, efficiency of operations, oversight of marketing and advertising and investor relations, contribution to the Company’s business strategy and successful execution and integration of acquisitions, subject to review and approval by the Committee. Based on the strong profit performance of the Company and each executive’s strong individual performance, Neal Nackman and Dana Perlman each earned an annual cash incentive award of $950,000 for fiscal 2026.</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LONG-TERM INCENTIVES</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grant long-term incentive awards to our NEOs to align their interests with those of our stockholders by rewarding our executives for achieving long-term performance objectives and enhancing stockholder value. Equity grants subject to multi-year vesting also helps us retain executives in the highly competitive apparel industry.</w:t>
      </w:r>
    </w:p>
    <w:p>
      <w:pPr>
        <w:spacing w:after="0" w:line="15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fiscal 2026, the Committee awarded equity grants to Morris Goldfarb, Sammy Aaron and Jeffrey Goldfarb that were 60% performance share units (“PSUs”) and 40% time-based RSUs, each with 3-year cliff vesting, consistent with the terms of the employment agreements negotiated in fiscal 2024. The dollar value of awards at grant date to each of Morris Goldfarb and Sammy Aaron is capped at the target value of $6.0 million and $4.0 million, respectively, in order to prevent excessive pay. There is also an annual share limit to the grant of an aggregate of 300,000 shares for Morris Goldfarb and 225,000 shares for Sammy Aaron in order to prevent excessive dilution.</w:t>
      </w:r>
    </w:p>
    <w:p>
      <w:pPr>
        <w:spacing w:after="0" w:line="16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Neal Nackman and Dana Perlman each received an equity grant that was 50% performance-based PSUs and 50% time-based RSUs, each with 3-year cliff vesting. The allocation of total long-term incentives between PSUs and RSUs awarded to NEOs (i.e., either 60%/40% or 50%/50%) reflected the Committee’s desire to increase the weighting of performance-based awards for more senior NEOs.</w:t>
      </w:r>
    </w:p>
    <w:p>
      <w:pPr>
        <w:spacing w:after="0" w:line="160"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PSUs will enable the Named Executive Officers to receive shares of the Company’s common stock if and to the extent that the PSU awards vest based on the Company’s performance over three years against two metrics: Cumulative Adjusted Earnings Before Interest and Taxes (“EBIT”) (75% weighting) and Return on Invested Capital (“ROIC”) (25% weighting). Cumulative Adjusted EBIT was selected as a metric because it is a fundamental measure of profitability, while ROIC measures management’s success over time in making profitable investments in owned and licensed brands and acquisitions. The actual number of PSUs that may vest depends on the performance level achieved relative to each metric and may range from zero up to 150% of the number of PSUs awarded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1060450</wp:posOffset>
            </wp:positionH>
            <wp:positionV relativeFrom="paragraph">
              <wp:posOffset>120650</wp:posOffset>
            </wp:positionV>
            <wp:extent cx="4183380" cy="18859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4183380" cy="188595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1816" w:type="dxa"/>
        <w:tblCellMar>
          <w:top w:w="0" w:type="dxa"/>
          <w:left w:w="0" w:type="dxa"/>
          <w:bottom w:w="0" w:type="dxa"/>
          <w:right w:w="0" w:type="dxa"/>
        </w:tblCellMar>
      </w:tblPr>
      <w:tr>
        <w:trPr>
          <w:trHeight w:val="1940"/>
        </w:trPr>
        <w:tc>
          <w:tcPr>
            <w:tcW w:w="207" w:type="dxa"/>
            <w:vAlign w:val="bottom"/>
            <w:textDirection w:val="btLr"/>
          </w:tcPr>
          <w:p>
            <w:pPr>
              <w:spacing w:after="0"/>
              <w:rPr>
                <w:sz w:val="20"/>
                <w:szCs w:val="20"/>
                <w:color w:val="auto"/>
              </w:rPr>
            </w:pPr>
            <w:r>
              <w:rPr>
                <w:rFonts w:ascii="Arial" w:cs="Arial" w:eastAsia="Arial" w:hAnsi="Arial"/>
                <w:sz w:val="18"/>
                <w:szCs w:val="18"/>
                <w:b w:val="1"/>
                <w:bCs w:val="1"/>
                <w:color w:val="auto"/>
              </w:rPr>
              <w:t>Long-TermIncentives</w:t>
            </w:r>
          </w:p>
        </w:tc>
      </w:tr>
    </w:tbl>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51"/>
        </w:trPr>
        <w:tc>
          <w:tcPr>
            <w:tcW w:w="1800" w:type="dxa"/>
            <w:vAlign w:val="bottom"/>
            <w:tcBorders>
              <w:left w:val="single" w:sz="8" w:color="808080"/>
            </w:tcBorders>
            <w:shd w:val="clear" w:color="auto" w:fill="DCE6F2"/>
          </w:tcPr>
          <w:p>
            <w:pPr>
              <w:spacing w:after="0"/>
              <w:rPr>
                <w:sz w:val="21"/>
                <w:szCs w:val="21"/>
                <w:color w:val="auto"/>
              </w:rPr>
            </w:pPr>
          </w:p>
        </w:tc>
        <w:tc>
          <w:tcPr>
            <w:tcW w:w="1500" w:type="dxa"/>
            <w:vAlign w:val="bottom"/>
            <w:shd w:val="clear" w:color="auto" w:fill="DBE5F1"/>
          </w:tcPr>
          <w:p>
            <w:pPr>
              <w:jc w:val="center"/>
              <w:spacing w:after="0"/>
              <w:rPr>
                <w:sz w:val="20"/>
                <w:szCs w:val="20"/>
                <w:color w:val="auto"/>
              </w:rPr>
            </w:pPr>
            <w:r>
              <w:rPr>
                <w:rFonts w:ascii="Arial" w:cs="Arial" w:eastAsia="Arial" w:hAnsi="Arial"/>
                <w:sz w:val="18"/>
                <w:szCs w:val="18"/>
                <w:b w:val="1"/>
                <w:bCs w:val="1"/>
                <w:color w:val="auto"/>
                <w:w w:val="99"/>
              </w:rPr>
              <w:t>Fiscal 2026</w:t>
            </w:r>
          </w:p>
        </w:tc>
        <w:tc>
          <w:tcPr>
            <w:tcW w:w="1400" w:type="dxa"/>
            <w:vAlign w:val="bottom"/>
            <w:shd w:val="clear" w:color="auto" w:fill="DBE5F1"/>
          </w:tcPr>
          <w:p>
            <w:pPr>
              <w:spacing w:after="0"/>
              <w:rPr>
                <w:sz w:val="21"/>
                <w:szCs w:val="21"/>
                <w:color w:val="auto"/>
              </w:rPr>
            </w:pPr>
          </w:p>
        </w:tc>
        <w:tc>
          <w:tcPr>
            <w:tcW w:w="1020" w:type="dxa"/>
            <w:vAlign w:val="bottom"/>
            <w:shd w:val="clear" w:color="auto" w:fill="DBE5F1"/>
          </w:tcPr>
          <w:p>
            <w:pPr>
              <w:spacing w:after="0"/>
              <w:rPr>
                <w:sz w:val="21"/>
                <w:szCs w:val="21"/>
                <w:color w:val="auto"/>
              </w:rPr>
            </w:pPr>
          </w:p>
        </w:tc>
        <w:tc>
          <w:tcPr>
            <w:tcW w:w="20" w:type="dxa"/>
            <w:vAlign w:val="bottom"/>
          </w:tcPr>
          <w:p>
            <w:pPr>
              <w:spacing w:after="0"/>
              <w:rPr>
                <w:sz w:val="21"/>
                <w:szCs w:val="21"/>
                <w:color w:val="auto"/>
              </w:rPr>
            </w:pPr>
          </w:p>
        </w:tc>
      </w:tr>
      <w:tr>
        <w:trPr>
          <w:trHeight w:val="203"/>
        </w:trPr>
        <w:tc>
          <w:tcPr>
            <w:tcW w:w="1800" w:type="dxa"/>
            <w:vAlign w:val="bottom"/>
            <w:tcBorders>
              <w:left w:val="single" w:sz="8" w:color="808080"/>
            </w:tcBorders>
            <w:shd w:val="clear" w:color="auto" w:fill="DCE6F2"/>
          </w:tcPr>
          <w:p>
            <w:pPr>
              <w:spacing w:after="0"/>
              <w:rPr>
                <w:sz w:val="17"/>
                <w:szCs w:val="17"/>
                <w:color w:val="auto"/>
              </w:rPr>
            </w:pPr>
          </w:p>
        </w:tc>
        <w:tc>
          <w:tcPr>
            <w:tcW w:w="1500" w:type="dxa"/>
            <w:vAlign w:val="bottom"/>
            <w:shd w:val="clear" w:color="auto" w:fill="DBE5F1"/>
          </w:tcPr>
          <w:p>
            <w:pPr>
              <w:jc w:val="center"/>
              <w:spacing w:after="0" w:line="202" w:lineRule="exact"/>
              <w:rPr>
                <w:sz w:val="20"/>
                <w:szCs w:val="20"/>
                <w:color w:val="auto"/>
              </w:rPr>
            </w:pPr>
            <w:r>
              <w:rPr>
                <w:rFonts w:ascii="Arial" w:cs="Arial" w:eastAsia="Arial" w:hAnsi="Arial"/>
                <w:sz w:val="18"/>
                <w:szCs w:val="18"/>
                <w:b w:val="1"/>
                <w:bCs w:val="1"/>
                <w:color w:val="auto"/>
              </w:rPr>
              <w:t>Award</w:t>
            </w:r>
          </w:p>
        </w:tc>
        <w:tc>
          <w:tcPr>
            <w:tcW w:w="1400" w:type="dxa"/>
            <w:vAlign w:val="bottom"/>
            <w:shd w:val="clear" w:color="auto" w:fill="DBE5F1"/>
          </w:tcPr>
          <w:p>
            <w:pPr>
              <w:spacing w:after="0"/>
              <w:rPr>
                <w:sz w:val="17"/>
                <w:szCs w:val="17"/>
                <w:color w:val="auto"/>
              </w:rPr>
            </w:pPr>
          </w:p>
        </w:tc>
        <w:tc>
          <w:tcPr>
            <w:tcW w:w="1020" w:type="dxa"/>
            <w:vAlign w:val="bottom"/>
            <w:shd w:val="clear" w:color="auto" w:fill="DBE5F1"/>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1800" w:type="dxa"/>
            <w:vAlign w:val="bottom"/>
            <w:tcBorders>
              <w:left w:val="single" w:sz="8" w:color="808080"/>
            </w:tcBorders>
            <w:shd w:val="clear" w:color="auto" w:fill="DCE6F2"/>
          </w:tcPr>
          <w:p>
            <w:pPr>
              <w:spacing w:after="0"/>
              <w:rPr>
                <w:sz w:val="17"/>
                <w:szCs w:val="17"/>
                <w:color w:val="auto"/>
              </w:rPr>
            </w:pPr>
          </w:p>
        </w:tc>
        <w:tc>
          <w:tcPr>
            <w:tcW w:w="1500" w:type="dxa"/>
            <w:vAlign w:val="bottom"/>
            <w:shd w:val="clear" w:color="auto" w:fill="DBE5F1"/>
          </w:tcPr>
          <w:p>
            <w:pPr>
              <w:jc w:val="center"/>
              <w:spacing w:after="0" w:line="202" w:lineRule="exact"/>
              <w:rPr>
                <w:sz w:val="20"/>
                <w:szCs w:val="20"/>
                <w:color w:val="auto"/>
              </w:rPr>
            </w:pPr>
            <w:r>
              <w:rPr>
                <w:rFonts w:ascii="Arial" w:cs="Arial" w:eastAsia="Arial" w:hAnsi="Arial"/>
                <w:sz w:val="18"/>
                <w:szCs w:val="18"/>
                <w:b w:val="1"/>
                <w:bCs w:val="1"/>
                <w:color w:val="auto"/>
                <w:w w:val="99"/>
              </w:rPr>
              <w:t>Grant Date Fair</w:t>
            </w:r>
          </w:p>
        </w:tc>
        <w:tc>
          <w:tcPr>
            <w:tcW w:w="1400" w:type="dxa"/>
            <w:vAlign w:val="bottom"/>
            <w:shd w:val="clear" w:color="auto" w:fill="DBE5F1"/>
          </w:tcPr>
          <w:p>
            <w:pPr>
              <w:spacing w:after="0"/>
              <w:rPr>
                <w:sz w:val="17"/>
                <w:szCs w:val="17"/>
                <w:color w:val="auto"/>
              </w:rPr>
            </w:pPr>
          </w:p>
        </w:tc>
        <w:tc>
          <w:tcPr>
            <w:tcW w:w="1020" w:type="dxa"/>
            <w:vAlign w:val="bottom"/>
            <w:shd w:val="clear" w:color="auto" w:fill="DBE5F1"/>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1800" w:type="dxa"/>
            <w:vAlign w:val="bottom"/>
            <w:tcBorders>
              <w:left w:val="single" w:sz="8" w:color="808080"/>
            </w:tcBorders>
            <w:shd w:val="clear" w:color="auto" w:fill="DCE6F2"/>
          </w:tcPr>
          <w:p>
            <w:pPr>
              <w:spacing w:after="0"/>
              <w:rPr>
                <w:sz w:val="17"/>
                <w:szCs w:val="17"/>
                <w:color w:val="auto"/>
              </w:rPr>
            </w:pPr>
          </w:p>
        </w:tc>
        <w:tc>
          <w:tcPr>
            <w:tcW w:w="1500" w:type="dxa"/>
            <w:vAlign w:val="bottom"/>
            <w:shd w:val="clear" w:color="auto" w:fill="DBE5F1"/>
          </w:tcPr>
          <w:p>
            <w:pPr>
              <w:jc w:val="center"/>
              <w:spacing w:after="0" w:line="202" w:lineRule="exact"/>
              <w:rPr>
                <w:sz w:val="20"/>
                <w:szCs w:val="20"/>
                <w:color w:val="auto"/>
              </w:rPr>
            </w:pPr>
            <w:r>
              <w:rPr>
                <w:rFonts w:ascii="Arial" w:cs="Arial" w:eastAsia="Arial" w:hAnsi="Arial"/>
                <w:sz w:val="18"/>
                <w:szCs w:val="18"/>
                <w:b w:val="1"/>
                <w:bCs w:val="1"/>
                <w:color w:val="auto"/>
                <w:w w:val="99"/>
              </w:rPr>
              <w:t>Value</w:t>
            </w:r>
          </w:p>
        </w:tc>
        <w:tc>
          <w:tcPr>
            <w:tcW w:w="1400" w:type="dxa"/>
            <w:vAlign w:val="bottom"/>
            <w:shd w:val="clear" w:color="auto" w:fill="DBE5F1"/>
          </w:tcPr>
          <w:p>
            <w:pPr>
              <w:jc w:val="center"/>
              <w:spacing w:after="0" w:line="202" w:lineRule="exact"/>
              <w:rPr>
                <w:sz w:val="20"/>
                <w:szCs w:val="20"/>
                <w:color w:val="auto"/>
              </w:rPr>
            </w:pPr>
            <w:r>
              <w:rPr>
                <w:rFonts w:ascii="Arial" w:cs="Arial" w:eastAsia="Arial" w:hAnsi="Arial"/>
                <w:sz w:val="18"/>
                <w:szCs w:val="18"/>
                <w:b w:val="1"/>
                <w:bCs w:val="1"/>
                <w:color w:val="auto"/>
              </w:rPr>
              <w:t>3-year Cliff</w:t>
            </w:r>
          </w:p>
        </w:tc>
        <w:tc>
          <w:tcPr>
            <w:tcW w:w="1020" w:type="dxa"/>
            <w:vAlign w:val="bottom"/>
            <w:shd w:val="clear" w:color="auto" w:fill="DBE5F1"/>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1800" w:type="dxa"/>
            <w:vAlign w:val="bottom"/>
            <w:tcBorders>
              <w:left w:val="single" w:sz="8" w:color="808080"/>
            </w:tcBorders>
            <w:shd w:val="clear" w:color="auto" w:fill="DCE6F2"/>
          </w:tcPr>
          <w:p>
            <w:pPr>
              <w:spacing w:after="0"/>
              <w:rPr>
                <w:sz w:val="17"/>
                <w:szCs w:val="17"/>
                <w:color w:val="auto"/>
              </w:rPr>
            </w:pPr>
          </w:p>
        </w:tc>
        <w:tc>
          <w:tcPr>
            <w:tcW w:w="1500" w:type="dxa"/>
            <w:vAlign w:val="bottom"/>
            <w:shd w:val="clear" w:color="auto" w:fill="DBE5F1"/>
          </w:tcPr>
          <w:p>
            <w:pPr>
              <w:jc w:val="center"/>
              <w:spacing w:after="0" w:line="202" w:lineRule="exact"/>
              <w:rPr>
                <w:sz w:val="20"/>
                <w:szCs w:val="20"/>
                <w:color w:val="auto"/>
              </w:rPr>
            </w:pPr>
            <w:r>
              <w:rPr>
                <w:rFonts w:ascii="Arial" w:cs="Arial" w:eastAsia="Arial" w:hAnsi="Arial"/>
                <w:sz w:val="18"/>
                <w:szCs w:val="18"/>
                <w:b w:val="1"/>
                <w:bCs w:val="1"/>
                <w:color w:val="auto"/>
              </w:rPr>
              <w:t>(in thousands,</w:t>
            </w:r>
          </w:p>
        </w:tc>
        <w:tc>
          <w:tcPr>
            <w:tcW w:w="1400" w:type="dxa"/>
            <w:vAlign w:val="bottom"/>
            <w:shd w:val="clear" w:color="auto" w:fill="DBE5F1"/>
          </w:tcPr>
          <w:p>
            <w:pPr>
              <w:jc w:val="center"/>
              <w:spacing w:after="0" w:line="202" w:lineRule="exact"/>
              <w:rPr>
                <w:sz w:val="20"/>
                <w:szCs w:val="20"/>
                <w:color w:val="auto"/>
              </w:rPr>
            </w:pPr>
            <w:r>
              <w:rPr>
                <w:rFonts w:ascii="Arial" w:cs="Arial" w:eastAsia="Arial" w:hAnsi="Arial"/>
                <w:sz w:val="18"/>
                <w:szCs w:val="18"/>
                <w:b w:val="1"/>
                <w:bCs w:val="1"/>
                <w:color w:val="auto"/>
                <w:w w:val="99"/>
              </w:rPr>
              <w:t>Vesting RSUs</w:t>
            </w:r>
          </w:p>
        </w:tc>
        <w:tc>
          <w:tcPr>
            <w:tcW w:w="1020" w:type="dxa"/>
            <w:vAlign w:val="bottom"/>
            <w:shd w:val="clear" w:color="auto" w:fill="DBE5F1"/>
          </w:tcPr>
          <w:p>
            <w:pPr>
              <w:jc w:val="center"/>
              <w:spacing w:after="0" w:line="202" w:lineRule="exact"/>
              <w:rPr>
                <w:sz w:val="20"/>
                <w:szCs w:val="20"/>
                <w:color w:val="auto"/>
              </w:rPr>
            </w:pPr>
            <w:r>
              <w:rPr>
                <w:rFonts w:ascii="Arial" w:cs="Arial" w:eastAsia="Arial" w:hAnsi="Arial"/>
                <w:sz w:val="18"/>
                <w:szCs w:val="18"/>
                <w:b w:val="1"/>
                <w:bCs w:val="1"/>
                <w:color w:val="auto"/>
                <w:w w:val="97"/>
              </w:rPr>
              <w:t>PSUs</w:t>
            </w:r>
          </w:p>
        </w:tc>
        <w:tc>
          <w:tcPr>
            <w:tcW w:w="20" w:type="dxa"/>
            <w:vAlign w:val="bottom"/>
          </w:tcPr>
          <w:p>
            <w:pPr>
              <w:spacing w:after="0"/>
              <w:rPr>
                <w:sz w:val="17"/>
                <w:szCs w:val="17"/>
                <w:color w:val="auto"/>
              </w:rPr>
            </w:pPr>
          </w:p>
        </w:tc>
      </w:tr>
      <w:tr>
        <w:trPr>
          <w:trHeight w:val="275"/>
        </w:trPr>
        <w:tc>
          <w:tcPr>
            <w:tcW w:w="1800" w:type="dxa"/>
            <w:vAlign w:val="bottom"/>
            <w:tcBorders>
              <w:left w:val="single" w:sz="8" w:color="808080"/>
              <w:bottom w:val="single" w:sz="8" w:color="DCE6F2"/>
            </w:tcBorders>
            <w:shd w:val="clear" w:color="auto" w:fill="DCE6F2"/>
          </w:tcPr>
          <w:p>
            <w:pPr>
              <w:ind w:left="480"/>
              <w:spacing w:after="0"/>
              <w:rPr>
                <w:sz w:val="20"/>
                <w:szCs w:val="20"/>
                <w:color w:val="auto"/>
              </w:rPr>
            </w:pPr>
            <w:r>
              <w:rPr>
                <w:rFonts w:ascii="Arial" w:cs="Arial" w:eastAsia="Arial" w:hAnsi="Arial"/>
                <w:sz w:val="18"/>
                <w:szCs w:val="18"/>
                <w:b w:val="1"/>
                <w:bCs w:val="1"/>
                <w:color w:val="auto"/>
              </w:rPr>
              <w:t>Executive</w:t>
            </w:r>
          </w:p>
        </w:tc>
        <w:tc>
          <w:tcPr>
            <w:tcW w:w="1500" w:type="dxa"/>
            <w:vAlign w:val="bottom"/>
            <w:tcBorders>
              <w:bottom w:val="single" w:sz="8" w:color="DBE5F1"/>
            </w:tcBorders>
            <w:shd w:val="clear" w:color="auto" w:fill="DBE5F1"/>
          </w:tcPr>
          <w:p>
            <w:pPr>
              <w:jc w:val="center"/>
              <w:spacing w:after="0"/>
              <w:rPr>
                <w:sz w:val="20"/>
                <w:szCs w:val="20"/>
                <w:color w:val="auto"/>
              </w:rPr>
            </w:pPr>
            <w:r>
              <w:rPr>
                <w:rFonts w:ascii="Arial" w:cs="Arial" w:eastAsia="Arial" w:hAnsi="Arial"/>
                <w:sz w:val="18"/>
                <w:szCs w:val="18"/>
                <w:b w:val="1"/>
                <w:bCs w:val="1"/>
                <w:color w:val="auto"/>
                <w:w w:val="99"/>
              </w:rPr>
              <w:t>with rounding)</w:t>
            </w:r>
          </w:p>
        </w:tc>
        <w:tc>
          <w:tcPr>
            <w:tcW w:w="1400" w:type="dxa"/>
            <w:vAlign w:val="bottom"/>
            <w:tcBorders>
              <w:bottom w:val="single" w:sz="8" w:color="DBE5F1"/>
            </w:tcBorders>
            <w:shd w:val="clear" w:color="auto" w:fill="DBE5F1"/>
          </w:tcPr>
          <w:p>
            <w:pPr>
              <w:jc w:val="center"/>
              <w:spacing w:after="0"/>
              <w:rPr>
                <w:sz w:val="20"/>
                <w:szCs w:val="20"/>
                <w:color w:val="auto"/>
              </w:rPr>
            </w:pPr>
            <w:r>
              <w:rPr>
                <w:rFonts w:ascii="Arial" w:cs="Arial" w:eastAsia="Arial" w:hAnsi="Arial"/>
                <w:sz w:val="18"/>
                <w:szCs w:val="18"/>
                <w:b w:val="1"/>
                <w:bCs w:val="1"/>
                <w:color w:val="auto"/>
                <w:w w:val="97"/>
              </w:rPr>
              <w:t>Awarded</w:t>
            </w:r>
          </w:p>
        </w:tc>
        <w:tc>
          <w:tcPr>
            <w:tcW w:w="1020" w:type="dxa"/>
            <w:vAlign w:val="bottom"/>
            <w:tcBorders>
              <w:bottom w:val="single" w:sz="8" w:color="DBE5F1"/>
            </w:tcBorders>
            <w:shd w:val="clear" w:color="auto" w:fill="DBE5F1"/>
          </w:tcPr>
          <w:p>
            <w:pPr>
              <w:jc w:val="center"/>
              <w:spacing w:after="0"/>
              <w:rPr>
                <w:sz w:val="20"/>
                <w:szCs w:val="20"/>
                <w:color w:val="auto"/>
              </w:rPr>
            </w:pPr>
            <w:r>
              <w:rPr>
                <w:rFonts w:ascii="Arial" w:cs="Arial" w:eastAsia="Arial" w:hAnsi="Arial"/>
                <w:sz w:val="18"/>
                <w:szCs w:val="18"/>
                <w:b w:val="1"/>
                <w:bCs w:val="1"/>
                <w:color w:val="auto"/>
                <w:w w:val="99"/>
              </w:rPr>
              <w:t>Awarded</w:t>
            </w:r>
          </w:p>
        </w:tc>
        <w:tc>
          <w:tcPr>
            <w:tcW w:w="20" w:type="dxa"/>
            <w:vAlign w:val="bottom"/>
          </w:tcPr>
          <w:p>
            <w:pPr>
              <w:spacing w:after="0"/>
              <w:rPr>
                <w:sz w:val="23"/>
                <w:szCs w:val="23"/>
                <w:color w:val="auto"/>
              </w:rPr>
            </w:pPr>
          </w:p>
        </w:tc>
      </w:tr>
      <w:tr>
        <w:trPr>
          <w:trHeight w:val="275"/>
        </w:trPr>
        <w:tc>
          <w:tcPr>
            <w:tcW w:w="1800" w:type="dxa"/>
            <w:vAlign w:val="bottom"/>
            <w:tcBorders>
              <w:top w:val="single" w:sz="8" w:color="4A7EBB"/>
              <w:left w:val="single" w:sz="8" w:color="808080"/>
            </w:tcBorders>
          </w:tcPr>
          <w:p>
            <w:pPr>
              <w:ind w:left="140"/>
              <w:spacing w:after="0"/>
              <w:rPr>
                <w:sz w:val="20"/>
                <w:szCs w:val="20"/>
                <w:color w:val="auto"/>
              </w:rPr>
            </w:pPr>
            <w:r>
              <w:rPr>
                <w:rFonts w:ascii="Arial" w:cs="Arial" w:eastAsia="Arial" w:hAnsi="Arial"/>
                <w:sz w:val="18"/>
                <w:szCs w:val="18"/>
                <w:b w:val="1"/>
                <w:bCs w:val="1"/>
                <w:color w:val="auto"/>
              </w:rPr>
              <w:t>Morris Goldfarb</w:t>
            </w:r>
          </w:p>
        </w:tc>
        <w:tc>
          <w:tcPr>
            <w:tcW w:w="1500" w:type="dxa"/>
            <w:vAlign w:val="bottom"/>
            <w:tcBorders>
              <w:top w:val="single" w:sz="8" w:color="4A7EBB"/>
            </w:tcBorders>
          </w:tcPr>
          <w:p>
            <w:pPr>
              <w:jc w:val="center"/>
              <w:spacing w:after="0"/>
              <w:rPr>
                <w:sz w:val="20"/>
                <w:szCs w:val="20"/>
                <w:color w:val="auto"/>
              </w:rPr>
            </w:pPr>
            <w:r>
              <w:rPr>
                <w:rFonts w:ascii="Arial" w:cs="Arial" w:eastAsia="Arial" w:hAnsi="Arial"/>
                <w:sz w:val="18"/>
                <w:szCs w:val="18"/>
                <w:color w:val="auto"/>
                <w:w w:val="98"/>
              </w:rPr>
              <w:t>$6,000</w:t>
            </w:r>
          </w:p>
        </w:tc>
        <w:tc>
          <w:tcPr>
            <w:tcW w:w="1400" w:type="dxa"/>
            <w:vAlign w:val="bottom"/>
            <w:tcBorders>
              <w:top w:val="single" w:sz="8" w:color="4A7EBB"/>
            </w:tcBorders>
          </w:tcPr>
          <w:p>
            <w:pPr>
              <w:jc w:val="center"/>
              <w:spacing w:after="0"/>
              <w:rPr>
                <w:sz w:val="20"/>
                <w:szCs w:val="20"/>
                <w:color w:val="auto"/>
              </w:rPr>
            </w:pPr>
            <w:r>
              <w:rPr>
                <w:rFonts w:ascii="Arial" w:cs="Arial" w:eastAsia="Arial" w:hAnsi="Arial"/>
                <w:sz w:val="18"/>
                <w:szCs w:val="18"/>
                <w:color w:val="auto"/>
              </w:rPr>
              <w:t>89,786</w:t>
            </w:r>
          </w:p>
        </w:tc>
        <w:tc>
          <w:tcPr>
            <w:tcW w:w="1020" w:type="dxa"/>
            <w:vAlign w:val="bottom"/>
            <w:tcBorders>
              <w:top w:val="single" w:sz="8" w:color="4A7EBB"/>
            </w:tcBorders>
          </w:tcPr>
          <w:p>
            <w:pPr>
              <w:jc w:val="center"/>
              <w:spacing w:after="0"/>
              <w:rPr>
                <w:sz w:val="20"/>
                <w:szCs w:val="20"/>
                <w:color w:val="auto"/>
              </w:rPr>
            </w:pPr>
            <w:r>
              <w:rPr>
                <w:rFonts w:ascii="Arial" w:cs="Arial" w:eastAsia="Arial" w:hAnsi="Arial"/>
                <w:sz w:val="18"/>
                <w:szCs w:val="18"/>
                <w:color w:val="auto"/>
                <w:w w:val="98"/>
              </w:rPr>
              <w:t>134,680</w:t>
            </w:r>
          </w:p>
        </w:tc>
        <w:tc>
          <w:tcPr>
            <w:tcW w:w="20" w:type="dxa"/>
            <w:vAlign w:val="bottom"/>
            <w:tcBorders>
              <w:top w:val="single" w:sz="8" w:color="4A7EBB"/>
            </w:tcBorders>
          </w:tcPr>
          <w:p>
            <w:pPr>
              <w:spacing w:after="0"/>
              <w:rPr>
                <w:sz w:val="23"/>
                <w:szCs w:val="23"/>
                <w:color w:val="auto"/>
              </w:rPr>
            </w:pPr>
          </w:p>
        </w:tc>
      </w:tr>
      <w:tr>
        <w:trPr>
          <w:trHeight w:val="29"/>
        </w:trPr>
        <w:tc>
          <w:tcPr>
            <w:tcW w:w="1800" w:type="dxa"/>
            <w:vAlign w:val="bottom"/>
            <w:tcBorders>
              <w:left w:val="single" w:sz="8" w:color="808080"/>
              <w:bottom w:val="single" w:sz="8" w:color="4A7EBB"/>
            </w:tcBorders>
          </w:tcPr>
          <w:p>
            <w:pPr>
              <w:spacing w:after="0"/>
              <w:rPr>
                <w:sz w:val="2"/>
                <w:szCs w:val="2"/>
                <w:color w:val="auto"/>
              </w:rPr>
            </w:pPr>
          </w:p>
        </w:tc>
        <w:tc>
          <w:tcPr>
            <w:tcW w:w="1500" w:type="dxa"/>
            <w:vAlign w:val="bottom"/>
            <w:tcBorders>
              <w:bottom w:val="single" w:sz="8" w:color="4A7EBB"/>
            </w:tcBorders>
          </w:tcPr>
          <w:p>
            <w:pPr>
              <w:spacing w:after="0"/>
              <w:rPr>
                <w:sz w:val="2"/>
                <w:szCs w:val="2"/>
                <w:color w:val="auto"/>
              </w:rPr>
            </w:pPr>
          </w:p>
        </w:tc>
        <w:tc>
          <w:tcPr>
            <w:tcW w:w="1400" w:type="dxa"/>
            <w:vAlign w:val="bottom"/>
            <w:tcBorders>
              <w:bottom w:val="single" w:sz="8" w:color="4A7EBB"/>
            </w:tcBorders>
          </w:tcPr>
          <w:p>
            <w:pPr>
              <w:spacing w:after="0"/>
              <w:rPr>
                <w:sz w:val="2"/>
                <w:szCs w:val="2"/>
                <w:color w:val="auto"/>
              </w:rPr>
            </w:pPr>
          </w:p>
        </w:tc>
        <w:tc>
          <w:tcPr>
            <w:tcW w:w="1020" w:type="dxa"/>
            <w:vAlign w:val="bottom"/>
            <w:tcBorders>
              <w:bottom w:val="single" w:sz="8" w:color="4A7EBB"/>
            </w:tcBorders>
          </w:tcPr>
          <w:p>
            <w:pPr>
              <w:spacing w:after="0"/>
              <w:rPr>
                <w:sz w:val="2"/>
                <w:szCs w:val="2"/>
                <w:color w:val="auto"/>
              </w:rPr>
            </w:pPr>
          </w:p>
        </w:tc>
        <w:tc>
          <w:tcPr>
            <w:tcW w:w="20" w:type="dxa"/>
            <w:vAlign w:val="bottom"/>
            <w:tcBorders>
              <w:bottom w:val="single" w:sz="8" w:color="4A7EBB"/>
            </w:tcBorders>
          </w:tcPr>
          <w:p>
            <w:pPr>
              <w:spacing w:after="0"/>
              <w:rPr>
                <w:sz w:val="2"/>
                <w:szCs w:val="2"/>
                <w:color w:val="auto"/>
              </w:rPr>
            </w:pPr>
          </w:p>
        </w:tc>
      </w:tr>
      <w:tr>
        <w:trPr>
          <w:trHeight w:val="304"/>
        </w:trPr>
        <w:tc>
          <w:tcPr>
            <w:tcW w:w="1800" w:type="dxa"/>
            <w:vAlign w:val="bottom"/>
            <w:tcBorders>
              <w:left w:val="single" w:sz="8" w:color="808080"/>
              <w:bottom w:val="single" w:sz="8" w:color="F2F2F2"/>
            </w:tcBorders>
            <w:shd w:val="clear" w:color="auto" w:fill="F2F2F2"/>
          </w:tcPr>
          <w:p>
            <w:pPr>
              <w:ind w:left="140"/>
              <w:spacing w:after="0"/>
              <w:rPr>
                <w:sz w:val="20"/>
                <w:szCs w:val="20"/>
                <w:color w:val="auto"/>
              </w:rPr>
            </w:pPr>
            <w:r>
              <w:rPr>
                <w:rFonts w:ascii="Arial" w:cs="Arial" w:eastAsia="Arial" w:hAnsi="Arial"/>
                <w:sz w:val="18"/>
                <w:szCs w:val="18"/>
                <w:b w:val="1"/>
                <w:bCs w:val="1"/>
                <w:color w:val="auto"/>
              </w:rPr>
              <w:t>Sammy Aaron</w:t>
            </w:r>
          </w:p>
        </w:tc>
        <w:tc>
          <w:tcPr>
            <w:tcW w:w="15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8"/>
                <w:szCs w:val="18"/>
                <w:color w:val="auto"/>
                <w:w w:val="98"/>
              </w:rPr>
              <w:t>$4,500</w:t>
            </w:r>
          </w:p>
        </w:tc>
        <w:tc>
          <w:tcPr>
            <w:tcW w:w="14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8"/>
                <w:szCs w:val="18"/>
                <w:color w:val="auto"/>
              </w:rPr>
              <w:t>67,340</w:t>
            </w:r>
          </w:p>
        </w:tc>
        <w:tc>
          <w:tcPr>
            <w:tcW w:w="10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8"/>
                <w:szCs w:val="18"/>
                <w:color w:val="auto"/>
                <w:w w:val="98"/>
              </w:rPr>
              <w:t>101,010</w:t>
            </w:r>
          </w:p>
        </w:tc>
        <w:tc>
          <w:tcPr>
            <w:tcW w:w="20" w:type="dxa"/>
            <w:vAlign w:val="bottom"/>
          </w:tcPr>
          <w:p>
            <w:pPr>
              <w:spacing w:after="0"/>
              <w:rPr>
                <w:sz w:val="24"/>
                <w:szCs w:val="24"/>
                <w:color w:val="auto"/>
              </w:rPr>
            </w:pPr>
          </w:p>
        </w:tc>
      </w:tr>
      <w:tr>
        <w:trPr>
          <w:trHeight w:val="275"/>
        </w:trPr>
        <w:tc>
          <w:tcPr>
            <w:tcW w:w="1800" w:type="dxa"/>
            <w:vAlign w:val="bottom"/>
            <w:tcBorders>
              <w:top w:val="single" w:sz="8" w:color="4A7EBB"/>
              <w:left w:val="single" w:sz="8" w:color="808080"/>
            </w:tcBorders>
          </w:tcPr>
          <w:p>
            <w:pPr>
              <w:ind w:left="140"/>
              <w:spacing w:after="0"/>
              <w:rPr>
                <w:sz w:val="20"/>
                <w:szCs w:val="20"/>
                <w:color w:val="auto"/>
              </w:rPr>
            </w:pPr>
            <w:r>
              <w:rPr>
                <w:rFonts w:ascii="Arial" w:cs="Arial" w:eastAsia="Arial" w:hAnsi="Arial"/>
                <w:sz w:val="18"/>
                <w:szCs w:val="18"/>
                <w:b w:val="1"/>
                <w:bCs w:val="1"/>
                <w:color w:val="auto"/>
              </w:rPr>
              <w:t>Jeffrey Goldfarb</w:t>
            </w:r>
          </w:p>
        </w:tc>
        <w:tc>
          <w:tcPr>
            <w:tcW w:w="1500" w:type="dxa"/>
            <w:vAlign w:val="bottom"/>
            <w:tcBorders>
              <w:top w:val="single" w:sz="8" w:color="4A7EBB"/>
            </w:tcBorders>
          </w:tcPr>
          <w:p>
            <w:pPr>
              <w:jc w:val="center"/>
              <w:spacing w:after="0"/>
              <w:rPr>
                <w:sz w:val="20"/>
                <w:szCs w:val="20"/>
                <w:color w:val="auto"/>
              </w:rPr>
            </w:pPr>
            <w:r>
              <w:rPr>
                <w:rFonts w:ascii="Arial" w:cs="Arial" w:eastAsia="Arial" w:hAnsi="Arial"/>
                <w:sz w:val="18"/>
                <w:szCs w:val="18"/>
                <w:color w:val="auto"/>
                <w:w w:val="98"/>
              </w:rPr>
              <w:t>$1,750</w:t>
            </w:r>
          </w:p>
        </w:tc>
        <w:tc>
          <w:tcPr>
            <w:tcW w:w="1400" w:type="dxa"/>
            <w:vAlign w:val="bottom"/>
            <w:tcBorders>
              <w:top w:val="single" w:sz="8" w:color="4A7EBB"/>
            </w:tcBorders>
          </w:tcPr>
          <w:p>
            <w:pPr>
              <w:jc w:val="center"/>
              <w:spacing w:after="0"/>
              <w:rPr>
                <w:sz w:val="20"/>
                <w:szCs w:val="20"/>
                <w:color w:val="auto"/>
              </w:rPr>
            </w:pPr>
            <w:r>
              <w:rPr>
                <w:rFonts w:ascii="Arial" w:cs="Arial" w:eastAsia="Arial" w:hAnsi="Arial"/>
                <w:sz w:val="18"/>
                <w:szCs w:val="18"/>
                <w:color w:val="auto"/>
              </w:rPr>
              <w:t>26,187</w:t>
            </w:r>
          </w:p>
        </w:tc>
        <w:tc>
          <w:tcPr>
            <w:tcW w:w="1020" w:type="dxa"/>
            <w:vAlign w:val="bottom"/>
            <w:tcBorders>
              <w:top w:val="single" w:sz="8" w:color="4A7EBB"/>
            </w:tcBorders>
          </w:tcPr>
          <w:p>
            <w:pPr>
              <w:jc w:val="center"/>
              <w:spacing w:after="0"/>
              <w:rPr>
                <w:sz w:val="20"/>
                <w:szCs w:val="20"/>
                <w:color w:val="auto"/>
              </w:rPr>
            </w:pPr>
            <w:r>
              <w:rPr>
                <w:rFonts w:ascii="Arial" w:cs="Arial" w:eastAsia="Arial" w:hAnsi="Arial"/>
                <w:sz w:val="18"/>
                <w:szCs w:val="18"/>
                <w:color w:val="auto"/>
              </w:rPr>
              <w:t>39,281</w:t>
            </w:r>
          </w:p>
        </w:tc>
        <w:tc>
          <w:tcPr>
            <w:tcW w:w="20" w:type="dxa"/>
            <w:vAlign w:val="bottom"/>
            <w:tcBorders>
              <w:top w:val="single" w:sz="8" w:color="4A7EBB"/>
            </w:tcBorders>
          </w:tcPr>
          <w:p>
            <w:pPr>
              <w:spacing w:after="0"/>
              <w:rPr>
                <w:sz w:val="23"/>
                <w:szCs w:val="23"/>
                <w:color w:val="auto"/>
              </w:rPr>
            </w:pPr>
          </w:p>
        </w:tc>
      </w:tr>
      <w:tr>
        <w:trPr>
          <w:trHeight w:val="29"/>
        </w:trPr>
        <w:tc>
          <w:tcPr>
            <w:tcW w:w="1800" w:type="dxa"/>
            <w:vAlign w:val="bottom"/>
            <w:tcBorders>
              <w:left w:val="single" w:sz="8" w:color="808080"/>
              <w:bottom w:val="single" w:sz="8" w:color="4A7EBB"/>
            </w:tcBorders>
          </w:tcPr>
          <w:p>
            <w:pPr>
              <w:spacing w:after="0"/>
              <w:rPr>
                <w:sz w:val="2"/>
                <w:szCs w:val="2"/>
                <w:color w:val="auto"/>
              </w:rPr>
            </w:pPr>
          </w:p>
        </w:tc>
        <w:tc>
          <w:tcPr>
            <w:tcW w:w="1500" w:type="dxa"/>
            <w:vAlign w:val="bottom"/>
            <w:tcBorders>
              <w:bottom w:val="single" w:sz="8" w:color="4A7EBB"/>
            </w:tcBorders>
          </w:tcPr>
          <w:p>
            <w:pPr>
              <w:spacing w:after="0"/>
              <w:rPr>
                <w:sz w:val="2"/>
                <w:szCs w:val="2"/>
                <w:color w:val="auto"/>
              </w:rPr>
            </w:pPr>
          </w:p>
        </w:tc>
        <w:tc>
          <w:tcPr>
            <w:tcW w:w="1400" w:type="dxa"/>
            <w:vAlign w:val="bottom"/>
            <w:tcBorders>
              <w:bottom w:val="single" w:sz="8" w:color="4A7EBB"/>
            </w:tcBorders>
          </w:tcPr>
          <w:p>
            <w:pPr>
              <w:spacing w:after="0"/>
              <w:rPr>
                <w:sz w:val="2"/>
                <w:szCs w:val="2"/>
                <w:color w:val="auto"/>
              </w:rPr>
            </w:pPr>
          </w:p>
        </w:tc>
        <w:tc>
          <w:tcPr>
            <w:tcW w:w="1020" w:type="dxa"/>
            <w:vAlign w:val="bottom"/>
            <w:tcBorders>
              <w:bottom w:val="single" w:sz="8" w:color="4A7EBB"/>
            </w:tcBorders>
          </w:tcPr>
          <w:p>
            <w:pPr>
              <w:spacing w:after="0"/>
              <w:rPr>
                <w:sz w:val="2"/>
                <w:szCs w:val="2"/>
                <w:color w:val="auto"/>
              </w:rPr>
            </w:pPr>
          </w:p>
        </w:tc>
        <w:tc>
          <w:tcPr>
            <w:tcW w:w="20" w:type="dxa"/>
            <w:vAlign w:val="bottom"/>
            <w:tcBorders>
              <w:bottom w:val="single" w:sz="8" w:color="4A7EBB"/>
            </w:tcBorders>
          </w:tcPr>
          <w:p>
            <w:pPr>
              <w:spacing w:after="0"/>
              <w:rPr>
                <w:sz w:val="2"/>
                <w:szCs w:val="2"/>
                <w:color w:val="auto"/>
              </w:rPr>
            </w:pPr>
          </w:p>
        </w:tc>
      </w:tr>
      <w:tr>
        <w:trPr>
          <w:trHeight w:val="304"/>
        </w:trPr>
        <w:tc>
          <w:tcPr>
            <w:tcW w:w="1800" w:type="dxa"/>
            <w:vAlign w:val="bottom"/>
            <w:tcBorders>
              <w:left w:val="single" w:sz="8" w:color="808080"/>
              <w:bottom w:val="single" w:sz="8" w:color="F2F2F2"/>
            </w:tcBorders>
            <w:shd w:val="clear" w:color="auto" w:fill="F2F2F2"/>
          </w:tcPr>
          <w:p>
            <w:pPr>
              <w:ind w:left="140"/>
              <w:spacing w:after="0"/>
              <w:rPr>
                <w:sz w:val="20"/>
                <w:szCs w:val="20"/>
                <w:color w:val="auto"/>
              </w:rPr>
            </w:pPr>
            <w:r>
              <w:rPr>
                <w:rFonts w:ascii="Arial" w:cs="Arial" w:eastAsia="Arial" w:hAnsi="Arial"/>
                <w:sz w:val="18"/>
                <w:szCs w:val="18"/>
                <w:b w:val="1"/>
                <w:bCs w:val="1"/>
                <w:color w:val="auto"/>
              </w:rPr>
              <w:t>Dana Perlman</w:t>
            </w:r>
          </w:p>
        </w:tc>
        <w:tc>
          <w:tcPr>
            <w:tcW w:w="15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8"/>
                <w:szCs w:val="18"/>
                <w:color w:val="auto"/>
                <w:w w:val="99"/>
              </w:rPr>
              <w:t>$600</w:t>
            </w:r>
          </w:p>
        </w:tc>
        <w:tc>
          <w:tcPr>
            <w:tcW w:w="14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8"/>
                <w:szCs w:val="18"/>
                <w:color w:val="auto"/>
                <w:w w:val="98"/>
              </w:rPr>
              <w:t>11,223</w:t>
            </w:r>
          </w:p>
        </w:tc>
        <w:tc>
          <w:tcPr>
            <w:tcW w:w="10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8"/>
                <w:szCs w:val="18"/>
                <w:color w:val="auto"/>
                <w:w w:val="98"/>
              </w:rPr>
              <w:t>11,223</w:t>
            </w:r>
          </w:p>
        </w:tc>
        <w:tc>
          <w:tcPr>
            <w:tcW w:w="20" w:type="dxa"/>
            <w:vAlign w:val="bottom"/>
          </w:tcPr>
          <w:p>
            <w:pPr>
              <w:spacing w:after="0"/>
              <w:rPr>
                <w:sz w:val="24"/>
                <w:szCs w:val="24"/>
                <w:color w:val="auto"/>
              </w:rPr>
            </w:pPr>
          </w:p>
        </w:tc>
      </w:tr>
      <w:tr>
        <w:trPr>
          <w:trHeight w:val="275"/>
        </w:trPr>
        <w:tc>
          <w:tcPr>
            <w:tcW w:w="1800" w:type="dxa"/>
            <w:vAlign w:val="bottom"/>
            <w:tcBorders>
              <w:top w:val="single" w:sz="8" w:color="4A7EBB"/>
              <w:left w:val="single" w:sz="8" w:color="808080"/>
            </w:tcBorders>
          </w:tcPr>
          <w:p>
            <w:pPr>
              <w:ind w:left="140"/>
              <w:spacing w:after="0"/>
              <w:rPr>
                <w:sz w:val="20"/>
                <w:szCs w:val="20"/>
                <w:color w:val="auto"/>
              </w:rPr>
            </w:pPr>
            <w:r>
              <w:rPr>
                <w:rFonts w:ascii="Arial" w:cs="Arial" w:eastAsia="Arial" w:hAnsi="Arial"/>
                <w:sz w:val="18"/>
                <w:szCs w:val="18"/>
                <w:b w:val="1"/>
                <w:bCs w:val="1"/>
                <w:color w:val="auto"/>
              </w:rPr>
              <w:t>Neal Nackman</w:t>
            </w:r>
          </w:p>
        </w:tc>
        <w:tc>
          <w:tcPr>
            <w:tcW w:w="1500" w:type="dxa"/>
            <w:vAlign w:val="bottom"/>
            <w:tcBorders>
              <w:top w:val="single" w:sz="8" w:color="4A7EBB"/>
            </w:tcBorders>
          </w:tcPr>
          <w:p>
            <w:pPr>
              <w:jc w:val="center"/>
              <w:spacing w:after="0"/>
              <w:rPr>
                <w:sz w:val="20"/>
                <w:szCs w:val="20"/>
                <w:color w:val="auto"/>
              </w:rPr>
            </w:pPr>
            <w:r>
              <w:rPr>
                <w:rFonts w:ascii="Arial" w:cs="Arial" w:eastAsia="Arial" w:hAnsi="Arial"/>
                <w:sz w:val="18"/>
                <w:szCs w:val="18"/>
                <w:color w:val="auto"/>
                <w:w w:val="99"/>
              </w:rPr>
              <w:t>$500</w:t>
            </w:r>
          </w:p>
        </w:tc>
        <w:tc>
          <w:tcPr>
            <w:tcW w:w="1400" w:type="dxa"/>
            <w:vAlign w:val="bottom"/>
            <w:tcBorders>
              <w:top w:val="single" w:sz="8" w:color="4A7EBB"/>
            </w:tcBorders>
          </w:tcPr>
          <w:p>
            <w:pPr>
              <w:jc w:val="center"/>
              <w:spacing w:after="0"/>
              <w:rPr>
                <w:sz w:val="20"/>
                <w:szCs w:val="20"/>
                <w:color w:val="auto"/>
              </w:rPr>
            </w:pPr>
            <w:r>
              <w:rPr>
                <w:rFonts w:ascii="Arial" w:cs="Arial" w:eastAsia="Arial" w:hAnsi="Arial"/>
                <w:sz w:val="18"/>
                <w:szCs w:val="18"/>
                <w:color w:val="auto"/>
                <w:w w:val="97"/>
              </w:rPr>
              <w:t>9,352</w:t>
            </w:r>
          </w:p>
        </w:tc>
        <w:tc>
          <w:tcPr>
            <w:tcW w:w="1020" w:type="dxa"/>
            <w:vAlign w:val="bottom"/>
            <w:tcBorders>
              <w:top w:val="single" w:sz="8" w:color="4A7EBB"/>
            </w:tcBorders>
          </w:tcPr>
          <w:p>
            <w:pPr>
              <w:jc w:val="center"/>
              <w:spacing w:after="0"/>
              <w:rPr>
                <w:sz w:val="20"/>
                <w:szCs w:val="20"/>
                <w:color w:val="auto"/>
              </w:rPr>
            </w:pPr>
            <w:r>
              <w:rPr>
                <w:rFonts w:ascii="Arial" w:cs="Arial" w:eastAsia="Arial" w:hAnsi="Arial"/>
                <w:sz w:val="18"/>
                <w:szCs w:val="18"/>
                <w:color w:val="auto"/>
                <w:w w:val="97"/>
              </w:rPr>
              <w:t>9,352</w:t>
            </w:r>
          </w:p>
        </w:tc>
        <w:tc>
          <w:tcPr>
            <w:tcW w:w="20" w:type="dxa"/>
            <w:vAlign w:val="bottom"/>
            <w:tcBorders>
              <w:top w:val="single" w:sz="8" w:color="4A7EBB"/>
            </w:tcBorders>
          </w:tcPr>
          <w:p>
            <w:pPr>
              <w:spacing w:after="0"/>
              <w:rPr>
                <w:sz w:val="23"/>
                <w:szCs w:val="23"/>
                <w:color w:val="auto"/>
              </w:rPr>
            </w:pPr>
          </w:p>
        </w:tc>
      </w:tr>
      <w:tr>
        <w:trPr>
          <w:trHeight w:val="29"/>
        </w:trPr>
        <w:tc>
          <w:tcPr>
            <w:tcW w:w="1800" w:type="dxa"/>
            <w:vAlign w:val="bottom"/>
            <w:tcBorders>
              <w:left w:val="single" w:sz="8" w:color="808080"/>
              <w:bottom w:val="single" w:sz="8" w:color="808080"/>
            </w:tcBorders>
          </w:tcPr>
          <w:p>
            <w:pPr>
              <w:spacing w:after="0"/>
              <w:rPr>
                <w:sz w:val="2"/>
                <w:szCs w:val="2"/>
                <w:color w:val="auto"/>
              </w:rPr>
            </w:pPr>
          </w:p>
        </w:tc>
        <w:tc>
          <w:tcPr>
            <w:tcW w:w="1500" w:type="dxa"/>
            <w:vAlign w:val="bottom"/>
            <w:tcBorders>
              <w:bottom w:val="single" w:sz="8" w:color="808080"/>
            </w:tcBorders>
          </w:tcPr>
          <w:p>
            <w:pPr>
              <w:spacing w:after="0"/>
              <w:rPr>
                <w:sz w:val="2"/>
                <w:szCs w:val="2"/>
                <w:color w:val="auto"/>
              </w:rPr>
            </w:pPr>
          </w:p>
        </w:tc>
        <w:tc>
          <w:tcPr>
            <w:tcW w:w="1400" w:type="dxa"/>
            <w:vAlign w:val="bottom"/>
            <w:tcBorders>
              <w:bottom w:val="single" w:sz="8" w:color="808080"/>
            </w:tcBorders>
          </w:tcPr>
          <w:p>
            <w:pPr>
              <w:spacing w:after="0"/>
              <w:rPr>
                <w:sz w:val="2"/>
                <w:szCs w:val="2"/>
                <w:color w:val="auto"/>
              </w:rPr>
            </w:pPr>
          </w:p>
        </w:tc>
        <w:tc>
          <w:tcPr>
            <w:tcW w:w="1020" w:type="dxa"/>
            <w:vAlign w:val="bottom"/>
            <w:tcBorders>
              <w:bottom w:val="single" w:sz="8" w:color="808080"/>
            </w:tcBorders>
          </w:tcPr>
          <w:p>
            <w:pPr>
              <w:spacing w:after="0"/>
              <w:rPr>
                <w:sz w:val="2"/>
                <w:szCs w:val="2"/>
                <w:color w:val="auto"/>
              </w:rPr>
            </w:pPr>
          </w:p>
        </w:tc>
        <w:tc>
          <w:tcPr>
            <w:tcW w:w="20" w:type="dxa"/>
            <w:vAlign w:val="bottom"/>
            <w:tcBorders>
              <w:bottom w:val="single" w:sz="8" w:color="808080"/>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-1036955</wp:posOffset>
            </wp:positionV>
            <wp:extent cx="8255" cy="10375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255" cy="1037590"/>
                    </a:xfrm>
                    <a:prstGeom prst="rect">
                      <a:avLst/>
                    </a:prstGeom>
                    <a:noFill/>
                  </pic:spPr>
                </pic:pic>
              </a:graphicData>
            </a:graphic>
          </wp:anchor>
        </w:drawing>
      </w:r>
    </w:p>
    <w:p>
      <w:pPr>
        <w:spacing w:after="0" w:line="197" w:lineRule="exact"/>
        <w:rPr>
          <w:sz w:val="20"/>
          <w:szCs w:val="20"/>
          <w:color w:val="auto"/>
        </w:rPr>
      </w:pPr>
    </w:p>
    <w:p>
      <w:pPr>
        <w:sectPr>
          <w:pgSz w:w="11900" w:h="16838" w:orient="portrait"/>
          <w:cols w:equalWidth="0" w:num="2">
            <w:col w:w="2023" w:space="517"/>
            <w:col w:w="7380"/>
          </w:cols>
          <w:pgMar w:left="980" w:top="513" w:right="999" w:bottom="1440" w:gutter="0" w:footer="0" w:header="0"/>
          <w:type w:val="continuous"/>
        </w:sectPr>
      </w:pPr>
    </w:p>
    <w:p>
      <w:pPr>
        <w:jc w:val="both"/>
        <w:spacing w:after="0" w:line="242" w:lineRule="auto"/>
        <w:rPr>
          <w:sz w:val="20"/>
          <w:szCs w:val="20"/>
          <w:color w:val="auto"/>
        </w:rPr>
      </w:pPr>
      <w:r>
        <w:rPr>
          <w:rFonts w:ascii="Arial" w:cs="Arial" w:eastAsia="Arial" w:hAnsi="Arial"/>
          <w:sz w:val="18"/>
          <w:szCs w:val="18"/>
          <w:color w:val="auto"/>
        </w:rPr>
        <w:t>The Compensation Committee determined the value of the grants made in the beginning of fiscal 2026 by analyzing the value of grants to compensation peer group company executives and assessing our results and long-term outlook, as well as contractual obligations. The value of the grant is intended to represent a meaningful portion of total compensation for each executive to align their interests with long-term business performance. The Committee sets Cumulative Adjusted EBIT and ROIC performance targets for PSUs that it considers rigorous based on various company, industry and economic forecasts.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280035</wp:posOffset>
            </wp:positionV>
            <wp:extent cx="629221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ind w:left="7560"/>
        <w:spacing w:after="0"/>
        <w:rPr>
          <w:sz w:val="20"/>
          <w:szCs w:val="20"/>
          <w:color w:val="auto"/>
        </w:rPr>
      </w:pPr>
      <w:r>
        <w:rPr>
          <w:rFonts w:ascii="Arial" w:cs="Arial" w:eastAsia="Arial" w:hAnsi="Arial"/>
          <w:sz w:val="16"/>
          <w:szCs w:val="16"/>
          <w:color w:val="auto"/>
        </w:rPr>
        <w:t xml:space="preserve">2026 PROXY STATEMENT </w:t>
      </w:r>
      <w:r>
        <w:rPr>
          <w:rFonts w:ascii="Arial" w:cs="Arial" w:eastAsia="Arial" w:hAnsi="Arial"/>
          <w:sz w:val="19"/>
          <w:szCs w:val="19"/>
          <w:color w:val="808080"/>
        </w:rPr>
        <w:t>/</w:t>
      </w:r>
      <w:r>
        <w:rPr>
          <w:rFonts w:ascii="Arial" w:cs="Arial" w:eastAsia="Arial" w:hAnsi="Arial"/>
          <w:sz w:val="16"/>
          <w:szCs w:val="16"/>
          <w:color w:val="auto"/>
        </w:rPr>
        <w:t xml:space="preserve"> </w:t>
      </w:r>
      <w:r>
        <w:rPr>
          <w:rFonts w:ascii="Arial" w:cs="Arial" w:eastAsia="Arial" w:hAnsi="Arial"/>
          <w:sz w:val="19"/>
          <w:szCs w:val="19"/>
          <w:b w:val="1"/>
          <w:bCs w:val="1"/>
          <w:color w:val="4A7EBB"/>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356235</wp:posOffset>
            </wp:positionV>
            <wp:extent cx="6292215" cy="25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17780</wp:posOffset>
            </wp:positionV>
            <wp:extent cx="624903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249035"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FISCAL 2024 THROUGH 2026 PERFORMANCE SHARE UNIT AWARDS</w:t>
      </w:r>
    </w:p>
    <w:p>
      <w:pPr>
        <w:spacing w:after="0" w:line="175" w:lineRule="exact"/>
        <w:rPr>
          <w:sz w:val="20"/>
          <w:szCs w:val="20"/>
          <w:color w:val="auto"/>
        </w:rPr>
      </w:pPr>
    </w:p>
    <w:p>
      <w:pPr>
        <w:jc w:val="both"/>
        <w:ind w:right="20"/>
        <w:spacing w:after="0" w:line="244" w:lineRule="auto"/>
        <w:rPr>
          <w:sz w:val="20"/>
          <w:szCs w:val="20"/>
          <w:color w:val="auto"/>
        </w:rPr>
      </w:pPr>
      <w:r>
        <w:rPr>
          <w:rFonts w:ascii="Arial" w:cs="Arial" w:eastAsia="Arial" w:hAnsi="Arial"/>
          <w:sz w:val="18"/>
          <w:szCs w:val="18"/>
          <w:color w:val="auto"/>
        </w:rPr>
        <w:t>Our NEOs received PSU awards in April 2023 that were contingent on achieving targets for Cumulative Adjusted EBIT (75% weighting) and ROIC (25% weighting) established for the 3-year performance period, as detailed below. The Compensation Committee determined that these objectives were exceeded, resulting in a payout of 150% of the PSUs awarded. While the PSU plan design allows for adjustments for certain unanticipated events, such as the impact of tariffs, no adjustments were made due to the Company’s strong performance on both financial metrics.</w:t>
      </w:r>
    </w:p>
    <w:p>
      <w:pPr>
        <w:spacing w:after="0" w:line="283" w:lineRule="exact"/>
        <w:rPr>
          <w:sz w:val="20"/>
          <w:szCs w:val="20"/>
          <w:color w:val="auto"/>
        </w:rPr>
      </w:pPr>
    </w:p>
    <w:tbl>
      <w:tblPr>
        <w:tblLayout w:type="fixed"/>
        <w:tblInd w:w="10" w:type="dxa"/>
        <w:tblCellMar>
          <w:top w:w="0" w:type="dxa"/>
          <w:left w:w="0" w:type="dxa"/>
          <w:bottom w:w="0" w:type="dxa"/>
          <w:right w:w="0" w:type="dxa"/>
        </w:tblCellMar>
      </w:tblPr>
      <w:tr>
        <w:trPr>
          <w:trHeight w:val="251"/>
        </w:trPr>
        <w:tc>
          <w:tcPr>
            <w:tcW w:w="3160" w:type="dxa"/>
            <w:vAlign w:val="bottom"/>
            <w:tcBorders>
              <w:top w:val="single" w:sz="8" w:color="4A7EBB"/>
              <w:left w:val="single" w:sz="8" w:color="4A7EBB"/>
            </w:tcBorders>
            <w:shd w:val="clear" w:color="auto" w:fill="DCE6F2"/>
          </w:tcPr>
          <w:p>
            <w:pPr>
              <w:spacing w:after="0"/>
              <w:rPr>
                <w:sz w:val="21"/>
                <w:szCs w:val="21"/>
                <w:color w:val="auto"/>
              </w:rPr>
            </w:pPr>
          </w:p>
        </w:tc>
        <w:tc>
          <w:tcPr>
            <w:tcW w:w="980" w:type="dxa"/>
            <w:vAlign w:val="bottom"/>
            <w:tcBorders>
              <w:top w:val="single" w:sz="8" w:color="4A7EBB"/>
            </w:tcBorders>
            <w:shd w:val="clear" w:color="auto" w:fill="DBE5F1"/>
          </w:tcPr>
          <w:p>
            <w:pPr>
              <w:jc w:val="center"/>
              <w:spacing w:after="0"/>
              <w:rPr>
                <w:sz w:val="20"/>
                <w:szCs w:val="20"/>
                <w:color w:val="auto"/>
              </w:rPr>
            </w:pPr>
            <w:r>
              <w:rPr>
                <w:rFonts w:ascii="Arial" w:cs="Arial" w:eastAsia="Arial" w:hAnsi="Arial"/>
                <w:sz w:val="18"/>
                <w:szCs w:val="18"/>
                <w:b w:val="1"/>
                <w:bCs w:val="1"/>
                <w:color w:val="auto"/>
                <w:w w:val="98"/>
              </w:rPr>
              <w:t>Threshold</w:t>
            </w:r>
          </w:p>
        </w:tc>
        <w:tc>
          <w:tcPr>
            <w:tcW w:w="720" w:type="dxa"/>
            <w:vAlign w:val="bottom"/>
            <w:tcBorders>
              <w:top w:val="single" w:sz="8" w:color="4A7EBB"/>
            </w:tcBorders>
            <w:shd w:val="clear" w:color="auto" w:fill="DBE5F1"/>
          </w:tcPr>
          <w:p>
            <w:pPr>
              <w:jc w:val="center"/>
              <w:spacing w:after="0"/>
              <w:rPr>
                <w:sz w:val="20"/>
                <w:szCs w:val="20"/>
                <w:color w:val="auto"/>
              </w:rPr>
            </w:pPr>
            <w:r>
              <w:rPr>
                <w:rFonts w:ascii="Arial" w:cs="Arial" w:eastAsia="Arial" w:hAnsi="Arial"/>
                <w:sz w:val="18"/>
                <w:szCs w:val="18"/>
                <w:b w:val="1"/>
                <w:bCs w:val="1"/>
                <w:color w:val="auto"/>
                <w:w w:val="94"/>
              </w:rPr>
              <w:t>Target</w:t>
            </w:r>
          </w:p>
        </w:tc>
        <w:tc>
          <w:tcPr>
            <w:tcW w:w="1020" w:type="dxa"/>
            <w:vAlign w:val="bottom"/>
            <w:tcBorders>
              <w:top w:val="single" w:sz="8" w:color="4A7EBB"/>
            </w:tcBorders>
            <w:shd w:val="clear" w:color="auto" w:fill="DBE5F1"/>
          </w:tcPr>
          <w:p>
            <w:pPr>
              <w:jc w:val="center"/>
              <w:spacing w:after="0"/>
              <w:rPr>
                <w:sz w:val="20"/>
                <w:szCs w:val="20"/>
                <w:color w:val="auto"/>
              </w:rPr>
            </w:pPr>
            <w:r>
              <w:rPr>
                <w:rFonts w:ascii="Arial" w:cs="Arial" w:eastAsia="Arial" w:hAnsi="Arial"/>
                <w:sz w:val="18"/>
                <w:szCs w:val="18"/>
                <w:b w:val="1"/>
                <w:bCs w:val="1"/>
                <w:color w:val="auto"/>
              </w:rPr>
              <w:t>Maximum</w:t>
            </w:r>
          </w:p>
        </w:tc>
        <w:tc>
          <w:tcPr>
            <w:tcW w:w="840" w:type="dxa"/>
            <w:vAlign w:val="bottom"/>
            <w:tcBorders>
              <w:top w:val="single" w:sz="8" w:color="4A7EBB"/>
            </w:tcBorders>
            <w:shd w:val="clear" w:color="auto" w:fill="DBE5F1"/>
          </w:tcPr>
          <w:p>
            <w:pPr>
              <w:ind w:left="120"/>
              <w:spacing w:after="0"/>
              <w:rPr>
                <w:sz w:val="20"/>
                <w:szCs w:val="20"/>
                <w:color w:val="auto"/>
              </w:rPr>
            </w:pPr>
            <w:r>
              <w:rPr>
                <w:rFonts w:ascii="Arial" w:cs="Arial" w:eastAsia="Arial" w:hAnsi="Arial"/>
                <w:sz w:val="18"/>
                <w:szCs w:val="18"/>
                <w:b w:val="1"/>
                <w:bCs w:val="1"/>
                <w:color w:val="auto"/>
              </w:rPr>
              <w:t>Actual</w:t>
            </w:r>
          </w:p>
        </w:tc>
        <w:tc>
          <w:tcPr>
            <w:tcW w:w="3200" w:type="dxa"/>
            <w:vAlign w:val="bottom"/>
            <w:tcBorders>
              <w:top w:val="single" w:sz="8" w:color="4A7EBB"/>
            </w:tcBorders>
            <w:shd w:val="clear" w:color="auto" w:fill="DBE5F1"/>
          </w:tcPr>
          <w:p>
            <w:pPr>
              <w:spacing w:after="0"/>
              <w:rPr>
                <w:sz w:val="21"/>
                <w:szCs w:val="21"/>
                <w:color w:val="auto"/>
              </w:rPr>
            </w:pPr>
          </w:p>
        </w:tc>
        <w:tc>
          <w:tcPr>
            <w:tcW w:w="20" w:type="dxa"/>
            <w:vAlign w:val="bottom"/>
          </w:tcPr>
          <w:p>
            <w:pPr>
              <w:spacing w:after="0"/>
              <w:rPr>
                <w:sz w:val="21"/>
                <w:szCs w:val="21"/>
                <w:color w:val="auto"/>
              </w:rPr>
            </w:pPr>
          </w:p>
        </w:tc>
      </w:tr>
      <w:tr>
        <w:trPr>
          <w:trHeight w:val="275"/>
        </w:trPr>
        <w:tc>
          <w:tcPr>
            <w:tcW w:w="3160" w:type="dxa"/>
            <w:vAlign w:val="bottom"/>
            <w:tcBorders>
              <w:left w:val="single" w:sz="8" w:color="4A7EBB"/>
              <w:bottom w:val="single" w:sz="8" w:color="DCE6F2"/>
            </w:tcBorders>
            <w:shd w:val="clear" w:color="auto" w:fill="DCE6F2"/>
          </w:tcPr>
          <w:p>
            <w:pPr>
              <w:ind w:left="140"/>
              <w:spacing w:after="0"/>
              <w:rPr>
                <w:sz w:val="20"/>
                <w:szCs w:val="20"/>
                <w:color w:val="auto"/>
              </w:rPr>
            </w:pPr>
            <w:r>
              <w:rPr>
                <w:rFonts w:ascii="Arial" w:cs="Arial" w:eastAsia="Arial" w:hAnsi="Arial"/>
                <w:sz w:val="18"/>
                <w:szCs w:val="18"/>
                <w:b w:val="1"/>
                <w:bCs w:val="1"/>
                <w:color w:val="auto"/>
              </w:rPr>
              <w:t>Metric</w:t>
            </w:r>
          </w:p>
        </w:tc>
        <w:tc>
          <w:tcPr>
            <w:tcW w:w="980" w:type="dxa"/>
            <w:vAlign w:val="bottom"/>
            <w:tcBorders>
              <w:bottom w:val="single" w:sz="8" w:color="DBE5F1"/>
            </w:tcBorders>
            <w:shd w:val="clear" w:color="auto" w:fill="DBE5F1"/>
          </w:tcPr>
          <w:p>
            <w:pPr>
              <w:jc w:val="center"/>
              <w:spacing w:after="0"/>
              <w:rPr>
                <w:sz w:val="20"/>
                <w:szCs w:val="20"/>
                <w:color w:val="auto"/>
              </w:rPr>
            </w:pPr>
            <w:r>
              <w:rPr>
                <w:rFonts w:ascii="Arial" w:cs="Arial" w:eastAsia="Arial" w:hAnsi="Arial"/>
                <w:sz w:val="18"/>
                <w:szCs w:val="18"/>
                <w:b w:val="1"/>
                <w:bCs w:val="1"/>
                <w:color w:val="auto"/>
                <w:w w:val="99"/>
              </w:rPr>
              <w:t>($mm)</w:t>
            </w:r>
          </w:p>
        </w:tc>
        <w:tc>
          <w:tcPr>
            <w:tcW w:w="720" w:type="dxa"/>
            <w:vAlign w:val="bottom"/>
            <w:tcBorders>
              <w:bottom w:val="single" w:sz="8" w:color="DBE5F1"/>
            </w:tcBorders>
            <w:shd w:val="clear" w:color="auto" w:fill="DBE5F1"/>
          </w:tcPr>
          <w:p>
            <w:pPr>
              <w:jc w:val="center"/>
              <w:spacing w:after="0"/>
              <w:rPr>
                <w:sz w:val="20"/>
                <w:szCs w:val="20"/>
                <w:color w:val="auto"/>
              </w:rPr>
            </w:pPr>
            <w:r>
              <w:rPr>
                <w:rFonts w:ascii="Arial" w:cs="Arial" w:eastAsia="Arial" w:hAnsi="Arial"/>
                <w:sz w:val="18"/>
                <w:szCs w:val="18"/>
                <w:b w:val="1"/>
                <w:bCs w:val="1"/>
                <w:color w:val="auto"/>
                <w:w w:val="99"/>
              </w:rPr>
              <w:t>($mm)</w:t>
            </w:r>
          </w:p>
        </w:tc>
        <w:tc>
          <w:tcPr>
            <w:tcW w:w="1020" w:type="dxa"/>
            <w:vAlign w:val="bottom"/>
            <w:tcBorders>
              <w:bottom w:val="single" w:sz="8" w:color="DBE5F1"/>
            </w:tcBorders>
            <w:shd w:val="clear" w:color="auto" w:fill="DBE5F1"/>
          </w:tcPr>
          <w:p>
            <w:pPr>
              <w:jc w:val="center"/>
              <w:spacing w:after="0"/>
              <w:rPr>
                <w:sz w:val="20"/>
                <w:szCs w:val="20"/>
                <w:color w:val="auto"/>
              </w:rPr>
            </w:pPr>
            <w:r>
              <w:rPr>
                <w:rFonts w:ascii="Arial" w:cs="Arial" w:eastAsia="Arial" w:hAnsi="Arial"/>
                <w:sz w:val="18"/>
                <w:szCs w:val="18"/>
                <w:b w:val="1"/>
                <w:bCs w:val="1"/>
                <w:color w:val="auto"/>
                <w:w w:val="99"/>
              </w:rPr>
              <w:t>($mm)</w:t>
            </w:r>
          </w:p>
        </w:tc>
        <w:tc>
          <w:tcPr>
            <w:tcW w:w="840" w:type="dxa"/>
            <w:vAlign w:val="bottom"/>
            <w:tcBorders>
              <w:bottom w:val="single" w:sz="8" w:color="DBE5F1"/>
            </w:tcBorders>
            <w:shd w:val="clear" w:color="auto" w:fill="DBE5F1"/>
          </w:tcPr>
          <w:p>
            <w:pPr>
              <w:ind w:left="120"/>
              <w:spacing w:after="0"/>
              <w:rPr>
                <w:sz w:val="20"/>
                <w:szCs w:val="20"/>
                <w:color w:val="auto"/>
              </w:rPr>
            </w:pPr>
            <w:r>
              <w:rPr>
                <w:rFonts w:ascii="Arial" w:cs="Arial" w:eastAsia="Arial" w:hAnsi="Arial"/>
                <w:sz w:val="18"/>
                <w:szCs w:val="18"/>
                <w:b w:val="1"/>
                <w:bCs w:val="1"/>
                <w:color w:val="auto"/>
              </w:rPr>
              <w:t>($mm)</w:t>
            </w:r>
          </w:p>
        </w:tc>
        <w:tc>
          <w:tcPr>
            <w:tcW w:w="3200" w:type="dxa"/>
            <w:vAlign w:val="bottom"/>
            <w:tcBorders>
              <w:bottom w:val="single" w:sz="8" w:color="DBE5F1"/>
            </w:tcBorders>
            <w:shd w:val="clear" w:color="auto" w:fill="DBE5F1"/>
          </w:tcPr>
          <w:p>
            <w:pPr>
              <w:jc w:val="center"/>
              <w:spacing w:after="0"/>
              <w:rPr>
                <w:sz w:val="20"/>
                <w:szCs w:val="20"/>
                <w:color w:val="auto"/>
              </w:rPr>
            </w:pPr>
            <w:r>
              <w:rPr>
                <w:rFonts w:ascii="Arial" w:cs="Arial" w:eastAsia="Arial" w:hAnsi="Arial"/>
                <w:sz w:val="18"/>
                <w:szCs w:val="18"/>
                <w:b w:val="1"/>
                <w:bCs w:val="1"/>
                <w:color w:val="auto"/>
                <w:w w:val="98"/>
              </w:rPr>
              <w:t>% Payout</w:t>
            </w:r>
          </w:p>
        </w:tc>
        <w:tc>
          <w:tcPr>
            <w:tcW w:w="20" w:type="dxa"/>
            <w:vAlign w:val="bottom"/>
          </w:tcPr>
          <w:p>
            <w:pPr>
              <w:spacing w:after="0"/>
              <w:rPr>
                <w:sz w:val="23"/>
                <w:szCs w:val="23"/>
                <w:color w:val="auto"/>
              </w:rPr>
            </w:pPr>
          </w:p>
        </w:tc>
      </w:tr>
      <w:tr>
        <w:trPr>
          <w:trHeight w:val="268"/>
        </w:trPr>
        <w:tc>
          <w:tcPr>
            <w:tcW w:w="3160" w:type="dxa"/>
            <w:vAlign w:val="bottom"/>
            <w:tcBorders>
              <w:top w:val="single" w:sz="8" w:color="4A7EBB"/>
              <w:left w:val="single" w:sz="8" w:color="4A7EBB"/>
            </w:tcBorders>
          </w:tcPr>
          <w:p>
            <w:pPr>
              <w:ind w:left="140"/>
              <w:spacing w:after="0"/>
              <w:rPr>
                <w:sz w:val="20"/>
                <w:szCs w:val="20"/>
                <w:color w:val="auto"/>
              </w:rPr>
            </w:pPr>
            <w:r>
              <w:rPr>
                <w:rFonts w:ascii="Arial" w:cs="Arial" w:eastAsia="Arial" w:hAnsi="Arial"/>
                <w:sz w:val="18"/>
                <w:szCs w:val="18"/>
                <w:color w:val="auto"/>
              </w:rPr>
              <w:t>Cumulative Adjusted EBIT (75%)</w:t>
            </w:r>
          </w:p>
        </w:tc>
        <w:tc>
          <w:tcPr>
            <w:tcW w:w="980" w:type="dxa"/>
            <w:vAlign w:val="bottom"/>
            <w:tcBorders>
              <w:top w:val="single" w:sz="8" w:color="4A7EBB"/>
            </w:tcBorders>
          </w:tcPr>
          <w:p>
            <w:pPr>
              <w:jc w:val="center"/>
              <w:spacing w:after="0"/>
              <w:rPr>
                <w:sz w:val="20"/>
                <w:szCs w:val="20"/>
                <w:color w:val="auto"/>
              </w:rPr>
            </w:pPr>
            <w:r>
              <w:rPr>
                <w:rFonts w:ascii="Arial" w:cs="Arial" w:eastAsia="Arial" w:hAnsi="Arial"/>
                <w:sz w:val="18"/>
                <w:szCs w:val="18"/>
                <w:color w:val="auto"/>
                <w:w w:val="99"/>
              </w:rPr>
              <w:t>$438</w:t>
            </w:r>
          </w:p>
        </w:tc>
        <w:tc>
          <w:tcPr>
            <w:tcW w:w="720" w:type="dxa"/>
            <w:vAlign w:val="bottom"/>
            <w:tcBorders>
              <w:top w:val="single" w:sz="8" w:color="4A7EBB"/>
            </w:tcBorders>
          </w:tcPr>
          <w:p>
            <w:pPr>
              <w:jc w:val="center"/>
              <w:spacing w:after="0"/>
              <w:rPr>
                <w:sz w:val="20"/>
                <w:szCs w:val="20"/>
                <w:color w:val="auto"/>
              </w:rPr>
            </w:pPr>
            <w:r>
              <w:rPr>
                <w:rFonts w:ascii="Arial" w:cs="Arial" w:eastAsia="Arial" w:hAnsi="Arial"/>
                <w:sz w:val="18"/>
                <w:szCs w:val="18"/>
                <w:color w:val="auto"/>
                <w:w w:val="99"/>
              </w:rPr>
              <w:t>$573</w:t>
            </w:r>
          </w:p>
        </w:tc>
        <w:tc>
          <w:tcPr>
            <w:tcW w:w="1020" w:type="dxa"/>
            <w:vAlign w:val="bottom"/>
            <w:tcBorders>
              <w:top w:val="single" w:sz="8" w:color="4A7EBB"/>
            </w:tcBorders>
          </w:tcPr>
          <w:p>
            <w:pPr>
              <w:jc w:val="center"/>
              <w:spacing w:after="0"/>
              <w:rPr>
                <w:sz w:val="20"/>
                <w:szCs w:val="20"/>
                <w:color w:val="auto"/>
              </w:rPr>
            </w:pPr>
            <w:r>
              <w:rPr>
                <w:rFonts w:ascii="Arial" w:cs="Arial" w:eastAsia="Arial" w:hAnsi="Arial"/>
                <w:sz w:val="18"/>
                <w:szCs w:val="18"/>
                <w:color w:val="auto"/>
                <w:w w:val="99"/>
              </w:rPr>
              <w:t>$725</w:t>
            </w:r>
          </w:p>
        </w:tc>
        <w:tc>
          <w:tcPr>
            <w:tcW w:w="840" w:type="dxa"/>
            <w:vAlign w:val="bottom"/>
            <w:tcBorders>
              <w:top w:val="single" w:sz="8" w:color="4A7EBB"/>
            </w:tcBorders>
          </w:tcPr>
          <w:p>
            <w:pPr>
              <w:jc w:val="right"/>
              <w:ind w:right="150"/>
              <w:spacing w:after="0"/>
              <w:rPr>
                <w:sz w:val="20"/>
                <w:szCs w:val="20"/>
                <w:color w:val="auto"/>
              </w:rPr>
            </w:pPr>
            <w:r>
              <w:rPr>
                <w:rFonts w:ascii="Arial" w:cs="Arial" w:eastAsia="Arial" w:hAnsi="Arial"/>
                <w:sz w:val="18"/>
                <w:szCs w:val="18"/>
                <w:color w:val="auto"/>
              </w:rPr>
              <w:t>$758</w:t>
            </w:r>
          </w:p>
        </w:tc>
        <w:tc>
          <w:tcPr>
            <w:tcW w:w="3200" w:type="dxa"/>
            <w:vAlign w:val="bottom"/>
            <w:tcBorders>
              <w:top w:val="single" w:sz="8" w:color="4A7EBB"/>
            </w:tcBorders>
          </w:tcPr>
          <w:p>
            <w:pPr>
              <w:jc w:val="center"/>
              <w:spacing w:after="0"/>
              <w:rPr>
                <w:sz w:val="20"/>
                <w:szCs w:val="20"/>
                <w:color w:val="auto"/>
              </w:rPr>
            </w:pPr>
            <w:r>
              <w:rPr>
                <w:rFonts w:ascii="Arial" w:cs="Arial" w:eastAsia="Arial" w:hAnsi="Arial"/>
                <w:sz w:val="18"/>
                <w:szCs w:val="18"/>
                <w:color w:val="auto"/>
                <w:w w:val="99"/>
              </w:rPr>
              <w:t>75% x 150% achievement = 112.5%</w:t>
            </w:r>
          </w:p>
        </w:tc>
        <w:tc>
          <w:tcPr>
            <w:tcW w:w="20" w:type="dxa"/>
            <w:vAlign w:val="bottom"/>
            <w:tcBorders>
              <w:top w:val="single" w:sz="8" w:color="4A7EBB"/>
            </w:tcBorders>
          </w:tcPr>
          <w:p>
            <w:pPr>
              <w:spacing w:after="0"/>
              <w:rPr>
                <w:sz w:val="23"/>
                <w:szCs w:val="23"/>
                <w:color w:val="auto"/>
              </w:rPr>
            </w:pPr>
          </w:p>
        </w:tc>
      </w:tr>
      <w:tr>
        <w:trPr>
          <w:trHeight w:val="36"/>
        </w:trPr>
        <w:tc>
          <w:tcPr>
            <w:tcW w:w="3160" w:type="dxa"/>
            <w:vAlign w:val="bottom"/>
            <w:tcBorders>
              <w:left w:val="single" w:sz="8" w:color="4A7EBB"/>
              <w:bottom w:val="single" w:sz="8" w:color="4A7EBB"/>
            </w:tcBorders>
          </w:tcPr>
          <w:p>
            <w:pPr>
              <w:spacing w:after="0"/>
              <w:rPr>
                <w:sz w:val="3"/>
                <w:szCs w:val="3"/>
                <w:color w:val="auto"/>
              </w:rPr>
            </w:pPr>
          </w:p>
        </w:tc>
        <w:tc>
          <w:tcPr>
            <w:tcW w:w="980" w:type="dxa"/>
            <w:vAlign w:val="bottom"/>
            <w:tcBorders>
              <w:bottom w:val="single" w:sz="8" w:color="4A7EBB"/>
            </w:tcBorders>
          </w:tcPr>
          <w:p>
            <w:pPr>
              <w:spacing w:after="0"/>
              <w:rPr>
                <w:sz w:val="3"/>
                <w:szCs w:val="3"/>
                <w:color w:val="auto"/>
              </w:rPr>
            </w:pPr>
          </w:p>
        </w:tc>
        <w:tc>
          <w:tcPr>
            <w:tcW w:w="720" w:type="dxa"/>
            <w:vAlign w:val="bottom"/>
            <w:tcBorders>
              <w:bottom w:val="single" w:sz="8" w:color="4A7EBB"/>
            </w:tcBorders>
          </w:tcPr>
          <w:p>
            <w:pPr>
              <w:spacing w:after="0"/>
              <w:rPr>
                <w:sz w:val="3"/>
                <w:szCs w:val="3"/>
                <w:color w:val="auto"/>
              </w:rPr>
            </w:pPr>
          </w:p>
        </w:tc>
        <w:tc>
          <w:tcPr>
            <w:tcW w:w="1020" w:type="dxa"/>
            <w:vAlign w:val="bottom"/>
            <w:tcBorders>
              <w:bottom w:val="single" w:sz="8" w:color="4A7EBB"/>
            </w:tcBorders>
          </w:tcPr>
          <w:p>
            <w:pPr>
              <w:spacing w:after="0"/>
              <w:rPr>
                <w:sz w:val="3"/>
                <w:szCs w:val="3"/>
                <w:color w:val="auto"/>
              </w:rPr>
            </w:pPr>
          </w:p>
        </w:tc>
        <w:tc>
          <w:tcPr>
            <w:tcW w:w="840" w:type="dxa"/>
            <w:vAlign w:val="bottom"/>
            <w:tcBorders>
              <w:bottom w:val="single" w:sz="8" w:color="4A7EBB"/>
            </w:tcBorders>
          </w:tcPr>
          <w:p>
            <w:pPr>
              <w:spacing w:after="0"/>
              <w:rPr>
                <w:sz w:val="3"/>
                <w:szCs w:val="3"/>
                <w:color w:val="auto"/>
              </w:rPr>
            </w:pPr>
          </w:p>
        </w:tc>
        <w:tc>
          <w:tcPr>
            <w:tcW w:w="3200" w:type="dxa"/>
            <w:vAlign w:val="bottom"/>
            <w:tcBorders>
              <w:bottom w:val="single" w:sz="8" w:color="4A7EBB"/>
            </w:tcBorders>
          </w:tcPr>
          <w:p>
            <w:pPr>
              <w:spacing w:after="0"/>
              <w:rPr>
                <w:sz w:val="3"/>
                <w:szCs w:val="3"/>
                <w:color w:val="auto"/>
              </w:rPr>
            </w:pPr>
          </w:p>
        </w:tc>
        <w:tc>
          <w:tcPr>
            <w:tcW w:w="20" w:type="dxa"/>
            <w:vAlign w:val="bottom"/>
            <w:tcBorders>
              <w:bottom w:val="single" w:sz="8" w:color="4A7EBB"/>
            </w:tcBorders>
          </w:tcPr>
          <w:p>
            <w:pPr>
              <w:spacing w:after="0"/>
              <w:rPr>
                <w:sz w:val="3"/>
                <w:szCs w:val="3"/>
                <w:color w:val="auto"/>
              </w:rPr>
            </w:pPr>
          </w:p>
        </w:tc>
      </w:tr>
      <w:tr>
        <w:trPr>
          <w:trHeight w:val="304"/>
        </w:trPr>
        <w:tc>
          <w:tcPr>
            <w:tcW w:w="3160" w:type="dxa"/>
            <w:vAlign w:val="bottom"/>
            <w:tcBorders>
              <w:left w:val="single" w:sz="8" w:color="4A7EBB"/>
              <w:bottom w:val="single" w:sz="8" w:color="F2F2F2"/>
            </w:tcBorders>
            <w:shd w:val="clear" w:color="auto" w:fill="F2F2F2"/>
          </w:tcPr>
          <w:p>
            <w:pPr>
              <w:ind w:left="140"/>
              <w:spacing w:after="0"/>
              <w:rPr>
                <w:sz w:val="20"/>
                <w:szCs w:val="20"/>
                <w:color w:val="auto"/>
              </w:rPr>
            </w:pPr>
            <w:r>
              <w:rPr>
                <w:rFonts w:ascii="Arial" w:cs="Arial" w:eastAsia="Arial" w:hAnsi="Arial"/>
                <w:sz w:val="18"/>
                <w:szCs w:val="18"/>
                <w:color w:val="auto"/>
              </w:rPr>
              <w:t>ROIC (25%)</w:t>
            </w:r>
          </w:p>
        </w:tc>
        <w:tc>
          <w:tcPr>
            <w:tcW w:w="9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8"/>
                <w:szCs w:val="18"/>
                <w:color w:val="auto"/>
              </w:rPr>
              <w:t>5.8%</w:t>
            </w:r>
          </w:p>
        </w:tc>
        <w:tc>
          <w:tcPr>
            <w:tcW w:w="7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8"/>
                <w:szCs w:val="18"/>
                <w:color w:val="auto"/>
              </w:rPr>
              <w:t>7.1%</w:t>
            </w:r>
          </w:p>
        </w:tc>
        <w:tc>
          <w:tcPr>
            <w:tcW w:w="10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8"/>
                <w:szCs w:val="18"/>
                <w:color w:val="auto"/>
                <w:w w:val="97"/>
              </w:rPr>
              <w:t>8.5%</w:t>
            </w:r>
          </w:p>
        </w:tc>
        <w:tc>
          <w:tcPr>
            <w:tcW w:w="840" w:type="dxa"/>
            <w:vAlign w:val="bottom"/>
            <w:tcBorders>
              <w:bottom w:val="single" w:sz="8" w:color="F2F2F2"/>
            </w:tcBorders>
            <w:shd w:val="clear" w:color="auto" w:fill="F2F2F2"/>
          </w:tcPr>
          <w:p>
            <w:pPr>
              <w:jc w:val="right"/>
              <w:ind w:right="110"/>
              <w:spacing w:after="0"/>
              <w:rPr>
                <w:sz w:val="20"/>
                <w:szCs w:val="20"/>
                <w:color w:val="auto"/>
              </w:rPr>
            </w:pPr>
            <w:r>
              <w:rPr>
                <w:rFonts w:ascii="Arial" w:cs="Arial" w:eastAsia="Arial" w:hAnsi="Arial"/>
                <w:sz w:val="18"/>
                <w:szCs w:val="18"/>
                <w:color w:val="auto"/>
              </w:rPr>
              <w:t>11.9%</w:t>
            </w:r>
          </w:p>
        </w:tc>
        <w:tc>
          <w:tcPr>
            <w:tcW w:w="32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8"/>
                <w:szCs w:val="18"/>
                <w:color w:val="auto"/>
              </w:rPr>
              <w:t>25% x 150% achievement = 37.5%</w:t>
            </w:r>
          </w:p>
        </w:tc>
        <w:tc>
          <w:tcPr>
            <w:tcW w:w="20" w:type="dxa"/>
            <w:vAlign w:val="bottom"/>
          </w:tcPr>
          <w:p>
            <w:pPr>
              <w:spacing w:after="0"/>
              <w:rPr>
                <w:sz w:val="24"/>
                <w:szCs w:val="24"/>
                <w:color w:val="auto"/>
              </w:rPr>
            </w:pPr>
          </w:p>
        </w:tc>
      </w:tr>
      <w:tr>
        <w:trPr>
          <w:trHeight w:val="268"/>
        </w:trPr>
        <w:tc>
          <w:tcPr>
            <w:tcW w:w="3160" w:type="dxa"/>
            <w:vAlign w:val="bottom"/>
            <w:tcBorders>
              <w:top w:val="single" w:sz="8" w:color="4A7EBB"/>
              <w:left w:val="single" w:sz="8" w:color="4A7EBB"/>
            </w:tcBorders>
          </w:tcPr>
          <w:p>
            <w:pPr>
              <w:ind w:left="140"/>
              <w:spacing w:after="0"/>
              <w:rPr>
                <w:sz w:val="20"/>
                <w:szCs w:val="20"/>
                <w:color w:val="auto"/>
              </w:rPr>
            </w:pPr>
            <w:r>
              <w:rPr>
                <w:rFonts w:ascii="Arial" w:cs="Arial" w:eastAsia="Arial" w:hAnsi="Arial"/>
                <w:sz w:val="18"/>
                <w:szCs w:val="18"/>
                <w:color w:val="auto"/>
              </w:rPr>
              <w:t>Total % Payout</w:t>
            </w:r>
          </w:p>
        </w:tc>
        <w:tc>
          <w:tcPr>
            <w:tcW w:w="980" w:type="dxa"/>
            <w:vAlign w:val="bottom"/>
            <w:tcBorders>
              <w:top w:val="single" w:sz="8" w:color="4A7EBB"/>
            </w:tcBorders>
          </w:tcPr>
          <w:p>
            <w:pPr>
              <w:spacing w:after="0"/>
              <w:rPr>
                <w:sz w:val="23"/>
                <w:szCs w:val="23"/>
                <w:color w:val="auto"/>
              </w:rPr>
            </w:pPr>
          </w:p>
        </w:tc>
        <w:tc>
          <w:tcPr>
            <w:tcW w:w="720" w:type="dxa"/>
            <w:vAlign w:val="bottom"/>
            <w:tcBorders>
              <w:top w:val="single" w:sz="8" w:color="4A7EBB"/>
            </w:tcBorders>
          </w:tcPr>
          <w:p>
            <w:pPr>
              <w:spacing w:after="0"/>
              <w:rPr>
                <w:sz w:val="23"/>
                <w:szCs w:val="23"/>
                <w:color w:val="auto"/>
              </w:rPr>
            </w:pPr>
          </w:p>
        </w:tc>
        <w:tc>
          <w:tcPr>
            <w:tcW w:w="1020" w:type="dxa"/>
            <w:vAlign w:val="bottom"/>
            <w:tcBorders>
              <w:top w:val="single" w:sz="8" w:color="4A7EBB"/>
            </w:tcBorders>
          </w:tcPr>
          <w:p>
            <w:pPr>
              <w:spacing w:after="0"/>
              <w:rPr>
                <w:sz w:val="23"/>
                <w:szCs w:val="23"/>
                <w:color w:val="auto"/>
              </w:rPr>
            </w:pPr>
          </w:p>
        </w:tc>
        <w:tc>
          <w:tcPr>
            <w:tcW w:w="840" w:type="dxa"/>
            <w:vAlign w:val="bottom"/>
            <w:tcBorders>
              <w:top w:val="single" w:sz="8" w:color="4A7EBB"/>
            </w:tcBorders>
          </w:tcPr>
          <w:p>
            <w:pPr>
              <w:spacing w:after="0"/>
              <w:rPr>
                <w:sz w:val="23"/>
                <w:szCs w:val="23"/>
                <w:color w:val="auto"/>
              </w:rPr>
            </w:pPr>
          </w:p>
        </w:tc>
        <w:tc>
          <w:tcPr>
            <w:tcW w:w="3200" w:type="dxa"/>
            <w:vAlign w:val="bottom"/>
            <w:tcBorders>
              <w:top w:val="single" w:sz="8" w:color="4A7EBB"/>
            </w:tcBorders>
          </w:tcPr>
          <w:p>
            <w:pPr>
              <w:jc w:val="center"/>
              <w:spacing w:after="0"/>
              <w:rPr>
                <w:sz w:val="20"/>
                <w:szCs w:val="20"/>
                <w:color w:val="auto"/>
              </w:rPr>
            </w:pPr>
            <w:r>
              <w:rPr>
                <w:rFonts w:ascii="Arial" w:cs="Arial" w:eastAsia="Arial" w:hAnsi="Arial"/>
                <w:sz w:val="18"/>
                <w:szCs w:val="18"/>
                <w:color w:val="auto"/>
                <w:w w:val="99"/>
              </w:rPr>
              <w:t>112.5% + 37.5% = 150% Payout</w:t>
            </w:r>
          </w:p>
        </w:tc>
        <w:tc>
          <w:tcPr>
            <w:tcW w:w="20" w:type="dxa"/>
            <w:vAlign w:val="bottom"/>
            <w:tcBorders>
              <w:top w:val="single" w:sz="8" w:color="4A7EBB"/>
            </w:tcBorders>
          </w:tcPr>
          <w:p>
            <w:pPr>
              <w:spacing w:after="0"/>
              <w:rPr>
                <w:sz w:val="23"/>
                <w:szCs w:val="23"/>
                <w:color w:val="auto"/>
              </w:rPr>
            </w:pPr>
          </w:p>
        </w:tc>
      </w:tr>
      <w:tr>
        <w:trPr>
          <w:trHeight w:val="36"/>
        </w:trPr>
        <w:tc>
          <w:tcPr>
            <w:tcW w:w="3160" w:type="dxa"/>
            <w:vAlign w:val="bottom"/>
            <w:tcBorders>
              <w:left w:val="single" w:sz="8" w:color="4A7EBB"/>
              <w:bottom w:val="single" w:sz="8" w:color="4A7EBB"/>
            </w:tcBorders>
          </w:tcPr>
          <w:p>
            <w:pPr>
              <w:spacing w:after="0"/>
              <w:rPr>
                <w:sz w:val="3"/>
                <w:szCs w:val="3"/>
                <w:color w:val="auto"/>
              </w:rPr>
            </w:pPr>
          </w:p>
        </w:tc>
        <w:tc>
          <w:tcPr>
            <w:tcW w:w="980" w:type="dxa"/>
            <w:vAlign w:val="bottom"/>
            <w:tcBorders>
              <w:bottom w:val="single" w:sz="8" w:color="4A7EBB"/>
            </w:tcBorders>
          </w:tcPr>
          <w:p>
            <w:pPr>
              <w:spacing w:after="0"/>
              <w:rPr>
                <w:sz w:val="3"/>
                <w:szCs w:val="3"/>
                <w:color w:val="auto"/>
              </w:rPr>
            </w:pPr>
          </w:p>
        </w:tc>
        <w:tc>
          <w:tcPr>
            <w:tcW w:w="720" w:type="dxa"/>
            <w:vAlign w:val="bottom"/>
            <w:tcBorders>
              <w:bottom w:val="single" w:sz="8" w:color="4A7EBB"/>
            </w:tcBorders>
          </w:tcPr>
          <w:p>
            <w:pPr>
              <w:spacing w:after="0"/>
              <w:rPr>
                <w:sz w:val="3"/>
                <w:szCs w:val="3"/>
                <w:color w:val="auto"/>
              </w:rPr>
            </w:pPr>
          </w:p>
        </w:tc>
        <w:tc>
          <w:tcPr>
            <w:tcW w:w="1020" w:type="dxa"/>
            <w:vAlign w:val="bottom"/>
            <w:tcBorders>
              <w:bottom w:val="single" w:sz="8" w:color="4A7EBB"/>
            </w:tcBorders>
          </w:tcPr>
          <w:p>
            <w:pPr>
              <w:spacing w:after="0"/>
              <w:rPr>
                <w:sz w:val="3"/>
                <w:szCs w:val="3"/>
                <w:color w:val="auto"/>
              </w:rPr>
            </w:pPr>
          </w:p>
        </w:tc>
        <w:tc>
          <w:tcPr>
            <w:tcW w:w="840" w:type="dxa"/>
            <w:vAlign w:val="bottom"/>
            <w:tcBorders>
              <w:bottom w:val="single" w:sz="8" w:color="4A7EBB"/>
            </w:tcBorders>
          </w:tcPr>
          <w:p>
            <w:pPr>
              <w:spacing w:after="0"/>
              <w:rPr>
                <w:sz w:val="3"/>
                <w:szCs w:val="3"/>
                <w:color w:val="auto"/>
              </w:rPr>
            </w:pPr>
          </w:p>
        </w:tc>
        <w:tc>
          <w:tcPr>
            <w:tcW w:w="3200" w:type="dxa"/>
            <w:vAlign w:val="bottom"/>
            <w:tcBorders>
              <w:bottom w:val="single" w:sz="8" w:color="4A7EBB"/>
            </w:tcBorders>
          </w:tcPr>
          <w:p>
            <w:pPr>
              <w:spacing w:after="0"/>
              <w:rPr>
                <w:sz w:val="3"/>
                <w:szCs w:val="3"/>
                <w:color w:val="auto"/>
              </w:rPr>
            </w:pPr>
          </w:p>
        </w:tc>
        <w:tc>
          <w:tcPr>
            <w:tcW w:w="20" w:type="dxa"/>
            <w:vAlign w:val="bottom"/>
            <w:tcBorders>
              <w:bottom w:val="single" w:sz="8" w:color="4A7EBB"/>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1060450</wp:posOffset>
            </wp:positionH>
            <wp:positionV relativeFrom="paragraph">
              <wp:posOffset>-624840</wp:posOffset>
            </wp:positionV>
            <wp:extent cx="5246370" cy="248602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246370" cy="2486025"/>
                    </a:xfrm>
                    <a:prstGeom prst="rect">
                      <a:avLst/>
                    </a:prstGeom>
                    <a:noFill/>
                  </pic:spPr>
                </pic:pic>
              </a:graphicData>
            </a:graphic>
          </wp:anchor>
        </w:drawing>
      </w:r>
    </w:p>
    <w:p>
      <w:pPr>
        <w:sectPr>
          <w:pgSz w:w="11900" w:h="16838" w:orient="portrait"/>
          <w:cols w:equalWidth="0" w:num="1">
            <w:col w:w="9940"/>
          </w:cols>
          <w:pgMar w:left="980" w:top="513" w:right="979" w:bottom="1440" w:gutter="0" w:footer="0" w:header="0"/>
        </w:sectPr>
      </w:pPr>
    </w:p>
    <w:p>
      <w:pPr>
        <w:spacing w:after="0" w:line="200" w:lineRule="exact"/>
        <w:rPr>
          <w:sz w:val="20"/>
          <w:szCs w:val="20"/>
          <w:color w:val="auto"/>
        </w:rPr>
      </w:pPr>
    </w:p>
    <w:p>
      <w:pPr>
        <w:spacing w:after="0" w:line="202" w:lineRule="exact"/>
        <w:rPr>
          <w:sz w:val="20"/>
          <w:szCs w:val="20"/>
          <w:color w:val="auto"/>
        </w:rPr>
      </w:pPr>
    </w:p>
    <w:tbl>
      <w:tblPr>
        <w:tblLayout w:type="fixed"/>
        <w:tblInd w:w="1802" w:type="dxa"/>
        <w:tblCellMar>
          <w:top w:w="0" w:type="dxa"/>
          <w:left w:w="0" w:type="dxa"/>
          <w:bottom w:w="0" w:type="dxa"/>
          <w:right w:w="0" w:type="dxa"/>
        </w:tblCellMar>
      </w:tblPr>
      <w:tr>
        <w:trPr>
          <w:trHeight w:val="2400"/>
        </w:trPr>
        <w:tc>
          <w:tcPr>
            <w:tcW w:w="207" w:type="dxa"/>
            <w:vAlign w:val="bottom"/>
            <w:textDirection w:val="btLr"/>
          </w:tcPr>
          <w:p>
            <w:pPr>
              <w:spacing w:after="0"/>
              <w:rPr>
                <w:sz w:val="20"/>
                <w:szCs w:val="20"/>
                <w:color w:val="auto"/>
              </w:rPr>
            </w:pPr>
            <w:r>
              <w:rPr>
                <w:rFonts w:ascii="Arial" w:cs="Arial" w:eastAsia="Arial" w:hAnsi="Arial"/>
                <w:sz w:val="18"/>
                <w:szCs w:val="18"/>
                <w:b w:val="1"/>
                <w:bCs w:val="1"/>
                <w:color w:val="auto"/>
              </w:rPr>
              <w:t>CoreLong-TermIncentives</w:t>
            </w:r>
          </w:p>
        </w:tc>
      </w:tr>
    </w:tbl>
    <w:p>
      <w:pPr>
        <w:spacing w:after="0" w:line="26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RETENTION GRANTS</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51"/>
        </w:trPr>
        <w:tc>
          <w:tcPr>
            <w:tcW w:w="1760" w:type="dxa"/>
            <w:vAlign w:val="bottom"/>
            <w:tcBorders>
              <w:left w:val="single" w:sz="8" w:color="auto"/>
            </w:tcBorders>
            <w:shd w:val="clear" w:color="auto" w:fill="DCE6F2"/>
          </w:tcPr>
          <w:p>
            <w:pPr>
              <w:spacing w:after="0"/>
              <w:rPr>
                <w:sz w:val="21"/>
                <w:szCs w:val="21"/>
                <w:color w:val="auto"/>
              </w:rPr>
            </w:pPr>
          </w:p>
        </w:tc>
        <w:tc>
          <w:tcPr>
            <w:tcW w:w="1460" w:type="dxa"/>
            <w:vAlign w:val="bottom"/>
            <w:shd w:val="clear" w:color="auto" w:fill="DBE5F1"/>
          </w:tcPr>
          <w:p>
            <w:pPr>
              <w:jc w:val="center"/>
              <w:spacing w:after="0"/>
              <w:rPr>
                <w:sz w:val="20"/>
                <w:szCs w:val="20"/>
                <w:color w:val="auto"/>
              </w:rPr>
            </w:pPr>
            <w:r>
              <w:rPr>
                <w:rFonts w:ascii="Arial" w:cs="Arial" w:eastAsia="Arial" w:hAnsi="Arial"/>
                <w:sz w:val="18"/>
                <w:szCs w:val="18"/>
                <w:b w:val="1"/>
                <w:bCs w:val="1"/>
                <w:color w:val="auto"/>
                <w:w w:val="99"/>
              </w:rPr>
              <w:t>Fiscal 2024</w:t>
            </w:r>
          </w:p>
        </w:tc>
        <w:tc>
          <w:tcPr>
            <w:tcW w:w="1320" w:type="dxa"/>
            <w:vAlign w:val="bottom"/>
            <w:shd w:val="clear" w:color="auto" w:fill="DBE5F1"/>
          </w:tcPr>
          <w:p>
            <w:pPr>
              <w:spacing w:after="0"/>
              <w:rPr>
                <w:sz w:val="21"/>
                <w:szCs w:val="21"/>
                <w:color w:val="auto"/>
              </w:rPr>
            </w:pPr>
          </w:p>
        </w:tc>
        <w:tc>
          <w:tcPr>
            <w:tcW w:w="1000" w:type="dxa"/>
            <w:vAlign w:val="bottom"/>
            <w:shd w:val="clear" w:color="auto" w:fill="DBE5F1"/>
          </w:tcPr>
          <w:p>
            <w:pPr>
              <w:spacing w:after="0"/>
              <w:rPr>
                <w:sz w:val="21"/>
                <w:szCs w:val="21"/>
                <w:color w:val="auto"/>
              </w:rPr>
            </w:pPr>
          </w:p>
        </w:tc>
      </w:tr>
      <w:tr>
        <w:trPr>
          <w:trHeight w:val="203"/>
        </w:trPr>
        <w:tc>
          <w:tcPr>
            <w:tcW w:w="1760" w:type="dxa"/>
            <w:vAlign w:val="bottom"/>
            <w:tcBorders>
              <w:left w:val="single" w:sz="8" w:color="auto"/>
            </w:tcBorders>
            <w:shd w:val="clear" w:color="auto" w:fill="DCE6F2"/>
          </w:tcPr>
          <w:p>
            <w:pPr>
              <w:spacing w:after="0"/>
              <w:rPr>
                <w:sz w:val="17"/>
                <w:szCs w:val="17"/>
                <w:color w:val="auto"/>
              </w:rPr>
            </w:pPr>
          </w:p>
        </w:tc>
        <w:tc>
          <w:tcPr>
            <w:tcW w:w="1460" w:type="dxa"/>
            <w:vAlign w:val="bottom"/>
            <w:shd w:val="clear" w:color="auto" w:fill="DBE5F1"/>
          </w:tcPr>
          <w:p>
            <w:pPr>
              <w:jc w:val="center"/>
              <w:spacing w:after="0" w:line="202" w:lineRule="exact"/>
              <w:rPr>
                <w:sz w:val="20"/>
                <w:szCs w:val="20"/>
                <w:color w:val="auto"/>
              </w:rPr>
            </w:pPr>
            <w:r>
              <w:rPr>
                <w:rFonts w:ascii="Arial" w:cs="Arial" w:eastAsia="Arial" w:hAnsi="Arial"/>
                <w:sz w:val="18"/>
                <w:szCs w:val="18"/>
                <w:b w:val="1"/>
                <w:bCs w:val="1"/>
                <w:color w:val="auto"/>
                <w:w w:val="98"/>
              </w:rPr>
              <w:t>Award</w:t>
            </w:r>
          </w:p>
        </w:tc>
        <w:tc>
          <w:tcPr>
            <w:tcW w:w="1320" w:type="dxa"/>
            <w:vAlign w:val="bottom"/>
            <w:shd w:val="clear" w:color="auto" w:fill="DBE5F1"/>
          </w:tcPr>
          <w:p>
            <w:pPr>
              <w:spacing w:after="0"/>
              <w:rPr>
                <w:sz w:val="17"/>
                <w:szCs w:val="17"/>
                <w:color w:val="auto"/>
              </w:rPr>
            </w:pPr>
          </w:p>
        </w:tc>
        <w:tc>
          <w:tcPr>
            <w:tcW w:w="1000" w:type="dxa"/>
            <w:vAlign w:val="bottom"/>
            <w:shd w:val="clear" w:color="auto" w:fill="DBE5F1"/>
          </w:tcPr>
          <w:p>
            <w:pPr>
              <w:spacing w:after="0"/>
              <w:rPr>
                <w:sz w:val="17"/>
                <w:szCs w:val="17"/>
                <w:color w:val="auto"/>
              </w:rPr>
            </w:pPr>
          </w:p>
        </w:tc>
      </w:tr>
      <w:tr>
        <w:trPr>
          <w:trHeight w:val="203"/>
        </w:trPr>
        <w:tc>
          <w:tcPr>
            <w:tcW w:w="1760" w:type="dxa"/>
            <w:vAlign w:val="bottom"/>
            <w:tcBorders>
              <w:left w:val="single" w:sz="8" w:color="auto"/>
            </w:tcBorders>
            <w:shd w:val="clear" w:color="auto" w:fill="DCE6F2"/>
          </w:tcPr>
          <w:p>
            <w:pPr>
              <w:spacing w:after="0"/>
              <w:rPr>
                <w:sz w:val="17"/>
                <w:szCs w:val="17"/>
                <w:color w:val="auto"/>
              </w:rPr>
            </w:pPr>
          </w:p>
        </w:tc>
        <w:tc>
          <w:tcPr>
            <w:tcW w:w="1460" w:type="dxa"/>
            <w:vAlign w:val="bottom"/>
            <w:shd w:val="clear" w:color="auto" w:fill="DBE5F1"/>
          </w:tcPr>
          <w:p>
            <w:pPr>
              <w:jc w:val="center"/>
              <w:spacing w:after="0" w:line="202" w:lineRule="exact"/>
              <w:rPr>
                <w:sz w:val="20"/>
                <w:szCs w:val="20"/>
                <w:color w:val="auto"/>
              </w:rPr>
            </w:pPr>
            <w:r>
              <w:rPr>
                <w:rFonts w:ascii="Arial" w:cs="Arial" w:eastAsia="Arial" w:hAnsi="Arial"/>
                <w:sz w:val="18"/>
                <w:szCs w:val="18"/>
                <w:b w:val="1"/>
                <w:bCs w:val="1"/>
                <w:color w:val="auto"/>
                <w:w w:val="99"/>
              </w:rPr>
              <w:t>Grant Date Fair</w:t>
            </w:r>
          </w:p>
        </w:tc>
        <w:tc>
          <w:tcPr>
            <w:tcW w:w="1320" w:type="dxa"/>
            <w:vAlign w:val="bottom"/>
            <w:shd w:val="clear" w:color="auto" w:fill="DBE5F1"/>
          </w:tcPr>
          <w:p>
            <w:pPr>
              <w:spacing w:after="0"/>
              <w:rPr>
                <w:sz w:val="17"/>
                <w:szCs w:val="17"/>
                <w:color w:val="auto"/>
              </w:rPr>
            </w:pPr>
          </w:p>
        </w:tc>
        <w:tc>
          <w:tcPr>
            <w:tcW w:w="1000" w:type="dxa"/>
            <w:vAlign w:val="bottom"/>
            <w:shd w:val="clear" w:color="auto" w:fill="DBE5F1"/>
          </w:tcPr>
          <w:p>
            <w:pPr>
              <w:spacing w:after="0"/>
              <w:rPr>
                <w:sz w:val="17"/>
                <w:szCs w:val="17"/>
                <w:color w:val="auto"/>
              </w:rPr>
            </w:pPr>
          </w:p>
        </w:tc>
      </w:tr>
      <w:tr>
        <w:trPr>
          <w:trHeight w:val="203"/>
        </w:trPr>
        <w:tc>
          <w:tcPr>
            <w:tcW w:w="1760" w:type="dxa"/>
            <w:vAlign w:val="bottom"/>
            <w:tcBorders>
              <w:left w:val="single" w:sz="8" w:color="auto"/>
            </w:tcBorders>
            <w:shd w:val="clear" w:color="auto" w:fill="DCE6F2"/>
          </w:tcPr>
          <w:p>
            <w:pPr>
              <w:spacing w:after="0"/>
              <w:rPr>
                <w:sz w:val="17"/>
                <w:szCs w:val="17"/>
                <w:color w:val="auto"/>
              </w:rPr>
            </w:pPr>
          </w:p>
        </w:tc>
        <w:tc>
          <w:tcPr>
            <w:tcW w:w="1460" w:type="dxa"/>
            <w:vAlign w:val="bottom"/>
            <w:shd w:val="clear" w:color="auto" w:fill="DBE5F1"/>
          </w:tcPr>
          <w:p>
            <w:pPr>
              <w:jc w:val="center"/>
              <w:spacing w:after="0" w:line="202" w:lineRule="exact"/>
              <w:rPr>
                <w:sz w:val="20"/>
                <w:szCs w:val="20"/>
                <w:color w:val="auto"/>
              </w:rPr>
            </w:pPr>
            <w:r>
              <w:rPr>
                <w:rFonts w:ascii="Arial" w:cs="Arial" w:eastAsia="Arial" w:hAnsi="Arial"/>
                <w:sz w:val="18"/>
                <w:szCs w:val="18"/>
                <w:b w:val="1"/>
                <w:bCs w:val="1"/>
                <w:color w:val="auto"/>
                <w:w w:val="95"/>
              </w:rPr>
              <w:t>Value</w:t>
            </w:r>
          </w:p>
        </w:tc>
        <w:tc>
          <w:tcPr>
            <w:tcW w:w="1320" w:type="dxa"/>
            <w:vAlign w:val="bottom"/>
            <w:shd w:val="clear" w:color="auto" w:fill="DBE5F1"/>
          </w:tcPr>
          <w:p>
            <w:pPr>
              <w:spacing w:after="0"/>
              <w:rPr>
                <w:sz w:val="17"/>
                <w:szCs w:val="17"/>
                <w:color w:val="auto"/>
              </w:rPr>
            </w:pPr>
          </w:p>
        </w:tc>
        <w:tc>
          <w:tcPr>
            <w:tcW w:w="1000" w:type="dxa"/>
            <w:vAlign w:val="bottom"/>
            <w:shd w:val="clear" w:color="auto" w:fill="DBE5F1"/>
          </w:tcPr>
          <w:p>
            <w:pPr>
              <w:spacing w:after="0"/>
              <w:rPr>
                <w:sz w:val="17"/>
                <w:szCs w:val="17"/>
                <w:color w:val="auto"/>
              </w:rPr>
            </w:pPr>
          </w:p>
        </w:tc>
      </w:tr>
      <w:tr>
        <w:trPr>
          <w:trHeight w:val="203"/>
        </w:trPr>
        <w:tc>
          <w:tcPr>
            <w:tcW w:w="1760" w:type="dxa"/>
            <w:vAlign w:val="bottom"/>
            <w:tcBorders>
              <w:left w:val="single" w:sz="8" w:color="auto"/>
            </w:tcBorders>
            <w:shd w:val="clear" w:color="auto" w:fill="DCE6F2"/>
          </w:tcPr>
          <w:p>
            <w:pPr>
              <w:spacing w:after="0"/>
              <w:rPr>
                <w:sz w:val="17"/>
                <w:szCs w:val="17"/>
                <w:color w:val="auto"/>
              </w:rPr>
            </w:pPr>
          </w:p>
        </w:tc>
        <w:tc>
          <w:tcPr>
            <w:tcW w:w="1460" w:type="dxa"/>
            <w:vAlign w:val="bottom"/>
            <w:shd w:val="clear" w:color="auto" w:fill="DBE5F1"/>
          </w:tcPr>
          <w:p>
            <w:pPr>
              <w:jc w:val="center"/>
              <w:spacing w:after="0" w:line="202" w:lineRule="exact"/>
              <w:rPr>
                <w:sz w:val="20"/>
                <w:szCs w:val="20"/>
                <w:color w:val="auto"/>
              </w:rPr>
            </w:pPr>
            <w:r>
              <w:rPr>
                <w:rFonts w:ascii="Arial" w:cs="Arial" w:eastAsia="Arial" w:hAnsi="Arial"/>
                <w:sz w:val="18"/>
                <w:szCs w:val="18"/>
                <w:b w:val="1"/>
                <w:bCs w:val="1"/>
                <w:color w:val="auto"/>
                <w:w w:val="99"/>
              </w:rPr>
              <w:t>(in thousands</w:t>
            </w:r>
          </w:p>
        </w:tc>
        <w:tc>
          <w:tcPr>
            <w:tcW w:w="1320" w:type="dxa"/>
            <w:vAlign w:val="bottom"/>
            <w:shd w:val="clear" w:color="auto" w:fill="DBE5F1"/>
          </w:tcPr>
          <w:p>
            <w:pPr>
              <w:jc w:val="center"/>
              <w:spacing w:after="0" w:line="202" w:lineRule="exact"/>
              <w:rPr>
                <w:sz w:val="20"/>
                <w:szCs w:val="20"/>
                <w:color w:val="auto"/>
              </w:rPr>
            </w:pPr>
            <w:r>
              <w:rPr>
                <w:rFonts w:ascii="Arial" w:cs="Arial" w:eastAsia="Arial" w:hAnsi="Arial"/>
                <w:sz w:val="18"/>
                <w:szCs w:val="18"/>
                <w:b w:val="1"/>
                <w:bCs w:val="1"/>
                <w:color w:val="auto"/>
                <w:w w:val="98"/>
              </w:rPr>
              <w:t>Target PSUs</w:t>
            </w:r>
          </w:p>
        </w:tc>
        <w:tc>
          <w:tcPr>
            <w:tcW w:w="1000" w:type="dxa"/>
            <w:vAlign w:val="bottom"/>
            <w:shd w:val="clear" w:color="auto" w:fill="DBE5F1"/>
          </w:tcPr>
          <w:p>
            <w:pPr>
              <w:jc w:val="center"/>
              <w:spacing w:after="0" w:line="202" w:lineRule="exact"/>
              <w:rPr>
                <w:sz w:val="20"/>
                <w:szCs w:val="20"/>
                <w:color w:val="auto"/>
              </w:rPr>
            </w:pPr>
            <w:r>
              <w:rPr>
                <w:rFonts w:ascii="Arial" w:cs="Arial" w:eastAsia="Arial" w:hAnsi="Arial"/>
                <w:sz w:val="18"/>
                <w:szCs w:val="18"/>
                <w:b w:val="1"/>
                <w:bCs w:val="1"/>
                <w:color w:val="auto"/>
              </w:rPr>
              <w:t>PSUs</w:t>
            </w:r>
          </w:p>
        </w:tc>
      </w:tr>
      <w:tr>
        <w:trPr>
          <w:trHeight w:val="280"/>
        </w:trPr>
        <w:tc>
          <w:tcPr>
            <w:tcW w:w="1760" w:type="dxa"/>
            <w:vAlign w:val="bottom"/>
            <w:tcBorders>
              <w:left w:val="single" w:sz="8" w:color="auto"/>
              <w:bottom w:val="single" w:sz="8" w:color="DCE6F2"/>
            </w:tcBorders>
            <w:shd w:val="clear" w:color="auto" w:fill="DCE6F2"/>
          </w:tcPr>
          <w:p>
            <w:pPr>
              <w:ind w:left="460"/>
              <w:spacing w:after="0"/>
              <w:rPr>
                <w:sz w:val="20"/>
                <w:szCs w:val="20"/>
                <w:color w:val="auto"/>
              </w:rPr>
            </w:pPr>
            <w:r>
              <w:rPr>
                <w:rFonts w:ascii="Arial" w:cs="Arial" w:eastAsia="Arial" w:hAnsi="Arial"/>
                <w:sz w:val="18"/>
                <w:szCs w:val="18"/>
                <w:b w:val="1"/>
                <w:bCs w:val="1"/>
                <w:color w:val="auto"/>
              </w:rPr>
              <w:t>Executive</w:t>
            </w:r>
          </w:p>
        </w:tc>
        <w:tc>
          <w:tcPr>
            <w:tcW w:w="1460" w:type="dxa"/>
            <w:vAlign w:val="bottom"/>
            <w:tcBorders>
              <w:bottom w:val="single" w:sz="8" w:color="DBE5F1"/>
            </w:tcBorders>
            <w:shd w:val="clear" w:color="auto" w:fill="DBE5F1"/>
          </w:tcPr>
          <w:p>
            <w:pPr>
              <w:jc w:val="center"/>
              <w:spacing w:after="0"/>
              <w:rPr>
                <w:sz w:val="20"/>
                <w:szCs w:val="20"/>
                <w:color w:val="auto"/>
              </w:rPr>
            </w:pPr>
            <w:r>
              <w:rPr>
                <w:rFonts w:ascii="Arial" w:cs="Arial" w:eastAsia="Arial" w:hAnsi="Arial"/>
                <w:sz w:val="18"/>
                <w:szCs w:val="18"/>
                <w:b w:val="1"/>
                <w:bCs w:val="1"/>
                <w:color w:val="auto"/>
              </w:rPr>
              <w:t>with rounding)</w:t>
            </w:r>
          </w:p>
        </w:tc>
        <w:tc>
          <w:tcPr>
            <w:tcW w:w="1320" w:type="dxa"/>
            <w:vAlign w:val="bottom"/>
            <w:tcBorders>
              <w:bottom w:val="single" w:sz="8" w:color="DBE5F1"/>
            </w:tcBorders>
            <w:shd w:val="clear" w:color="auto" w:fill="DBE5F1"/>
          </w:tcPr>
          <w:p>
            <w:pPr>
              <w:jc w:val="center"/>
              <w:spacing w:after="0"/>
              <w:rPr>
                <w:sz w:val="20"/>
                <w:szCs w:val="20"/>
                <w:color w:val="auto"/>
              </w:rPr>
            </w:pPr>
            <w:r>
              <w:rPr>
                <w:rFonts w:ascii="Arial" w:cs="Arial" w:eastAsia="Arial" w:hAnsi="Arial"/>
                <w:sz w:val="18"/>
                <w:szCs w:val="18"/>
                <w:b w:val="1"/>
                <w:bCs w:val="1"/>
                <w:color w:val="auto"/>
                <w:w w:val="99"/>
              </w:rPr>
              <w:t>Awarded</w:t>
            </w:r>
          </w:p>
        </w:tc>
        <w:tc>
          <w:tcPr>
            <w:tcW w:w="1000" w:type="dxa"/>
            <w:vAlign w:val="bottom"/>
            <w:tcBorders>
              <w:bottom w:val="single" w:sz="8" w:color="DBE5F1"/>
            </w:tcBorders>
            <w:shd w:val="clear" w:color="auto" w:fill="DBE5F1"/>
          </w:tcPr>
          <w:p>
            <w:pPr>
              <w:jc w:val="center"/>
              <w:spacing w:after="0"/>
              <w:rPr>
                <w:sz w:val="20"/>
                <w:szCs w:val="20"/>
                <w:color w:val="auto"/>
              </w:rPr>
            </w:pPr>
            <w:r>
              <w:rPr>
                <w:rFonts w:ascii="Arial" w:cs="Arial" w:eastAsia="Arial" w:hAnsi="Arial"/>
                <w:sz w:val="18"/>
                <w:szCs w:val="18"/>
                <w:b w:val="1"/>
                <w:bCs w:val="1"/>
                <w:color w:val="auto"/>
                <w:w w:val="98"/>
              </w:rPr>
              <w:t>Earned</w:t>
            </w:r>
          </w:p>
        </w:tc>
      </w:tr>
      <w:tr>
        <w:trPr>
          <w:trHeight w:val="275"/>
        </w:trPr>
        <w:tc>
          <w:tcPr>
            <w:tcW w:w="1760" w:type="dxa"/>
            <w:vAlign w:val="bottom"/>
            <w:tcBorders>
              <w:top w:val="single" w:sz="8" w:color="4A7EBB"/>
              <w:left w:val="single" w:sz="8" w:color="auto"/>
            </w:tcBorders>
          </w:tcPr>
          <w:p>
            <w:pPr>
              <w:ind w:left="140"/>
              <w:spacing w:after="0"/>
              <w:rPr>
                <w:sz w:val="20"/>
                <w:szCs w:val="20"/>
                <w:color w:val="auto"/>
              </w:rPr>
            </w:pPr>
            <w:r>
              <w:rPr>
                <w:rFonts w:ascii="Arial" w:cs="Arial" w:eastAsia="Arial" w:hAnsi="Arial"/>
                <w:sz w:val="18"/>
                <w:szCs w:val="18"/>
                <w:b w:val="1"/>
                <w:bCs w:val="1"/>
                <w:color w:val="auto"/>
              </w:rPr>
              <w:t>Morris Goldfarb</w:t>
            </w:r>
          </w:p>
        </w:tc>
        <w:tc>
          <w:tcPr>
            <w:tcW w:w="1460" w:type="dxa"/>
            <w:vAlign w:val="bottom"/>
            <w:tcBorders>
              <w:top w:val="single" w:sz="8" w:color="4A7EBB"/>
            </w:tcBorders>
          </w:tcPr>
          <w:p>
            <w:pPr>
              <w:jc w:val="center"/>
              <w:spacing w:after="0"/>
              <w:rPr>
                <w:sz w:val="20"/>
                <w:szCs w:val="20"/>
                <w:color w:val="auto"/>
              </w:rPr>
            </w:pPr>
            <w:r>
              <w:rPr>
                <w:rFonts w:ascii="Arial" w:cs="Arial" w:eastAsia="Arial" w:hAnsi="Arial"/>
                <w:sz w:val="18"/>
                <w:szCs w:val="18"/>
                <w:color w:val="auto"/>
              </w:rPr>
              <w:t>$4,050</w:t>
            </w:r>
          </w:p>
        </w:tc>
        <w:tc>
          <w:tcPr>
            <w:tcW w:w="1320" w:type="dxa"/>
            <w:vAlign w:val="bottom"/>
            <w:tcBorders>
              <w:top w:val="single" w:sz="8" w:color="4A7EBB"/>
            </w:tcBorders>
          </w:tcPr>
          <w:p>
            <w:pPr>
              <w:jc w:val="center"/>
              <w:spacing w:after="0"/>
              <w:rPr>
                <w:sz w:val="20"/>
                <w:szCs w:val="20"/>
                <w:color w:val="auto"/>
              </w:rPr>
            </w:pPr>
            <w:r>
              <w:rPr>
                <w:rFonts w:ascii="Arial" w:cs="Arial" w:eastAsia="Arial" w:hAnsi="Arial"/>
                <w:sz w:val="18"/>
                <w:szCs w:val="18"/>
                <w:color w:val="auto"/>
                <w:w w:val="98"/>
              </w:rPr>
              <w:t>156,270</w:t>
            </w:r>
          </w:p>
        </w:tc>
        <w:tc>
          <w:tcPr>
            <w:tcW w:w="1000" w:type="dxa"/>
            <w:vAlign w:val="bottom"/>
            <w:tcBorders>
              <w:top w:val="single" w:sz="8" w:color="4A7EBB"/>
            </w:tcBorders>
          </w:tcPr>
          <w:p>
            <w:pPr>
              <w:jc w:val="center"/>
              <w:spacing w:after="0"/>
              <w:rPr>
                <w:sz w:val="20"/>
                <w:szCs w:val="20"/>
                <w:color w:val="auto"/>
              </w:rPr>
            </w:pPr>
            <w:r>
              <w:rPr>
                <w:rFonts w:ascii="Arial" w:cs="Arial" w:eastAsia="Arial" w:hAnsi="Arial"/>
                <w:sz w:val="18"/>
                <w:szCs w:val="18"/>
                <w:color w:val="auto"/>
              </w:rPr>
              <w:t>234,405</w:t>
            </w:r>
          </w:p>
        </w:tc>
      </w:tr>
      <w:tr>
        <w:trPr>
          <w:trHeight w:val="29"/>
        </w:trPr>
        <w:tc>
          <w:tcPr>
            <w:tcW w:w="1760" w:type="dxa"/>
            <w:vAlign w:val="bottom"/>
            <w:tcBorders>
              <w:left w:val="single" w:sz="8" w:color="auto"/>
              <w:bottom w:val="single" w:sz="8" w:color="4A7EBB"/>
            </w:tcBorders>
          </w:tcPr>
          <w:p>
            <w:pPr>
              <w:spacing w:after="0"/>
              <w:rPr>
                <w:sz w:val="2"/>
                <w:szCs w:val="2"/>
                <w:color w:val="auto"/>
              </w:rPr>
            </w:pPr>
          </w:p>
        </w:tc>
        <w:tc>
          <w:tcPr>
            <w:tcW w:w="1460" w:type="dxa"/>
            <w:vAlign w:val="bottom"/>
            <w:tcBorders>
              <w:bottom w:val="single" w:sz="8" w:color="4A7EBB"/>
            </w:tcBorders>
          </w:tcPr>
          <w:p>
            <w:pPr>
              <w:spacing w:after="0"/>
              <w:rPr>
                <w:sz w:val="2"/>
                <w:szCs w:val="2"/>
                <w:color w:val="auto"/>
              </w:rPr>
            </w:pPr>
          </w:p>
        </w:tc>
        <w:tc>
          <w:tcPr>
            <w:tcW w:w="1320" w:type="dxa"/>
            <w:vAlign w:val="bottom"/>
            <w:tcBorders>
              <w:bottom w:val="single" w:sz="8" w:color="4A7EBB"/>
            </w:tcBorders>
          </w:tcPr>
          <w:p>
            <w:pPr>
              <w:spacing w:after="0"/>
              <w:rPr>
                <w:sz w:val="2"/>
                <w:szCs w:val="2"/>
                <w:color w:val="auto"/>
              </w:rPr>
            </w:pPr>
          </w:p>
        </w:tc>
        <w:tc>
          <w:tcPr>
            <w:tcW w:w="1000" w:type="dxa"/>
            <w:vAlign w:val="bottom"/>
            <w:tcBorders>
              <w:bottom w:val="single" w:sz="8" w:color="4A7EBB"/>
            </w:tcBorders>
          </w:tcPr>
          <w:p>
            <w:pPr>
              <w:spacing w:after="0"/>
              <w:rPr>
                <w:sz w:val="2"/>
                <w:szCs w:val="2"/>
                <w:color w:val="auto"/>
              </w:rPr>
            </w:pPr>
          </w:p>
        </w:tc>
      </w:tr>
      <w:tr>
        <w:trPr>
          <w:trHeight w:val="309"/>
        </w:trPr>
        <w:tc>
          <w:tcPr>
            <w:tcW w:w="1760" w:type="dxa"/>
            <w:vAlign w:val="bottom"/>
            <w:tcBorders>
              <w:left w:val="single" w:sz="8" w:color="auto"/>
              <w:bottom w:val="single" w:sz="8" w:color="F2F2F2"/>
            </w:tcBorders>
            <w:shd w:val="clear" w:color="auto" w:fill="F2F2F2"/>
          </w:tcPr>
          <w:p>
            <w:pPr>
              <w:ind w:left="140"/>
              <w:spacing w:after="0"/>
              <w:rPr>
                <w:sz w:val="20"/>
                <w:szCs w:val="20"/>
                <w:color w:val="auto"/>
              </w:rPr>
            </w:pPr>
            <w:r>
              <w:rPr>
                <w:rFonts w:ascii="Arial" w:cs="Arial" w:eastAsia="Arial" w:hAnsi="Arial"/>
                <w:sz w:val="18"/>
                <w:szCs w:val="18"/>
                <w:b w:val="1"/>
                <w:bCs w:val="1"/>
                <w:color w:val="auto"/>
              </w:rPr>
              <w:t>Sammy Aaron</w:t>
            </w:r>
          </w:p>
        </w:tc>
        <w:tc>
          <w:tcPr>
            <w:tcW w:w="14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8"/>
                <w:szCs w:val="18"/>
                <w:color w:val="auto"/>
              </w:rPr>
              <w:t>$2,700</w:t>
            </w:r>
          </w:p>
        </w:tc>
        <w:tc>
          <w:tcPr>
            <w:tcW w:w="13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8"/>
                <w:szCs w:val="18"/>
                <w:color w:val="auto"/>
              </w:rPr>
              <w:t>86,816</w:t>
            </w:r>
          </w:p>
        </w:tc>
        <w:tc>
          <w:tcPr>
            <w:tcW w:w="10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8"/>
                <w:szCs w:val="18"/>
                <w:color w:val="auto"/>
              </w:rPr>
              <w:t>130,224</w:t>
            </w:r>
          </w:p>
        </w:tc>
      </w:tr>
      <w:tr>
        <w:trPr>
          <w:trHeight w:val="275"/>
        </w:trPr>
        <w:tc>
          <w:tcPr>
            <w:tcW w:w="1760" w:type="dxa"/>
            <w:vAlign w:val="bottom"/>
            <w:tcBorders>
              <w:top w:val="single" w:sz="8" w:color="4A7EBB"/>
              <w:left w:val="single" w:sz="8" w:color="auto"/>
            </w:tcBorders>
          </w:tcPr>
          <w:p>
            <w:pPr>
              <w:ind w:left="140"/>
              <w:spacing w:after="0"/>
              <w:rPr>
                <w:sz w:val="20"/>
                <w:szCs w:val="20"/>
                <w:color w:val="auto"/>
              </w:rPr>
            </w:pPr>
            <w:r>
              <w:rPr>
                <w:rFonts w:ascii="Arial" w:cs="Arial" w:eastAsia="Arial" w:hAnsi="Arial"/>
                <w:sz w:val="18"/>
                <w:szCs w:val="18"/>
                <w:b w:val="1"/>
                <w:bCs w:val="1"/>
                <w:color w:val="auto"/>
              </w:rPr>
              <w:t>Jeffrey Goldfarb</w:t>
            </w:r>
          </w:p>
        </w:tc>
        <w:tc>
          <w:tcPr>
            <w:tcW w:w="1460" w:type="dxa"/>
            <w:vAlign w:val="bottom"/>
            <w:tcBorders>
              <w:top w:val="single" w:sz="8" w:color="4A7EBB"/>
            </w:tcBorders>
          </w:tcPr>
          <w:p>
            <w:pPr>
              <w:jc w:val="center"/>
              <w:spacing w:after="0"/>
              <w:rPr>
                <w:sz w:val="20"/>
                <w:szCs w:val="20"/>
                <w:color w:val="auto"/>
              </w:rPr>
            </w:pPr>
            <w:r>
              <w:rPr>
                <w:rFonts w:ascii="Arial" w:cs="Arial" w:eastAsia="Arial" w:hAnsi="Arial"/>
                <w:sz w:val="18"/>
                <w:szCs w:val="18"/>
                <w:color w:val="auto"/>
              </w:rPr>
              <w:t>$1,350</w:t>
            </w:r>
          </w:p>
        </w:tc>
        <w:tc>
          <w:tcPr>
            <w:tcW w:w="1320" w:type="dxa"/>
            <w:vAlign w:val="bottom"/>
            <w:tcBorders>
              <w:top w:val="single" w:sz="8" w:color="4A7EBB"/>
            </w:tcBorders>
          </w:tcPr>
          <w:p>
            <w:pPr>
              <w:jc w:val="center"/>
              <w:spacing w:after="0"/>
              <w:rPr>
                <w:sz w:val="20"/>
                <w:szCs w:val="20"/>
                <w:color w:val="auto"/>
              </w:rPr>
            </w:pPr>
            <w:r>
              <w:rPr>
                <w:rFonts w:ascii="Arial" w:cs="Arial" w:eastAsia="Arial" w:hAnsi="Arial"/>
                <w:sz w:val="18"/>
                <w:szCs w:val="18"/>
                <w:color w:val="auto"/>
              </w:rPr>
              <w:t>43,408</w:t>
            </w:r>
          </w:p>
        </w:tc>
        <w:tc>
          <w:tcPr>
            <w:tcW w:w="1000" w:type="dxa"/>
            <w:vAlign w:val="bottom"/>
            <w:tcBorders>
              <w:top w:val="single" w:sz="8" w:color="4A7EBB"/>
            </w:tcBorders>
          </w:tcPr>
          <w:p>
            <w:pPr>
              <w:jc w:val="center"/>
              <w:spacing w:after="0"/>
              <w:rPr>
                <w:sz w:val="20"/>
                <w:szCs w:val="20"/>
                <w:color w:val="auto"/>
              </w:rPr>
            </w:pPr>
            <w:r>
              <w:rPr>
                <w:rFonts w:ascii="Arial" w:cs="Arial" w:eastAsia="Arial" w:hAnsi="Arial"/>
                <w:sz w:val="18"/>
                <w:szCs w:val="18"/>
                <w:color w:val="auto"/>
                <w:w w:val="98"/>
              </w:rPr>
              <w:t>65,112</w:t>
            </w:r>
          </w:p>
        </w:tc>
      </w:tr>
      <w:tr>
        <w:trPr>
          <w:trHeight w:val="29"/>
        </w:trPr>
        <w:tc>
          <w:tcPr>
            <w:tcW w:w="1760" w:type="dxa"/>
            <w:vAlign w:val="bottom"/>
            <w:tcBorders>
              <w:left w:val="single" w:sz="8" w:color="auto"/>
              <w:bottom w:val="single" w:sz="8" w:color="4A7EBB"/>
            </w:tcBorders>
          </w:tcPr>
          <w:p>
            <w:pPr>
              <w:spacing w:after="0"/>
              <w:rPr>
                <w:sz w:val="2"/>
                <w:szCs w:val="2"/>
                <w:color w:val="auto"/>
              </w:rPr>
            </w:pPr>
          </w:p>
        </w:tc>
        <w:tc>
          <w:tcPr>
            <w:tcW w:w="1460" w:type="dxa"/>
            <w:vAlign w:val="bottom"/>
            <w:tcBorders>
              <w:bottom w:val="single" w:sz="8" w:color="4A7EBB"/>
            </w:tcBorders>
          </w:tcPr>
          <w:p>
            <w:pPr>
              <w:spacing w:after="0"/>
              <w:rPr>
                <w:sz w:val="2"/>
                <w:szCs w:val="2"/>
                <w:color w:val="auto"/>
              </w:rPr>
            </w:pPr>
          </w:p>
        </w:tc>
        <w:tc>
          <w:tcPr>
            <w:tcW w:w="1320" w:type="dxa"/>
            <w:vAlign w:val="bottom"/>
            <w:tcBorders>
              <w:bottom w:val="single" w:sz="8" w:color="4A7EBB"/>
            </w:tcBorders>
          </w:tcPr>
          <w:p>
            <w:pPr>
              <w:spacing w:after="0"/>
              <w:rPr>
                <w:sz w:val="2"/>
                <w:szCs w:val="2"/>
                <w:color w:val="auto"/>
              </w:rPr>
            </w:pPr>
          </w:p>
        </w:tc>
        <w:tc>
          <w:tcPr>
            <w:tcW w:w="1000" w:type="dxa"/>
            <w:vAlign w:val="bottom"/>
            <w:tcBorders>
              <w:bottom w:val="single" w:sz="8" w:color="4A7EBB"/>
            </w:tcBorders>
          </w:tcPr>
          <w:p>
            <w:pPr>
              <w:spacing w:after="0"/>
              <w:rPr>
                <w:sz w:val="2"/>
                <w:szCs w:val="2"/>
                <w:color w:val="auto"/>
              </w:rPr>
            </w:pPr>
          </w:p>
        </w:tc>
      </w:tr>
      <w:tr>
        <w:trPr>
          <w:trHeight w:val="284"/>
        </w:trPr>
        <w:tc>
          <w:tcPr>
            <w:tcW w:w="1760" w:type="dxa"/>
            <w:vAlign w:val="bottom"/>
            <w:tcBorders>
              <w:left w:val="single" w:sz="8" w:color="auto"/>
              <w:bottom w:val="single" w:sz="8" w:color="F2F2F2"/>
            </w:tcBorders>
            <w:shd w:val="clear" w:color="auto" w:fill="F2F2F2"/>
          </w:tcPr>
          <w:p>
            <w:pPr>
              <w:ind w:left="140"/>
              <w:spacing w:after="0"/>
              <w:rPr>
                <w:sz w:val="20"/>
                <w:szCs w:val="20"/>
                <w:color w:val="auto"/>
              </w:rPr>
            </w:pPr>
            <w:r>
              <w:rPr>
                <w:rFonts w:ascii="Arial" w:cs="Arial" w:eastAsia="Arial" w:hAnsi="Arial"/>
                <w:sz w:val="18"/>
                <w:szCs w:val="18"/>
                <w:b w:val="1"/>
                <w:bCs w:val="1"/>
                <w:color w:val="auto"/>
              </w:rPr>
              <w:t>Neal Nackman</w:t>
            </w:r>
          </w:p>
        </w:tc>
        <w:tc>
          <w:tcPr>
            <w:tcW w:w="14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8"/>
                <w:szCs w:val="18"/>
                <w:color w:val="auto"/>
                <w:w w:val="99"/>
              </w:rPr>
              <w:t>$450</w:t>
            </w:r>
          </w:p>
        </w:tc>
        <w:tc>
          <w:tcPr>
            <w:tcW w:w="13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8"/>
                <w:szCs w:val="18"/>
                <w:color w:val="auto"/>
              </w:rPr>
              <w:t>14,469</w:t>
            </w:r>
          </w:p>
        </w:tc>
        <w:tc>
          <w:tcPr>
            <w:tcW w:w="10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8"/>
                <w:szCs w:val="18"/>
                <w:color w:val="auto"/>
                <w:w w:val="98"/>
              </w:rPr>
              <w:t>21,704</w:t>
            </w:r>
          </w:p>
        </w:tc>
      </w:tr>
      <w:tr>
        <w:trPr>
          <w:trHeight w:val="20"/>
        </w:trPr>
        <w:tc>
          <w:tcPr>
            <w:tcW w:w="1760" w:type="dxa"/>
            <w:vAlign w:val="bottom"/>
            <w:tcBorders>
              <w:left w:val="single" w:sz="8" w:color="auto"/>
            </w:tcBorders>
            <w:shd w:val="clear" w:color="auto" w:fill="4A7EBB"/>
          </w:tcPr>
          <w:p>
            <w:pPr>
              <w:spacing w:after="0" w:line="20" w:lineRule="exact"/>
              <w:rPr>
                <w:sz w:val="1"/>
                <w:szCs w:val="1"/>
                <w:color w:val="auto"/>
              </w:rPr>
            </w:pPr>
          </w:p>
        </w:tc>
        <w:tc>
          <w:tcPr>
            <w:tcW w:w="1460" w:type="dxa"/>
            <w:vAlign w:val="bottom"/>
            <w:shd w:val="clear" w:color="auto" w:fill="4A7EBB"/>
          </w:tcPr>
          <w:p>
            <w:pPr>
              <w:spacing w:after="0" w:line="20" w:lineRule="exact"/>
              <w:rPr>
                <w:sz w:val="1"/>
                <w:szCs w:val="1"/>
                <w:color w:val="auto"/>
              </w:rPr>
            </w:pPr>
          </w:p>
        </w:tc>
        <w:tc>
          <w:tcPr>
            <w:tcW w:w="1320" w:type="dxa"/>
            <w:vAlign w:val="bottom"/>
            <w:shd w:val="clear" w:color="auto" w:fill="4A7EBB"/>
          </w:tcPr>
          <w:p>
            <w:pPr>
              <w:spacing w:after="0" w:line="20" w:lineRule="exact"/>
              <w:rPr>
                <w:sz w:val="1"/>
                <w:szCs w:val="1"/>
                <w:color w:val="auto"/>
              </w:rPr>
            </w:pPr>
          </w:p>
        </w:tc>
        <w:tc>
          <w:tcPr>
            <w:tcW w:w="1000" w:type="dxa"/>
            <w:vAlign w:val="bottom"/>
            <w:shd w:val="clear" w:color="auto" w:fill="4A7EBB"/>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-830580</wp:posOffset>
            </wp:positionV>
            <wp:extent cx="8255" cy="8312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255" cy="831215"/>
                    </a:xfrm>
                    <a:prstGeom prst="rect">
                      <a:avLst/>
                    </a:prstGeom>
                    <a:noFill/>
                  </pic:spPr>
                </pic:pic>
              </a:graphicData>
            </a:graphic>
          </wp:anchor>
        </w:drawing>
      </w:r>
    </w:p>
    <w:p>
      <w:pPr>
        <w:spacing w:after="0" w:line="575" w:lineRule="exact"/>
        <w:rPr>
          <w:sz w:val="20"/>
          <w:szCs w:val="20"/>
          <w:color w:val="auto"/>
        </w:rPr>
      </w:pPr>
    </w:p>
    <w:p>
      <w:pPr>
        <w:sectPr>
          <w:pgSz w:w="11900" w:h="16838" w:orient="portrait"/>
          <w:cols w:equalWidth="0" w:num="2">
            <w:col w:w="2220" w:space="520"/>
            <w:col w:w="7200"/>
          </w:cols>
          <w:pgMar w:left="980" w:top="513" w:right="979" w:bottom="1440" w:gutter="0" w:footer="0" w:header="0"/>
          <w:type w:val="continuous"/>
        </w:sectPr>
      </w:pPr>
    </w:p>
    <w:p>
      <w:pPr>
        <w:jc w:val="both"/>
        <w:ind w:right="20"/>
        <w:spacing w:after="0" w:line="247" w:lineRule="auto"/>
        <w:rPr>
          <w:sz w:val="20"/>
          <w:szCs w:val="20"/>
          <w:color w:val="auto"/>
        </w:rPr>
      </w:pPr>
      <w:r>
        <w:rPr>
          <w:rFonts w:ascii="Arial" w:cs="Arial" w:eastAsia="Arial" w:hAnsi="Arial"/>
          <w:sz w:val="18"/>
          <w:szCs w:val="18"/>
          <w:color w:val="auto"/>
        </w:rPr>
        <w:t>The Board of Directors discusses succession planning at every meeting. The continued retention of the next generation of senior leadership is one of the Board’s highest priorities, given the challenges created by the long-term loss of the licenses for Calvin Klein and Tommy Hilfiger products and the transformation of our long-term strategy required for the Company to address the effects of the long-term loss of these licenses.</w:t>
      </w:r>
    </w:p>
    <w:p>
      <w:pPr>
        <w:spacing w:after="0" w:line="133"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The Committee also recognized that many companies that G-III competes with for talent are privately owned and rely on cash compensation, rather than the mix of cash and stock typically seen in public companies. This means that cash compensation levels are often higher at these private companies.</w:t>
      </w:r>
    </w:p>
    <w:p>
      <w:pPr>
        <w:spacing w:after="0" w:line="169"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The Committee considered various alternative designs for these grants, including the incorporation of performance-based criteria. However, given the Company’s transformation of its long-term strategy, the Committee determined that establishing appropriate performance targets would be challenging. In addition, because the CEO, Vice Chairman and CFO are not participants in these grants, the recipients do not have full control over the execution of the Company’s strategy. The impact of private company compensation practices, especially higher cash compensation, also influenced the Committee’s considerations. Taking these factors into account and the need to retain these executives, the Committee concluded that a long-term, cliff-vesting structure (five years) represents the most appropriate design for these awards.</w:t>
      </w:r>
    </w:p>
    <w:p>
      <w:pPr>
        <w:spacing w:after="0" w:line="144" w:lineRule="exact"/>
        <w:rPr>
          <w:sz w:val="20"/>
          <w:szCs w:val="20"/>
          <w:color w:val="auto"/>
        </w:rPr>
      </w:pPr>
    </w:p>
    <w:p>
      <w:pPr>
        <w:jc w:val="both"/>
        <w:ind w:right="20"/>
        <w:spacing w:after="0" w:line="244" w:lineRule="auto"/>
        <w:rPr>
          <w:sz w:val="20"/>
          <w:szCs w:val="20"/>
          <w:color w:val="auto"/>
        </w:rPr>
      </w:pPr>
      <w:r>
        <w:rPr>
          <w:rFonts w:ascii="Arial" w:cs="Arial" w:eastAsia="Arial" w:hAnsi="Arial"/>
          <w:sz w:val="18"/>
          <w:szCs w:val="18"/>
          <w:color w:val="auto"/>
        </w:rPr>
        <w:t>Accordingly, the Compensation Committee approved targeted retention grants of RSUs with 5-year cliff vesting to Jeffrey Goldfarb and Dana Perlman as well as to other senior executives. The grant date fair value of retention grants to Jeffrey Goldfarb was $5.0 million and Dana Perlman was awarded $2.0 million. Both Jeffrey Goldfarb and Dana Perlman also received annual grants of PSUs with vesting contingent on 3-year cumulative financial performance and as such, the Committee believes that their compensation packages contain a strong performance linkage.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278130</wp:posOffset>
            </wp:positionV>
            <wp:extent cx="629221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288925</wp:posOffset>
            </wp:positionH>
            <wp:positionV relativeFrom="paragraph">
              <wp:posOffset>338455</wp:posOffset>
            </wp:positionV>
            <wp:extent cx="265430" cy="1454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65430" cy="14541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20"/>
          <w:szCs w:val="20"/>
          <w:b w:val="1"/>
          <w:bCs w:val="1"/>
          <w:color w:val="4A7EBB"/>
        </w:rPr>
        <w:t xml:space="preserve">34 </w:t>
      </w:r>
      <w:r>
        <w:rPr>
          <w:rFonts w:ascii="Arial" w:cs="Arial" w:eastAsia="Arial" w:hAnsi="Arial"/>
          <w:sz w:val="20"/>
          <w:szCs w:val="20"/>
          <w:color w:val="80808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54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40"/>
          </w:cols>
          <w:pgMar w:left="980" w:top="513" w:right="97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17780</wp:posOffset>
            </wp:positionV>
            <wp:extent cx="629221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1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Morris Goldfarb, Sammy Aaron and Neal Nackman did not receive these retention grants since the retention grants were entirely focused on the succession of our next generation of leadership who will continue to drive the performance of our business. The Compensation Committee does not regularly make retention grants but will when these grants are judged to be in the best interests of stockholders.</w:t>
      </w:r>
    </w:p>
    <w:p>
      <w:pPr>
        <w:spacing w:after="0" w:line="1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TIMING OF EQUITY AWARDS</w:t>
      </w:r>
    </w:p>
    <w:p>
      <w:pPr>
        <w:spacing w:after="0" w:line="18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do not coordinate annual equity awards to our Named Executive Officers with the release of material non-public information. The Compensation Committee generally makes equity grants to existing employees on an annual basis at a regularly scheduled Compensation Committee meeting held each year in late March or early April after financial results for the prior year are final. Equity grants to new hires or for promotions are generally made as of the date of hire or promotion or the first business day of the month following the date of hire or promotion. The Compensation Committee retains the discretion to make grants at other times.</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COMPENSATION ELEMENTS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4A7EBB"/>
        </w:rPr>
        <w:t>BENEFITS</w:t>
      </w:r>
    </w:p>
    <w:p>
      <w:pPr>
        <w:spacing w:after="0" w:line="17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Our executives are eligible to participate in company benefit plans generally available to all of our employees, which include health, dental, life insurance, vision and disability plans. We also sponsor a voluntary 401(k) Employee Retirement Savings Plan that provides for a matching contribution equal to 100% of the first 3% of the participant’s contributed pay plus 50% of the next 2% of the participant’s contributed pay. We make an annual contribution of $100,000 to Morris Goldfarb’s nonqualified deferred compensation account pursuant to his employment agreement that is designed to provide retirement benefits that exceed the limits on qualified plans imposed by the IRS, subject to certain requirements.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4A7EBB"/>
        </w:rPr>
        <w:t>PERQUISITES</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Consistent with our philosophy of attracting and retaining key executives, we offer perquisites to our NEOs, which we believe are consistent in type and amount with those paid by our competitors. We also provide a supplemental life insurance policy to Morris Goldfarb.</w:t>
      </w:r>
    </w:p>
    <w:p>
      <w:pPr>
        <w:spacing w:after="0" w:line="188" w:lineRule="exact"/>
        <w:rPr>
          <w:sz w:val="20"/>
          <w:szCs w:val="20"/>
          <w:color w:val="auto"/>
        </w:rPr>
      </w:pPr>
    </w:p>
    <w:p>
      <w:pPr>
        <w:jc w:val="both"/>
        <w:ind w:firstLine="1"/>
        <w:spacing w:after="0" w:line="264" w:lineRule="auto"/>
        <w:rPr>
          <w:sz w:val="20"/>
          <w:szCs w:val="20"/>
          <w:color w:val="auto"/>
        </w:rPr>
      </w:pPr>
      <w:r>
        <w:rPr>
          <w:sz w:val="1"/>
          <w:szCs w:val="1"/>
          <w:color w:val="auto"/>
        </w:rPr>
        <w:drawing>
          <wp:inline distT="0" distB="0" distL="0" distR="0">
            <wp:extent cx="205740" cy="205740"/>
            <wp:effectExtent l="0" t="0" r="0" b="0"/>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05740" cy="205740"/>
                    </a:xfrm>
                    <a:prstGeom prst="rect">
                      <a:avLst/>
                    </a:prstGeom>
                    <a:noFill/>
                    <a:ln>
                      <a:noFill/>
                    </a:ln>
                  </pic:spPr>
                </pic:pic>
              </a:graphicData>
            </a:graphic>
          </wp:inline>
        </w:drawing>
      </w:r>
      <w:r>
        <w:rPr>
          <w:rFonts w:ascii="Arial" w:cs="Arial" w:eastAsia="Arial" w:hAnsi="Arial"/>
          <w:sz w:val="18"/>
          <w:szCs w:val="18"/>
          <w:color w:val="auto"/>
        </w:rPr>
        <w:t xml:space="preserve"> For additional information regarding perquisites paid to our executive officers, please see footnote 2 to the Fiscal 2026 Summary Compensation Table below.</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EMPLOYMENT AGREEMENTS</w:t>
      </w:r>
    </w:p>
    <w:p>
      <w:pPr>
        <w:spacing w:after="0" w:line="17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have entered into employment agreements with each of Morris Goldfarb, Sammy Aaron, Jeffrey Goldfarb and Dana Perlman, and executive transition agreements with each of Neal Nackman and Jeffrey Goldfarb, which agreements require us to make payments and provide benefits to them in the event of a termination of employment in connection with a change in control or under certain other circumstances.</w:t>
      </w:r>
    </w:p>
    <w:p>
      <w:pPr>
        <w:spacing w:after="0" w:line="17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apparel business is highly competitive, and we use employment and executive transition agreements to retain our executive officers and achieve our objectives for management continuity. Our employment and executive transition agreements also specify competitive severance benefits designed to minimize negotiation with executives in the event a termination of employment should occur and ensure continued focus on the business if a change of control occurs. Finally, our employment agreements contain covenants which prevent our executive officers from soliciting our customers and employees and disclosing confidential information about our business plans and practices.</w:t>
      </w:r>
    </w:p>
    <w:p>
      <w:pPr>
        <w:spacing w:after="0" w:line="198" w:lineRule="exact"/>
        <w:rPr>
          <w:sz w:val="20"/>
          <w:szCs w:val="20"/>
          <w:color w:val="auto"/>
        </w:rPr>
      </w:pPr>
    </w:p>
    <w:p>
      <w:pPr>
        <w:jc w:val="both"/>
        <w:ind w:firstLine="1"/>
        <w:spacing w:after="0" w:line="242" w:lineRule="auto"/>
        <w:rPr>
          <w:sz w:val="20"/>
          <w:szCs w:val="20"/>
          <w:color w:val="auto"/>
        </w:rPr>
      </w:pPr>
      <w:r>
        <w:rPr>
          <w:sz w:val="1"/>
          <w:szCs w:val="1"/>
          <w:color w:val="auto"/>
        </w:rPr>
        <w:drawing>
          <wp:inline distT="0" distB="0" distL="0" distR="0">
            <wp:extent cx="205740" cy="205740"/>
            <wp:effectExtent l="0" t="0" r="0" b="0"/>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05740" cy="205740"/>
                    </a:xfrm>
                    <a:prstGeom prst="rect">
                      <a:avLst/>
                    </a:prstGeom>
                    <a:noFill/>
                    <a:ln>
                      <a:noFill/>
                    </a:ln>
                  </pic:spPr>
                </pic:pic>
              </a:graphicData>
            </a:graphic>
          </wp:inline>
        </w:drawing>
      </w:r>
      <w:r>
        <w:rPr>
          <w:rFonts w:ascii="Arial" w:cs="Arial" w:eastAsia="Arial" w:hAnsi="Arial"/>
          <w:sz w:val="18"/>
          <w:szCs w:val="18"/>
          <w:color w:val="auto"/>
        </w:rPr>
        <w:t xml:space="preserve"> For more information about our employment agreements see “Executive Compensation Tables—Fiscal 2026 Summary Compensation Table—Morris Goldfarb Employment Agreement”, “—Sammy Aaron Employment Agreement” and “—Jeffrey Goldfarb Employment Agreement” and “Potential Payments Upon Termination or Change-in-Control”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280035</wp:posOffset>
            </wp:positionV>
            <wp:extent cx="629221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ind w:left="7560"/>
        <w:spacing w:after="0"/>
        <w:rPr>
          <w:sz w:val="20"/>
          <w:szCs w:val="20"/>
          <w:color w:val="auto"/>
        </w:rPr>
      </w:pPr>
      <w:r>
        <w:rPr>
          <w:rFonts w:ascii="Arial" w:cs="Arial" w:eastAsia="Arial" w:hAnsi="Arial"/>
          <w:sz w:val="16"/>
          <w:szCs w:val="16"/>
          <w:color w:val="auto"/>
        </w:rPr>
        <w:t xml:space="preserve">2026 PROXY STATEMENT </w:t>
      </w:r>
      <w:r>
        <w:rPr>
          <w:rFonts w:ascii="Arial" w:cs="Arial" w:eastAsia="Arial" w:hAnsi="Arial"/>
          <w:sz w:val="19"/>
          <w:szCs w:val="19"/>
          <w:color w:val="808080"/>
        </w:rPr>
        <w:t>/</w:t>
      </w:r>
      <w:r>
        <w:rPr>
          <w:rFonts w:ascii="Arial" w:cs="Arial" w:eastAsia="Arial" w:hAnsi="Arial"/>
          <w:sz w:val="16"/>
          <w:szCs w:val="16"/>
          <w:color w:val="auto"/>
        </w:rPr>
        <w:t xml:space="preserve"> </w:t>
      </w:r>
      <w:r>
        <w:rPr>
          <w:rFonts w:ascii="Arial" w:cs="Arial" w:eastAsia="Arial" w:hAnsi="Arial"/>
          <w:sz w:val="19"/>
          <w:szCs w:val="19"/>
          <w:b w:val="1"/>
          <w:bCs w:val="1"/>
          <w:color w:val="4A7EBB"/>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365125</wp:posOffset>
            </wp:positionV>
            <wp:extent cx="6292215" cy="254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17780</wp:posOffset>
            </wp:positionV>
            <wp:extent cx="624903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249035" cy="8255"/>
                    </a:xfrm>
                    <a:prstGeom prst="rect">
                      <a:avLst/>
                    </a:prstGeom>
                    <a:noFill/>
                  </pic:spPr>
                </pic:pic>
              </a:graphicData>
            </a:graphic>
          </wp:anchor>
        </w:drawing>
      </w:r>
    </w:p>
    <w:p>
      <w:pPr>
        <w:spacing w:after="0" w:line="203" w:lineRule="exact"/>
        <w:rPr>
          <w:sz w:val="20"/>
          <w:szCs w:val="20"/>
          <w:color w:val="auto"/>
        </w:rPr>
      </w:pPr>
    </w:p>
    <w:p>
      <w:pPr>
        <w:ind w:right="1460"/>
        <w:spacing w:after="0" w:line="288" w:lineRule="auto"/>
        <w:rPr>
          <w:sz w:val="20"/>
          <w:szCs w:val="20"/>
          <w:color w:val="auto"/>
        </w:rPr>
      </w:pPr>
      <w:r>
        <w:rPr>
          <w:rFonts w:ascii="Arial" w:cs="Arial" w:eastAsia="Arial" w:hAnsi="Arial"/>
          <w:sz w:val="29"/>
          <w:szCs w:val="29"/>
          <w:b w:val="1"/>
          <w:bCs w:val="1"/>
          <w:color w:val="4A7EBB"/>
        </w:rPr>
        <w:t>Other Compensation and Governance Programs, Policies and Considerations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STOCK OWNERSHIP GUIDELINES</w:t>
      </w:r>
    </w:p>
    <w:p>
      <w:pPr>
        <w:spacing w:after="0" w:line="18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adopted robust stock ownership guidelines for our directors and our Named Executive Officers. These guidelines foster an alignment of the interests of our executive officers with those of our stockholders, promote an ownership culture and long-term perspective among our executives, and act as a form of risk mitigation.</w:t>
      </w:r>
    </w:p>
    <w:p>
      <w:pPr>
        <w:spacing w:after="0" w:line="16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Named Executive Officers and our directors who are also our employees must retain shares with a value denominated as a multiple of base salary as follows:</w:t>
      </w:r>
    </w:p>
    <w:p>
      <w:pPr>
        <w:spacing w:after="0" w:line="166" w:lineRule="exact"/>
        <w:rPr>
          <w:sz w:val="20"/>
          <w:szCs w:val="20"/>
          <w:color w:val="auto"/>
        </w:rPr>
      </w:pPr>
    </w:p>
    <w:tbl>
      <w:tblPr>
        <w:tblLayout w:type="fixed"/>
        <w:tblInd w:w="1000" w:type="dxa"/>
        <w:tblCellMar>
          <w:top w:w="0" w:type="dxa"/>
          <w:left w:w="0" w:type="dxa"/>
          <w:bottom w:w="0" w:type="dxa"/>
          <w:right w:w="0" w:type="dxa"/>
        </w:tblCellMar>
      </w:tblPr>
      <w:tr>
        <w:trPr>
          <w:trHeight w:val="203"/>
        </w:trPr>
        <w:tc>
          <w:tcPr>
            <w:tcW w:w="4620" w:type="dxa"/>
            <w:vAlign w:val="bottom"/>
            <w:tcBorders>
              <w:top w:val="single" w:sz="8" w:color="4A7EBB"/>
              <w:bottom w:val="single" w:sz="8" w:color="4A7EBB"/>
            </w:tcBorders>
            <w:shd w:val="clear" w:color="auto" w:fill="DBE5F1"/>
          </w:tcPr>
          <w:p>
            <w:pPr>
              <w:spacing w:after="0"/>
              <w:rPr>
                <w:sz w:val="20"/>
                <w:szCs w:val="20"/>
                <w:color w:val="auto"/>
              </w:rPr>
            </w:pPr>
            <w:r>
              <w:rPr>
                <w:rFonts w:ascii="Arial" w:cs="Arial" w:eastAsia="Arial" w:hAnsi="Arial"/>
                <w:sz w:val="16"/>
                <w:szCs w:val="16"/>
                <w:b w:val="1"/>
                <w:bCs w:val="1"/>
                <w:color w:val="auto"/>
              </w:rPr>
              <w:t>Executive</w:t>
            </w:r>
          </w:p>
        </w:tc>
        <w:tc>
          <w:tcPr>
            <w:tcW w:w="3320" w:type="dxa"/>
            <w:vAlign w:val="bottom"/>
            <w:tcBorders>
              <w:top w:val="single" w:sz="8" w:color="4A7EBB"/>
              <w:bottom w:val="single" w:sz="8" w:color="4A7EBB"/>
            </w:tcBorders>
            <w:shd w:val="clear" w:color="auto" w:fill="DBE5F1"/>
          </w:tcPr>
          <w:p>
            <w:pPr>
              <w:ind w:left="1420"/>
              <w:spacing w:after="0"/>
              <w:rPr>
                <w:sz w:val="20"/>
                <w:szCs w:val="20"/>
                <w:color w:val="auto"/>
              </w:rPr>
            </w:pPr>
            <w:r>
              <w:rPr>
                <w:rFonts w:ascii="Arial" w:cs="Arial" w:eastAsia="Arial" w:hAnsi="Arial"/>
                <w:sz w:val="16"/>
                <w:szCs w:val="16"/>
                <w:b w:val="1"/>
                <w:bCs w:val="1"/>
                <w:color w:val="auto"/>
              </w:rPr>
              <w:t>​ ​Multiple of Base Salary</w:t>
            </w:r>
          </w:p>
        </w:tc>
      </w:tr>
      <w:tr>
        <w:trPr>
          <w:trHeight w:val="183"/>
        </w:trPr>
        <w:tc>
          <w:tcPr>
            <w:tcW w:w="4620" w:type="dxa"/>
            <w:vAlign w:val="bottom"/>
            <w:tcBorders>
              <w:bottom w:val="single" w:sz="8" w:color="4A7EBB"/>
            </w:tcBorders>
          </w:tcPr>
          <w:p>
            <w:pPr>
              <w:spacing w:after="0" w:line="183" w:lineRule="exact"/>
              <w:rPr>
                <w:sz w:val="20"/>
                <w:szCs w:val="20"/>
                <w:color w:val="auto"/>
              </w:rPr>
            </w:pPr>
            <w:r>
              <w:rPr>
                <w:rFonts w:ascii="Arial" w:cs="Arial" w:eastAsia="Arial" w:hAnsi="Arial"/>
                <w:sz w:val="16"/>
                <w:szCs w:val="16"/>
                <w:color w:val="auto"/>
              </w:rPr>
              <w:t>Chief Executive Officer</w:t>
            </w:r>
          </w:p>
        </w:tc>
        <w:tc>
          <w:tcPr>
            <w:tcW w:w="3320" w:type="dxa"/>
            <w:vAlign w:val="bottom"/>
            <w:tcBorders>
              <w:bottom w:val="single" w:sz="8" w:color="4A7EBB"/>
            </w:tcBorders>
          </w:tcPr>
          <w:p>
            <w:pPr>
              <w:ind w:left="2320"/>
              <w:spacing w:after="0" w:line="183" w:lineRule="exact"/>
              <w:rPr>
                <w:sz w:val="20"/>
                <w:szCs w:val="20"/>
                <w:color w:val="auto"/>
              </w:rPr>
            </w:pPr>
            <w:r>
              <w:rPr>
                <w:rFonts w:ascii="Arial" w:cs="Arial" w:eastAsia="Arial" w:hAnsi="Arial"/>
                <w:sz w:val="16"/>
                <w:szCs w:val="16"/>
                <w:color w:val="auto"/>
              </w:rPr>
              <w:t>6x</w:t>
            </w:r>
          </w:p>
        </w:tc>
      </w:tr>
      <w:tr>
        <w:trPr>
          <w:trHeight w:val="183"/>
        </w:trPr>
        <w:tc>
          <w:tcPr>
            <w:tcW w:w="4620" w:type="dxa"/>
            <w:vAlign w:val="bottom"/>
            <w:tcBorders>
              <w:bottom w:val="single" w:sz="8" w:color="4A7EBB"/>
            </w:tcBorders>
            <w:shd w:val="clear" w:color="auto" w:fill="F2F2F2"/>
          </w:tcPr>
          <w:p>
            <w:pPr>
              <w:spacing w:after="0" w:line="183" w:lineRule="exact"/>
              <w:rPr>
                <w:sz w:val="20"/>
                <w:szCs w:val="20"/>
                <w:color w:val="auto"/>
              </w:rPr>
            </w:pPr>
            <w:r>
              <w:rPr>
                <w:rFonts w:ascii="Arial" w:cs="Arial" w:eastAsia="Arial" w:hAnsi="Arial"/>
                <w:sz w:val="16"/>
                <w:szCs w:val="16"/>
                <w:color w:val="auto"/>
              </w:rPr>
              <w:t>Vice Chairman</w:t>
            </w:r>
          </w:p>
        </w:tc>
        <w:tc>
          <w:tcPr>
            <w:tcW w:w="3320" w:type="dxa"/>
            <w:vAlign w:val="bottom"/>
            <w:tcBorders>
              <w:bottom w:val="single" w:sz="8" w:color="4A7EBB"/>
            </w:tcBorders>
            <w:shd w:val="clear" w:color="auto" w:fill="F2F2F2"/>
          </w:tcPr>
          <w:p>
            <w:pPr>
              <w:ind w:left="2320"/>
              <w:spacing w:after="0" w:line="183" w:lineRule="exact"/>
              <w:rPr>
                <w:sz w:val="20"/>
                <w:szCs w:val="20"/>
                <w:color w:val="auto"/>
              </w:rPr>
            </w:pPr>
            <w:r>
              <w:rPr>
                <w:rFonts w:ascii="Arial" w:cs="Arial" w:eastAsia="Arial" w:hAnsi="Arial"/>
                <w:sz w:val="16"/>
                <w:szCs w:val="16"/>
                <w:color w:val="auto"/>
              </w:rPr>
              <w:t>2x</w:t>
            </w:r>
          </w:p>
        </w:tc>
      </w:tr>
      <w:tr>
        <w:trPr>
          <w:trHeight w:val="183"/>
        </w:trPr>
        <w:tc>
          <w:tcPr>
            <w:tcW w:w="4620" w:type="dxa"/>
            <w:vAlign w:val="bottom"/>
            <w:tcBorders>
              <w:bottom w:val="single" w:sz="8" w:color="4A7EBB"/>
            </w:tcBorders>
          </w:tcPr>
          <w:p>
            <w:pPr>
              <w:spacing w:after="0" w:line="183" w:lineRule="exact"/>
              <w:rPr>
                <w:sz w:val="20"/>
                <w:szCs w:val="20"/>
                <w:color w:val="auto"/>
              </w:rPr>
            </w:pPr>
            <w:r>
              <w:rPr>
                <w:rFonts w:ascii="Arial" w:cs="Arial" w:eastAsia="Arial" w:hAnsi="Arial"/>
                <w:sz w:val="16"/>
                <w:szCs w:val="16"/>
                <w:color w:val="auto"/>
              </w:rPr>
              <w:t>Named Executive Officers who are Directors</w:t>
            </w:r>
          </w:p>
        </w:tc>
        <w:tc>
          <w:tcPr>
            <w:tcW w:w="3320" w:type="dxa"/>
            <w:vAlign w:val="bottom"/>
            <w:tcBorders>
              <w:bottom w:val="single" w:sz="8" w:color="4A7EBB"/>
            </w:tcBorders>
          </w:tcPr>
          <w:p>
            <w:pPr>
              <w:ind w:left="2320"/>
              <w:spacing w:after="0" w:line="183" w:lineRule="exact"/>
              <w:rPr>
                <w:sz w:val="20"/>
                <w:szCs w:val="20"/>
                <w:color w:val="auto"/>
              </w:rPr>
            </w:pPr>
            <w:r>
              <w:rPr>
                <w:rFonts w:ascii="Arial" w:cs="Arial" w:eastAsia="Arial" w:hAnsi="Arial"/>
                <w:sz w:val="16"/>
                <w:szCs w:val="16"/>
                <w:color w:val="auto"/>
              </w:rPr>
              <w:t>2x</w:t>
            </w:r>
          </w:p>
        </w:tc>
      </w:tr>
      <w:tr>
        <w:trPr>
          <w:trHeight w:val="183"/>
        </w:trPr>
        <w:tc>
          <w:tcPr>
            <w:tcW w:w="4620" w:type="dxa"/>
            <w:vAlign w:val="bottom"/>
            <w:tcBorders>
              <w:bottom w:val="single" w:sz="8" w:color="808080"/>
            </w:tcBorders>
            <w:shd w:val="clear" w:color="auto" w:fill="F2F2F2"/>
          </w:tcPr>
          <w:p>
            <w:pPr>
              <w:spacing w:after="0" w:line="183" w:lineRule="exact"/>
              <w:rPr>
                <w:sz w:val="20"/>
                <w:szCs w:val="20"/>
                <w:color w:val="auto"/>
              </w:rPr>
            </w:pPr>
            <w:r>
              <w:rPr>
                <w:rFonts w:ascii="Arial" w:cs="Arial" w:eastAsia="Arial" w:hAnsi="Arial"/>
                <w:sz w:val="16"/>
                <w:szCs w:val="16"/>
                <w:color w:val="auto"/>
              </w:rPr>
              <w:t>All Other Named Executive Officers</w:t>
            </w:r>
          </w:p>
        </w:tc>
        <w:tc>
          <w:tcPr>
            <w:tcW w:w="3320" w:type="dxa"/>
            <w:vAlign w:val="bottom"/>
            <w:tcBorders>
              <w:bottom w:val="single" w:sz="8" w:color="808080"/>
            </w:tcBorders>
            <w:shd w:val="clear" w:color="auto" w:fill="F2F2F2"/>
          </w:tcPr>
          <w:p>
            <w:pPr>
              <w:ind w:left="2320"/>
              <w:spacing w:after="0" w:line="183" w:lineRule="exact"/>
              <w:rPr>
                <w:sz w:val="20"/>
                <w:szCs w:val="20"/>
                <w:color w:val="auto"/>
              </w:rPr>
            </w:pPr>
            <w:r>
              <w:rPr>
                <w:rFonts w:ascii="Arial" w:cs="Arial" w:eastAsia="Arial" w:hAnsi="Arial"/>
                <w:sz w:val="16"/>
                <w:szCs w:val="16"/>
                <w:color w:val="auto"/>
              </w:rPr>
              <w:t>1x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4472305</wp:posOffset>
            </wp:positionH>
            <wp:positionV relativeFrom="paragraph">
              <wp:posOffset>-522605</wp:posOffset>
            </wp:positionV>
            <wp:extent cx="8255" cy="5232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255" cy="523240"/>
                    </a:xfrm>
                    <a:prstGeom prst="rect">
                      <a:avLst/>
                    </a:prstGeom>
                    <a:noFill/>
                  </pic:spPr>
                </pic:pic>
              </a:graphicData>
            </a:graphic>
          </wp:anchor>
        </w:drawing>
      </w:r>
    </w:p>
    <w:p>
      <w:pPr>
        <w:spacing w:after="0" w:line="16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Until executive officers and directors achieve the required guideline ownership, they are required to retain 50% of the net shares obtained from the vesting of restricted stock units or from the exercise of stock options. Shares owned outright and shares held in trust count towards satisfaction of these guidelines; unearned PSUs and unexercised options do not. The Compensation Committee may, in its sole discretion, and in limited instances, grant exceptions to these guidelines. No such exception was granted in fiscal 2026. All our NEOs and directors comply with these guidelines.</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CLAWBACK/EXECUTIVE INCENTIVE COMPENSATION RECOUPMENT POLICY</w:t>
      </w:r>
    </w:p>
    <w:p>
      <w:pPr>
        <w:spacing w:after="0" w:line="17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Under SEC rules and NASDAQ’s listing standards, if G-III is required to prepare an accounting restatement, the Compensation Committee will recoup from the affected executive officers all or part of any annual performance-based bonus or long-term incentive awards that were predicated upon the achievement of financial results that were subsequently restated, subject to a 3-year lookback period.</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ANTI-HEDGING POLICY</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directors, executives and other employees are prohibited from engaging in transactions designed to limit or eliminate economic risks from owning G-III’s stock, such as transactions involving any form of margin arrangement, short sales and/or dealing in puts and calls of G-III’s stock.</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ANTI-PLEDGING POLICY</w:t>
      </w:r>
    </w:p>
    <w:p>
      <w:pPr>
        <w:spacing w:after="0" w:line="18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directors, executives and other employees are generally prohibited from pledging shares of our stock as collateral for any loan or margin account. None of our executives has pledged shares of our stock. The Board may, in its sole discretion and in limited instances, grant exceptions to this policy after considering the number of shares to be pledged as a percentage of the executive’s total shares held and G-III’s total shares outstanding.</w:t>
      </w:r>
    </w:p>
    <w:p>
      <w:pPr>
        <w:spacing w:after="0" w:line="159" w:lineRule="exact"/>
        <w:rPr>
          <w:sz w:val="20"/>
          <w:szCs w:val="20"/>
          <w:color w:val="auto"/>
        </w:rPr>
      </w:pPr>
    </w:p>
    <w:p>
      <w:pPr>
        <w:spacing w:after="0"/>
        <w:rPr>
          <w:sz w:val="20"/>
          <w:szCs w:val="20"/>
          <w:color w:val="auto"/>
        </w:rPr>
      </w:pPr>
      <w:r>
        <w:rPr>
          <w:rFonts w:ascii="Arial" w:cs="Arial" w:eastAsia="Arial" w:hAnsi="Arial"/>
          <w:sz w:val="29"/>
          <w:szCs w:val="29"/>
          <w:b w:val="1"/>
          <w:bCs w:val="1"/>
          <w:color w:val="4A7EBB"/>
        </w:rPr>
        <w:t>How We Make Compensation Decisions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ROLE OF THE COMPENSATION COMMITTEE</w:t>
      </w:r>
    </w:p>
    <w:p>
      <w:pPr>
        <w:spacing w:after="0" w:line="17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Compensation Committee is responsible for determining the compensation of our executive officers and for evaluating and establishing the overall structure and design of our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263525</wp:posOffset>
            </wp:positionV>
            <wp:extent cx="629221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288925</wp:posOffset>
            </wp:positionH>
            <wp:positionV relativeFrom="paragraph">
              <wp:posOffset>323850</wp:posOffset>
            </wp:positionV>
            <wp:extent cx="265430" cy="1460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65430" cy="146050"/>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0"/>
          <w:szCs w:val="20"/>
          <w:b w:val="1"/>
          <w:bCs w:val="1"/>
          <w:color w:val="4A7EBB"/>
        </w:rPr>
        <w:t xml:space="preserve">36 </w:t>
      </w:r>
      <w:r>
        <w:rPr>
          <w:rFonts w:ascii="Arial" w:cs="Arial" w:eastAsia="Arial" w:hAnsi="Arial"/>
          <w:sz w:val="20"/>
          <w:szCs w:val="20"/>
          <w:color w:val="80808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54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17780</wp:posOffset>
            </wp:positionV>
            <wp:extent cx="629221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1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Compensation Committee consults with our Chairman and CEO in connection with making its determinations regarding compensation of our other NEOs and relies to a considerable extent on his evaluation of each executive’s performance and his recommendations regarding the amount and mix of the total compensation paid to these executives.</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ROLE OF MANAGEMENT</w:t>
      </w:r>
    </w:p>
    <w:p>
      <w:pPr>
        <w:spacing w:after="0" w:line="175"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Our Chairman and CEO annually makes recommendations on the amount and mix of the total compensation of other NEOs to the Compensation Committee. Our Chairman and CEO is not involved in the determination of his own compensation.</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ROLE OF INDEPENDENT COMPENSATION CONSULTANTS</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Compensation Committee retained Compensation Advisory Partners (“CAP”) to serve as its independent advisor on executive compensation and corporate governance matters beginning in fiscal 2019. CAP is a nationally recognized executive compensation consultancy and serves as the Committee’s independent advisor on executive compensation and corporate governance matters. In fulfilling these responsibilities, CAP assisted the Committee with its redesign of G-III’s executive compensation program by providing insight and analysis of compensation programs and incentives used by G-III’s peers and other public companies, trends in executive compensation and corporate governance, and the evolving policies and procedures of proxy advisory services firms. CAP also assisted with respect to G-III’s stockholder outreach initiatives.</w:t>
      </w:r>
    </w:p>
    <w:p>
      <w:pPr>
        <w:spacing w:after="0" w:line="18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Compensation Committee retains sole responsibility for engaging any compensation advisor and meets with its advisor, as needed, in the Committee’s sole discretion. CAP has not performed any services other than executive and director compensation and related corporate governance consulting for G-III and performed its services only on behalf of and at the direction of the Committee. Prior to engaging CAP, the Committee reviewed the factors related to consultant independence and determined that no conflict of interest exists.</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ROLE OF COMPETITIVE MARKETPLACE PRACTICE</w:t>
      </w:r>
    </w:p>
    <w:p>
      <w:pPr>
        <w:spacing w:after="0" w:line="17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Compensation Committee periodically reviews the compensation design features and executive pay levels of companies that are comparable to G-III to ensure that our programs are competitive. While the Compensation Committee reviews this information, this process serves as one reference point among others. In making determinations regarding our compensation and related governance programs and pay levels, the Compensation Committee also considers our short-and long-term strategic objectives, individual performance, scope of responsibilities, retention concerns, and previously negotiated contractual obligations.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Our peer companies were selected based on the following parameters:</w:t>
      </w:r>
    </w:p>
    <w:p>
      <w:pPr>
        <w:spacing w:after="0" w:line="212" w:lineRule="exact"/>
        <w:rPr>
          <w:sz w:val="20"/>
          <w:szCs w:val="20"/>
          <w:color w:val="auto"/>
        </w:rPr>
      </w:pPr>
    </w:p>
    <w:p>
      <w:pPr>
        <w:ind w:left="680" w:hanging="321"/>
        <w:spacing w:after="0" w:line="263" w:lineRule="auto"/>
        <w:tabs>
          <w:tab w:leader="none" w:pos="680" w:val="left"/>
        </w:tabs>
        <w:numPr>
          <w:ilvl w:val="0"/>
          <w:numId w:val="64"/>
        </w:numPr>
        <w:rPr>
          <w:rFonts w:ascii="Times New Roman" w:cs="Times New Roman" w:eastAsia="Times New Roman" w:hAnsi="Times New Roman"/>
          <w:sz w:val="18"/>
          <w:szCs w:val="18"/>
          <w:b w:val="1"/>
          <w:bCs w:val="1"/>
          <w:color w:val="4A7EBB"/>
        </w:rPr>
      </w:pPr>
      <w:r>
        <w:rPr>
          <w:rFonts w:ascii="Arial" w:cs="Arial" w:eastAsia="Arial" w:hAnsi="Arial"/>
          <w:sz w:val="18"/>
          <w:szCs w:val="18"/>
          <w:color w:val="auto"/>
        </w:rPr>
        <w:t>Appropriately sized companies with revenues ranging from approximately 0.5 to 2 times those of G-III when selected;</w:t>
      </w:r>
    </w:p>
    <w:p>
      <w:pPr>
        <w:spacing w:after="0" w:line="4" w:lineRule="exact"/>
        <w:rPr>
          <w:rFonts w:ascii="Times New Roman" w:cs="Times New Roman" w:eastAsia="Times New Roman" w:hAnsi="Times New Roman"/>
          <w:sz w:val="18"/>
          <w:szCs w:val="18"/>
          <w:b w:val="1"/>
          <w:bCs w:val="1"/>
          <w:color w:val="4A7EBB"/>
        </w:rPr>
      </w:pPr>
    </w:p>
    <w:p>
      <w:pPr>
        <w:ind w:left="680" w:hanging="321"/>
        <w:spacing w:after="0"/>
        <w:tabs>
          <w:tab w:leader="none" w:pos="680" w:val="left"/>
        </w:tabs>
        <w:numPr>
          <w:ilvl w:val="0"/>
          <w:numId w:val="64"/>
        </w:numPr>
        <w:rPr>
          <w:rFonts w:ascii="Times New Roman" w:cs="Times New Roman" w:eastAsia="Times New Roman" w:hAnsi="Times New Roman"/>
          <w:sz w:val="18"/>
          <w:szCs w:val="18"/>
          <w:b w:val="1"/>
          <w:bCs w:val="1"/>
          <w:color w:val="4A7EBB"/>
        </w:rPr>
      </w:pPr>
      <w:r>
        <w:rPr>
          <w:rFonts w:ascii="Arial" w:cs="Arial" w:eastAsia="Arial" w:hAnsi="Arial"/>
          <w:sz w:val="18"/>
          <w:szCs w:val="18"/>
          <w:color w:val="auto"/>
        </w:rPr>
        <w:t>Companies operating in the apparel and retail industries with a focus on accessible luxury brands; and</w:t>
      </w:r>
    </w:p>
    <w:p>
      <w:pPr>
        <w:spacing w:after="0" w:line="62" w:lineRule="exact"/>
        <w:rPr>
          <w:rFonts w:ascii="Times New Roman" w:cs="Times New Roman" w:eastAsia="Times New Roman" w:hAnsi="Times New Roman"/>
          <w:sz w:val="18"/>
          <w:szCs w:val="18"/>
          <w:b w:val="1"/>
          <w:bCs w:val="1"/>
          <w:color w:val="4A7EBB"/>
        </w:rPr>
      </w:pPr>
    </w:p>
    <w:p>
      <w:pPr>
        <w:ind w:left="680" w:hanging="321"/>
        <w:spacing w:after="0"/>
        <w:tabs>
          <w:tab w:leader="none" w:pos="680" w:val="left"/>
        </w:tabs>
        <w:numPr>
          <w:ilvl w:val="0"/>
          <w:numId w:val="64"/>
        </w:numPr>
        <w:rPr>
          <w:rFonts w:ascii="Times New Roman" w:cs="Times New Roman" w:eastAsia="Times New Roman" w:hAnsi="Times New Roman"/>
          <w:sz w:val="18"/>
          <w:szCs w:val="18"/>
          <w:b w:val="1"/>
          <w:bCs w:val="1"/>
          <w:color w:val="4A7EBB"/>
        </w:rPr>
      </w:pPr>
      <w:r>
        <w:rPr>
          <w:rFonts w:ascii="Arial" w:cs="Arial" w:eastAsia="Arial" w:hAnsi="Arial"/>
          <w:sz w:val="18"/>
          <w:szCs w:val="18"/>
          <w:color w:val="auto"/>
        </w:rPr>
        <w:t>Companies from the comparator groups used by our comparators and by stockholder advisory groups.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companies in our compensation peer group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4240530</wp:posOffset>
            </wp:positionH>
            <wp:positionV relativeFrom="paragraph">
              <wp:posOffset>154940</wp:posOffset>
            </wp:positionV>
            <wp:extent cx="8255" cy="59118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255" cy="591185"/>
                    </a:xfrm>
                    <a:prstGeom prst="rect">
                      <a:avLst/>
                    </a:prstGeom>
                    <a:noFill/>
                  </pic:spPr>
                </pic:pic>
              </a:graphicData>
            </a:graphic>
          </wp:anchor>
        </w:drawing>
        <w:drawing>
          <wp:anchor simplePos="0" relativeHeight="251657728" behindDoc="1" locked="0" layoutInCell="0" allowOverlap="1">
            <wp:simplePos x="0" y="0"/>
            <wp:positionH relativeFrom="column">
              <wp:posOffset>1891665</wp:posOffset>
            </wp:positionH>
            <wp:positionV relativeFrom="paragraph">
              <wp:posOffset>154940</wp:posOffset>
            </wp:positionV>
            <wp:extent cx="8255" cy="59118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255" cy="591185"/>
                    </a:xfrm>
                    <a:prstGeom prst="rect">
                      <a:avLst/>
                    </a:prstGeom>
                    <a:noFill/>
                  </pic:spPr>
                </pic:pic>
              </a:graphicData>
            </a:graphic>
          </wp:anchor>
        </w:drawing>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0" w:type="dxa"/>
            <w:vAlign w:val="bottom"/>
            <w:tcBorders>
              <w:top w:val="single" w:sz="8" w:color="808080"/>
              <w:bottom w:val="single" w:sz="8" w:color="4A7EBB"/>
            </w:tcBorders>
          </w:tcPr>
          <w:p>
            <w:pPr>
              <w:ind w:left="80"/>
              <w:spacing w:after="0"/>
              <w:rPr>
                <w:sz w:val="20"/>
                <w:szCs w:val="20"/>
                <w:color w:val="auto"/>
              </w:rPr>
            </w:pPr>
            <w:r>
              <w:rPr>
                <w:rFonts w:ascii="Times New Roman" w:cs="Times New Roman" w:eastAsia="Times New Roman" w:hAnsi="Times New Roman"/>
                <w:sz w:val="18"/>
                <w:szCs w:val="18"/>
                <w:b w:val="1"/>
                <w:bCs w:val="1"/>
                <w:color w:val="4A7EBB"/>
              </w:rPr>
              <w:t>●</w:t>
            </w:r>
          </w:p>
        </w:tc>
        <w:tc>
          <w:tcPr>
            <w:tcW w:w="2460" w:type="dxa"/>
            <w:vAlign w:val="bottom"/>
            <w:tcBorders>
              <w:top w:val="single" w:sz="8" w:color="808080"/>
              <w:bottom w:val="single" w:sz="8" w:color="4A7EBB"/>
            </w:tcBorders>
          </w:tcPr>
          <w:p>
            <w:pPr>
              <w:ind w:left="120"/>
              <w:spacing w:after="0"/>
              <w:rPr>
                <w:sz w:val="20"/>
                <w:szCs w:val="20"/>
                <w:color w:val="auto"/>
              </w:rPr>
            </w:pPr>
            <w:r>
              <w:rPr>
                <w:rFonts w:ascii="Arial" w:cs="Arial" w:eastAsia="Arial" w:hAnsi="Arial"/>
                <w:sz w:val="18"/>
                <w:szCs w:val="18"/>
                <w:color w:val="auto"/>
              </w:rPr>
              <w:t>Capri Holdings Limited</w:t>
            </w:r>
          </w:p>
        </w:tc>
        <w:tc>
          <w:tcPr>
            <w:tcW w:w="540" w:type="dxa"/>
            <w:vAlign w:val="bottom"/>
            <w:tcBorders>
              <w:top w:val="single" w:sz="8" w:color="808080"/>
              <w:bottom w:val="single" w:sz="8" w:color="4A7EBB"/>
            </w:tcBorders>
          </w:tcPr>
          <w:p>
            <w:pPr>
              <w:ind w:left="320"/>
              <w:spacing w:after="0"/>
              <w:rPr>
                <w:sz w:val="20"/>
                <w:szCs w:val="20"/>
                <w:color w:val="auto"/>
              </w:rPr>
            </w:pPr>
            <w:r>
              <w:rPr>
                <w:rFonts w:ascii="Times New Roman" w:cs="Times New Roman" w:eastAsia="Times New Roman" w:hAnsi="Times New Roman"/>
                <w:sz w:val="18"/>
                <w:szCs w:val="18"/>
                <w:b w:val="1"/>
                <w:bCs w:val="1"/>
                <w:color w:val="4A7EBB"/>
              </w:rPr>
              <w:t>●</w:t>
            </w:r>
          </w:p>
        </w:tc>
        <w:tc>
          <w:tcPr>
            <w:tcW w:w="2700" w:type="dxa"/>
            <w:vAlign w:val="bottom"/>
            <w:tcBorders>
              <w:top w:val="single" w:sz="8" w:color="808080"/>
              <w:bottom w:val="single" w:sz="8" w:color="4A7EBB"/>
            </w:tcBorders>
          </w:tcPr>
          <w:p>
            <w:pPr>
              <w:ind w:left="100"/>
              <w:spacing w:after="0"/>
              <w:rPr>
                <w:sz w:val="20"/>
                <w:szCs w:val="20"/>
                <w:color w:val="auto"/>
              </w:rPr>
            </w:pPr>
            <w:r>
              <w:rPr>
                <w:rFonts w:ascii="Arial" w:cs="Arial" w:eastAsia="Arial" w:hAnsi="Arial"/>
                <w:sz w:val="18"/>
                <w:szCs w:val="18"/>
                <w:color w:val="auto"/>
              </w:rPr>
              <w:t>Fossil Group, Inc.</w:t>
            </w:r>
          </w:p>
        </w:tc>
        <w:tc>
          <w:tcPr>
            <w:tcW w:w="980" w:type="dxa"/>
            <w:vAlign w:val="bottom"/>
            <w:tcBorders>
              <w:top w:val="single" w:sz="8" w:color="808080"/>
              <w:bottom w:val="single" w:sz="8" w:color="4A7EBB"/>
            </w:tcBorders>
          </w:tcPr>
          <w:p>
            <w:pPr>
              <w:ind w:left="780"/>
              <w:spacing w:after="0"/>
              <w:rPr>
                <w:sz w:val="20"/>
                <w:szCs w:val="20"/>
                <w:color w:val="auto"/>
              </w:rPr>
            </w:pPr>
            <w:r>
              <w:rPr>
                <w:rFonts w:ascii="Times New Roman" w:cs="Times New Roman" w:eastAsia="Times New Roman" w:hAnsi="Times New Roman"/>
                <w:sz w:val="18"/>
                <w:szCs w:val="18"/>
                <w:b w:val="1"/>
                <w:bCs w:val="1"/>
                <w:color w:val="4A7EBB"/>
              </w:rPr>
              <w:t>●</w:t>
            </w:r>
          </w:p>
        </w:tc>
        <w:tc>
          <w:tcPr>
            <w:tcW w:w="2960" w:type="dxa"/>
            <w:vAlign w:val="bottom"/>
            <w:tcBorders>
              <w:top w:val="single" w:sz="8" w:color="808080"/>
              <w:bottom w:val="single" w:sz="8" w:color="4A7EBB"/>
            </w:tcBorders>
          </w:tcPr>
          <w:p>
            <w:pPr>
              <w:ind w:left="120"/>
              <w:spacing w:after="0"/>
              <w:rPr>
                <w:sz w:val="20"/>
                <w:szCs w:val="20"/>
                <w:color w:val="auto"/>
              </w:rPr>
            </w:pPr>
            <w:r>
              <w:rPr>
                <w:rFonts w:ascii="Arial" w:cs="Arial" w:eastAsia="Arial" w:hAnsi="Arial"/>
                <w:sz w:val="18"/>
                <w:szCs w:val="18"/>
                <w:color w:val="auto"/>
              </w:rPr>
              <w:t>Steven Madden, Ltd.</w:t>
            </w:r>
          </w:p>
        </w:tc>
      </w:tr>
      <w:tr>
        <w:trPr>
          <w:trHeight w:val="209"/>
        </w:trPr>
        <w:tc>
          <w:tcPr>
            <w:tcW w:w="280" w:type="dxa"/>
            <w:vAlign w:val="bottom"/>
            <w:tcBorders>
              <w:bottom w:val="single" w:sz="8" w:color="4A7EBB"/>
            </w:tcBorders>
            <w:shd w:val="clear" w:color="auto" w:fill="F2F2F2"/>
          </w:tcPr>
          <w:p>
            <w:pPr>
              <w:ind w:left="80"/>
              <w:spacing w:after="0"/>
              <w:rPr>
                <w:sz w:val="20"/>
                <w:szCs w:val="20"/>
                <w:color w:val="auto"/>
              </w:rPr>
            </w:pPr>
            <w:r>
              <w:rPr>
                <w:rFonts w:ascii="Times New Roman" w:cs="Times New Roman" w:eastAsia="Times New Roman" w:hAnsi="Times New Roman"/>
                <w:sz w:val="18"/>
                <w:szCs w:val="18"/>
                <w:b w:val="1"/>
                <w:bCs w:val="1"/>
                <w:color w:val="4A7EBB"/>
              </w:rPr>
              <w:t>●</w:t>
            </w:r>
          </w:p>
        </w:tc>
        <w:tc>
          <w:tcPr>
            <w:tcW w:w="2460" w:type="dxa"/>
            <w:vAlign w:val="bottom"/>
            <w:tcBorders>
              <w:bottom w:val="single" w:sz="8" w:color="4A7EBB"/>
            </w:tcBorders>
            <w:shd w:val="clear" w:color="auto" w:fill="F2F2F2"/>
          </w:tcPr>
          <w:p>
            <w:pPr>
              <w:ind w:left="120"/>
              <w:spacing w:after="0"/>
              <w:rPr>
                <w:sz w:val="20"/>
                <w:szCs w:val="20"/>
                <w:color w:val="auto"/>
              </w:rPr>
            </w:pPr>
            <w:r>
              <w:rPr>
                <w:rFonts w:ascii="Arial" w:cs="Arial" w:eastAsia="Arial" w:hAnsi="Arial"/>
                <w:sz w:val="18"/>
                <w:szCs w:val="18"/>
                <w:color w:val="auto"/>
              </w:rPr>
              <w:t>Carter’s Inc.</w:t>
            </w:r>
          </w:p>
        </w:tc>
        <w:tc>
          <w:tcPr>
            <w:tcW w:w="540" w:type="dxa"/>
            <w:vAlign w:val="bottom"/>
            <w:tcBorders>
              <w:bottom w:val="single" w:sz="8" w:color="4A7EBB"/>
            </w:tcBorders>
            <w:shd w:val="clear" w:color="auto" w:fill="F2F2F2"/>
          </w:tcPr>
          <w:p>
            <w:pPr>
              <w:ind w:left="300"/>
              <w:spacing w:after="0"/>
              <w:rPr>
                <w:sz w:val="20"/>
                <w:szCs w:val="20"/>
                <w:color w:val="auto"/>
              </w:rPr>
            </w:pPr>
            <w:r>
              <w:rPr>
                <w:rFonts w:ascii="Times New Roman" w:cs="Times New Roman" w:eastAsia="Times New Roman" w:hAnsi="Times New Roman"/>
                <w:sz w:val="18"/>
                <w:szCs w:val="18"/>
                <w:b w:val="1"/>
                <w:bCs w:val="1"/>
                <w:color w:val="4A7EBB"/>
              </w:rPr>
              <w:t>●</w:t>
            </w:r>
          </w:p>
        </w:tc>
        <w:tc>
          <w:tcPr>
            <w:tcW w:w="2700" w:type="dxa"/>
            <w:vAlign w:val="bottom"/>
            <w:tcBorders>
              <w:bottom w:val="single" w:sz="8" w:color="4A7EBB"/>
            </w:tcBorders>
            <w:shd w:val="clear" w:color="auto" w:fill="F2F2F2"/>
          </w:tcPr>
          <w:p>
            <w:pPr>
              <w:ind w:left="100"/>
              <w:spacing w:after="0"/>
              <w:rPr>
                <w:sz w:val="20"/>
                <w:szCs w:val="20"/>
                <w:color w:val="auto"/>
              </w:rPr>
            </w:pPr>
            <w:r>
              <w:rPr>
                <w:rFonts w:ascii="Arial" w:cs="Arial" w:eastAsia="Arial" w:hAnsi="Arial"/>
                <w:sz w:val="18"/>
                <w:szCs w:val="18"/>
                <w:color w:val="auto"/>
              </w:rPr>
              <w:t>Lululemon Athletic, Inc.</w:t>
            </w:r>
          </w:p>
        </w:tc>
        <w:tc>
          <w:tcPr>
            <w:tcW w:w="980" w:type="dxa"/>
            <w:vAlign w:val="bottom"/>
            <w:tcBorders>
              <w:bottom w:val="single" w:sz="8" w:color="4A7EBB"/>
            </w:tcBorders>
            <w:shd w:val="clear" w:color="auto" w:fill="F2F2F2"/>
          </w:tcPr>
          <w:p>
            <w:pPr>
              <w:ind w:left="760"/>
              <w:spacing w:after="0"/>
              <w:rPr>
                <w:sz w:val="20"/>
                <w:szCs w:val="20"/>
                <w:color w:val="auto"/>
              </w:rPr>
            </w:pPr>
            <w:r>
              <w:rPr>
                <w:rFonts w:ascii="Times New Roman" w:cs="Times New Roman" w:eastAsia="Times New Roman" w:hAnsi="Times New Roman"/>
                <w:sz w:val="18"/>
                <w:szCs w:val="18"/>
                <w:b w:val="1"/>
                <w:bCs w:val="1"/>
                <w:color w:val="4A7EBB"/>
              </w:rPr>
              <w:t>●</w:t>
            </w:r>
          </w:p>
        </w:tc>
        <w:tc>
          <w:tcPr>
            <w:tcW w:w="2960" w:type="dxa"/>
            <w:vAlign w:val="bottom"/>
            <w:tcBorders>
              <w:bottom w:val="single" w:sz="8" w:color="4A7EBB"/>
            </w:tcBorders>
            <w:shd w:val="clear" w:color="auto" w:fill="F2F2F2"/>
          </w:tcPr>
          <w:p>
            <w:pPr>
              <w:ind w:left="120"/>
              <w:spacing w:after="0"/>
              <w:rPr>
                <w:sz w:val="20"/>
                <w:szCs w:val="20"/>
                <w:color w:val="auto"/>
              </w:rPr>
            </w:pPr>
            <w:r>
              <w:rPr>
                <w:rFonts w:ascii="Arial" w:cs="Arial" w:eastAsia="Arial" w:hAnsi="Arial"/>
                <w:sz w:val="18"/>
                <w:szCs w:val="18"/>
                <w:color w:val="auto"/>
              </w:rPr>
              <w:t>Tapestry, Inc.</w:t>
            </w:r>
          </w:p>
        </w:tc>
      </w:tr>
      <w:tr>
        <w:trPr>
          <w:trHeight w:val="210"/>
        </w:trPr>
        <w:tc>
          <w:tcPr>
            <w:tcW w:w="280" w:type="dxa"/>
            <w:vAlign w:val="bottom"/>
            <w:tcBorders>
              <w:bottom w:val="single" w:sz="8" w:color="4A7EBB"/>
            </w:tcBorders>
          </w:tcPr>
          <w:p>
            <w:pPr>
              <w:ind w:left="80"/>
              <w:spacing w:after="0"/>
              <w:rPr>
                <w:sz w:val="20"/>
                <w:szCs w:val="20"/>
                <w:color w:val="auto"/>
              </w:rPr>
            </w:pPr>
            <w:r>
              <w:rPr>
                <w:rFonts w:ascii="Times New Roman" w:cs="Times New Roman" w:eastAsia="Times New Roman" w:hAnsi="Times New Roman"/>
                <w:sz w:val="18"/>
                <w:szCs w:val="18"/>
                <w:b w:val="1"/>
                <w:bCs w:val="1"/>
                <w:color w:val="4A7EBB"/>
              </w:rPr>
              <w:t>●</w:t>
            </w:r>
          </w:p>
        </w:tc>
        <w:tc>
          <w:tcPr>
            <w:tcW w:w="2460" w:type="dxa"/>
            <w:vAlign w:val="bottom"/>
            <w:tcBorders>
              <w:bottom w:val="single" w:sz="8" w:color="4A7EBB"/>
            </w:tcBorders>
          </w:tcPr>
          <w:p>
            <w:pPr>
              <w:ind w:left="120"/>
              <w:spacing w:after="0"/>
              <w:rPr>
                <w:sz w:val="20"/>
                <w:szCs w:val="20"/>
                <w:color w:val="auto"/>
              </w:rPr>
            </w:pPr>
            <w:r>
              <w:rPr>
                <w:rFonts w:ascii="Arial" w:cs="Arial" w:eastAsia="Arial" w:hAnsi="Arial"/>
                <w:sz w:val="18"/>
                <w:szCs w:val="18"/>
                <w:color w:val="auto"/>
              </w:rPr>
              <w:t>Columbia Sportswear Co.</w:t>
            </w:r>
          </w:p>
        </w:tc>
        <w:tc>
          <w:tcPr>
            <w:tcW w:w="540" w:type="dxa"/>
            <w:vAlign w:val="bottom"/>
            <w:tcBorders>
              <w:bottom w:val="single" w:sz="8" w:color="4A7EBB"/>
            </w:tcBorders>
          </w:tcPr>
          <w:p>
            <w:pPr>
              <w:ind w:left="300"/>
              <w:spacing w:after="0"/>
              <w:rPr>
                <w:sz w:val="20"/>
                <w:szCs w:val="20"/>
                <w:color w:val="auto"/>
              </w:rPr>
            </w:pPr>
            <w:r>
              <w:rPr>
                <w:rFonts w:ascii="Times New Roman" w:cs="Times New Roman" w:eastAsia="Times New Roman" w:hAnsi="Times New Roman"/>
                <w:sz w:val="18"/>
                <w:szCs w:val="18"/>
                <w:b w:val="1"/>
                <w:bCs w:val="1"/>
                <w:color w:val="4A7EBB"/>
              </w:rPr>
              <w:t>●</w:t>
            </w:r>
          </w:p>
        </w:tc>
        <w:tc>
          <w:tcPr>
            <w:tcW w:w="2700" w:type="dxa"/>
            <w:vAlign w:val="bottom"/>
            <w:tcBorders>
              <w:bottom w:val="single" w:sz="8" w:color="4A7EBB"/>
            </w:tcBorders>
          </w:tcPr>
          <w:p>
            <w:pPr>
              <w:ind w:left="100"/>
              <w:spacing w:after="0"/>
              <w:rPr>
                <w:sz w:val="20"/>
                <w:szCs w:val="20"/>
                <w:color w:val="auto"/>
              </w:rPr>
            </w:pPr>
            <w:r>
              <w:rPr>
                <w:rFonts w:ascii="Arial" w:cs="Arial" w:eastAsia="Arial" w:hAnsi="Arial"/>
                <w:sz w:val="18"/>
                <w:szCs w:val="18"/>
                <w:color w:val="auto"/>
              </w:rPr>
              <w:t>Ralph Lauren Corp.</w:t>
            </w:r>
          </w:p>
        </w:tc>
        <w:tc>
          <w:tcPr>
            <w:tcW w:w="980" w:type="dxa"/>
            <w:vAlign w:val="bottom"/>
            <w:tcBorders>
              <w:bottom w:val="single" w:sz="8" w:color="4A7EBB"/>
            </w:tcBorders>
          </w:tcPr>
          <w:p>
            <w:pPr>
              <w:ind w:left="760"/>
              <w:spacing w:after="0"/>
              <w:rPr>
                <w:sz w:val="20"/>
                <w:szCs w:val="20"/>
                <w:color w:val="auto"/>
              </w:rPr>
            </w:pPr>
            <w:r>
              <w:rPr>
                <w:rFonts w:ascii="Times New Roman" w:cs="Times New Roman" w:eastAsia="Times New Roman" w:hAnsi="Times New Roman"/>
                <w:sz w:val="18"/>
                <w:szCs w:val="18"/>
                <w:b w:val="1"/>
                <w:bCs w:val="1"/>
                <w:color w:val="4A7EBB"/>
              </w:rPr>
              <w:t>●</w:t>
            </w:r>
          </w:p>
        </w:tc>
        <w:tc>
          <w:tcPr>
            <w:tcW w:w="2960" w:type="dxa"/>
            <w:vAlign w:val="bottom"/>
            <w:tcBorders>
              <w:bottom w:val="single" w:sz="8" w:color="4A7EBB"/>
            </w:tcBorders>
          </w:tcPr>
          <w:p>
            <w:pPr>
              <w:ind w:left="120"/>
              <w:spacing w:after="0"/>
              <w:rPr>
                <w:sz w:val="20"/>
                <w:szCs w:val="20"/>
                <w:color w:val="auto"/>
              </w:rPr>
            </w:pPr>
            <w:r>
              <w:rPr>
                <w:rFonts w:ascii="Arial" w:cs="Arial" w:eastAsia="Arial" w:hAnsi="Arial"/>
                <w:sz w:val="18"/>
                <w:szCs w:val="18"/>
                <w:color w:val="auto"/>
              </w:rPr>
              <w:t>Under Armour, Inc.</w:t>
            </w:r>
          </w:p>
        </w:tc>
      </w:tr>
      <w:tr>
        <w:trPr>
          <w:trHeight w:val="210"/>
        </w:trPr>
        <w:tc>
          <w:tcPr>
            <w:tcW w:w="280" w:type="dxa"/>
            <w:vAlign w:val="bottom"/>
            <w:tcBorders>
              <w:bottom w:val="single" w:sz="8" w:color="4A7EBB"/>
            </w:tcBorders>
            <w:shd w:val="clear" w:color="auto" w:fill="F2F2F2"/>
          </w:tcPr>
          <w:p>
            <w:pPr>
              <w:ind w:left="80"/>
              <w:spacing w:after="0"/>
              <w:rPr>
                <w:sz w:val="20"/>
                <w:szCs w:val="20"/>
                <w:color w:val="auto"/>
              </w:rPr>
            </w:pPr>
            <w:r>
              <w:rPr>
                <w:rFonts w:ascii="Times New Roman" w:cs="Times New Roman" w:eastAsia="Times New Roman" w:hAnsi="Times New Roman"/>
                <w:sz w:val="18"/>
                <w:szCs w:val="18"/>
                <w:b w:val="1"/>
                <w:bCs w:val="1"/>
                <w:color w:val="4A7EBB"/>
              </w:rPr>
              <w:t>●</w:t>
            </w:r>
          </w:p>
        </w:tc>
        <w:tc>
          <w:tcPr>
            <w:tcW w:w="2460" w:type="dxa"/>
            <w:vAlign w:val="bottom"/>
            <w:tcBorders>
              <w:bottom w:val="single" w:sz="8" w:color="4A7EBB"/>
            </w:tcBorders>
            <w:shd w:val="clear" w:color="auto" w:fill="F2F2F2"/>
          </w:tcPr>
          <w:p>
            <w:pPr>
              <w:ind w:left="120"/>
              <w:spacing w:after="0"/>
              <w:rPr>
                <w:sz w:val="20"/>
                <w:szCs w:val="20"/>
                <w:color w:val="auto"/>
              </w:rPr>
            </w:pPr>
            <w:r>
              <w:rPr>
                <w:rFonts w:ascii="Arial" w:cs="Arial" w:eastAsia="Arial" w:hAnsi="Arial"/>
                <w:sz w:val="18"/>
                <w:szCs w:val="18"/>
                <w:color w:val="auto"/>
              </w:rPr>
              <w:t>Deckers Outdoor Corp.</w:t>
            </w:r>
          </w:p>
        </w:tc>
        <w:tc>
          <w:tcPr>
            <w:tcW w:w="540" w:type="dxa"/>
            <w:vAlign w:val="bottom"/>
            <w:tcBorders>
              <w:bottom w:val="single" w:sz="8" w:color="4A7EBB"/>
            </w:tcBorders>
            <w:shd w:val="clear" w:color="auto" w:fill="F2F2F2"/>
          </w:tcPr>
          <w:p>
            <w:pPr>
              <w:ind w:left="300"/>
              <w:spacing w:after="0"/>
              <w:rPr>
                <w:sz w:val="20"/>
                <w:szCs w:val="20"/>
                <w:color w:val="auto"/>
              </w:rPr>
            </w:pPr>
            <w:r>
              <w:rPr>
                <w:rFonts w:ascii="Times New Roman" w:cs="Times New Roman" w:eastAsia="Times New Roman" w:hAnsi="Times New Roman"/>
                <w:sz w:val="18"/>
                <w:szCs w:val="18"/>
                <w:b w:val="1"/>
                <w:bCs w:val="1"/>
                <w:color w:val="4A7EBB"/>
              </w:rPr>
              <w:t>●</w:t>
            </w:r>
          </w:p>
        </w:tc>
        <w:tc>
          <w:tcPr>
            <w:tcW w:w="2700" w:type="dxa"/>
            <w:vAlign w:val="bottom"/>
            <w:tcBorders>
              <w:bottom w:val="single" w:sz="8" w:color="4A7EBB"/>
            </w:tcBorders>
            <w:shd w:val="clear" w:color="auto" w:fill="F2F2F2"/>
          </w:tcPr>
          <w:p>
            <w:pPr>
              <w:ind w:left="100"/>
              <w:spacing w:after="0"/>
              <w:rPr>
                <w:sz w:val="20"/>
                <w:szCs w:val="20"/>
                <w:color w:val="auto"/>
              </w:rPr>
            </w:pPr>
            <w:r>
              <w:rPr>
                <w:rFonts w:ascii="Arial" w:cs="Arial" w:eastAsia="Arial" w:hAnsi="Arial"/>
                <w:sz w:val="18"/>
                <w:szCs w:val="18"/>
                <w:color w:val="auto"/>
              </w:rPr>
              <w:t>Skechers USA, Inc.</w:t>
            </w:r>
          </w:p>
        </w:tc>
        <w:tc>
          <w:tcPr>
            <w:tcW w:w="3940" w:type="dxa"/>
            <w:vAlign w:val="bottom"/>
            <w:tcBorders>
              <w:bottom w:val="single" w:sz="8" w:color="4A7EBB"/>
            </w:tcBorders>
            <w:gridSpan w:val="2"/>
            <w:shd w:val="clear" w:color="auto" w:fill="F2F2F2"/>
          </w:tcPr>
          <w:p>
            <w:pPr>
              <w:ind w:left="760"/>
              <w:spacing w:after="0"/>
              <w:rPr>
                <w:sz w:val="20"/>
                <w:szCs w:val="20"/>
                <w:color w:val="auto"/>
              </w:rPr>
            </w:pPr>
            <w:r>
              <w:rPr>
                <w:rFonts w:ascii="Times New Roman" w:cs="Times New Roman" w:eastAsia="Times New Roman" w:hAnsi="Times New Roman"/>
                <w:sz w:val="18"/>
                <w:szCs w:val="18"/>
                <w:b w:val="1"/>
                <w:bCs w:val="1"/>
                <w:color w:val="4A7EBB"/>
              </w:rPr>
              <w:t xml:space="preserve">●  </w:t>
            </w:r>
            <w:r>
              <w:rPr>
                <w:rFonts w:ascii="Arial" w:cs="Arial" w:eastAsia="Arial" w:hAnsi="Arial"/>
                <w:sz w:val="18"/>
                <w:szCs w:val="18"/>
                <w:color w:val="000000"/>
              </w:rPr>
              <w:t>Wolverine World Wide, Inc.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531495</wp:posOffset>
            </wp:positionV>
            <wp:extent cx="629221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7560"/>
        <w:spacing w:after="0"/>
        <w:rPr>
          <w:sz w:val="20"/>
          <w:szCs w:val="20"/>
          <w:color w:val="auto"/>
        </w:rPr>
      </w:pPr>
      <w:r>
        <w:rPr>
          <w:rFonts w:ascii="Arial" w:cs="Arial" w:eastAsia="Arial" w:hAnsi="Arial"/>
          <w:sz w:val="16"/>
          <w:szCs w:val="16"/>
          <w:color w:val="auto"/>
        </w:rPr>
        <w:t xml:space="preserve">2026 PROXY STATEMENT </w:t>
      </w:r>
      <w:r>
        <w:rPr>
          <w:rFonts w:ascii="Arial" w:cs="Arial" w:eastAsia="Arial" w:hAnsi="Arial"/>
          <w:sz w:val="19"/>
          <w:szCs w:val="19"/>
          <w:color w:val="808080"/>
        </w:rPr>
        <w:t>/</w:t>
      </w:r>
      <w:r>
        <w:rPr>
          <w:rFonts w:ascii="Arial" w:cs="Arial" w:eastAsia="Arial" w:hAnsi="Arial"/>
          <w:sz w:val="16"/>
          <w:szCs w:val="16"/>
          <w:color w:val="auto"/>
        </w:rPr>
        <w:t xml:space="preserve"> </w:t>
      </w:r>
      <w:r>
        <w:rPr>
          <w:rFonts w:ascii="Arial" w:cs="Arial" w:eastAsia="Arial" w:hAnsi="Arial"/>
          <w:sz w:val="19"/>
          <w:szCs w:val="19"/>
          <w:b w:val="1"/>
          <w:bCs w:val="1"/>
          <w:color w:val="4A7EBB"/>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365125</wp:posOffset>
            </wp:positionV>
            <wp:extent cx="6292215" cy="254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17780</wp:posOffset>
            </wp:positionV>
            <wp:extent cx="624903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249035" cy="8255"/>
                    </a:xfrm>
                    <a:prstGeom prst="rect">
                      <a:avLst/>
                    </a:prstGeom>
                    <a:noFill/>
                  </pic:spPr>
                </pic:pic>
              </a:graphicData>
            </a:graphic>
          </wp:anchor>
        </w:drawing>
      </w:r>
    </w:p>
    <w:p>
      <w:pPr>
        <w:spacing w:after="0" w:line="21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addition, the Committee reviewed two additional companies which were too large to serve as pay comparators but are sources for practice peer competitive intelligence regarding pay design and practices. The additional companies are:</w:t>
      </w:r>
    </w:p>
    <w:p>
      <w:pPr>
        <w:spacing w:after="0" w:line="177" w:lineRule="exact"/>
        <w:rPr>
          <w:sz w:val="20"/>
          <w:szCs w:val="20"/>
          <w:color w:val="auto"/>
        </w:rPr>
      </w:pPr>
    </w:p>
    <w:p>
      <w:pPr>
        <w:ind w:left="1660"/>
        <w:spacing w:after="0"/>
        <w:tabs>
          <w:tab w:leader="none" w:pos="1960" w:val="left"/>
          <w:tab w:leader="none" w:pos="4660" w:val="left"/>
          <w:tab w:leader="none" w:pos="4980" w:val="left"/>
        </w:tabs>
        <w:rPr>
          <w:sz w:val="20"/>
          <w:szCs w:val="20"/>
          <w:color w:val="auto"/>
        </w:rPr>
      </w:pPr>
      <w:r>
        <w:rPr>
          <w:rFonts w:ascii="Times New Roman" w:cs="Times New Roman" w:eastAsia="Times New Roman" w:hAnsi="Times New Roman"/>
          <w:sz w:val="18"/>
          <w:szCs w:val="18"/>
          <w:b w:val="1"/>
          <w:bCs w:val="1"/>
          <w:color w:val="4A7EBB"/>
        </w:rPr>
        <w:t>●</w:t>
      </w:r>
      <w:r>
        <w:rPr>
          <w:sz w:val="20"/>
          <w:szCs w:val="20"/>
          <w:color w:val="auto"/>
        </w:rPr>
        <w:tab/>
      </w:r>
      <w:r>
        <w:rPr>
          <w:rFonts w:ascii="Arial" w:cs="Arial" w:eastAsia="Arial" w:hAnsi="Arial"/>
          <w:sz w:val="18"/>
          <w:szCs w:val="18"/>
          <w:color w:val="auto"/>
        </w:rPr>
        <w:t>PVH Corp.</w:t>
      </w:r>
      <w:r>
        <w:rPr>
          <w:sz w:val="20"/>
          <w:szCs w:val="20"/>
          <w:color w:val="auto"/>
        </w:rPr>
        <w:tab/>
      </w:r>
      <w:r>
        <w:rPr>
          <w:rFonts w:ascii="Times New Roman" w:cs="Times New Roman" w:eastAsia="Times New Roman" w:hAnsi="Times New Roman"/>
          <w:sz w:val="18"/>
          <w:szCs w:val="18"/>
          <w:b w:val="1"/>
          <w:bCs w:val="1"/>
          <w:color w:val="4A7EBB"/>
        </w:rPr>
        <w:t>●</w:t>
      </w:r>
      <w:r>
        <w:rPr>
          <w:sz w:val="20"/>
          <w:szCs w:val="20"/>
          <w:color w:val="auto"/>
        </w:rPr>
        <w:tab/>
      </w:r>
      <w:r>
        <w:rPr>
          <w:rFonts w:ascii="Arial" w:cs="Arial" w:eastAsia="Arial" w:hAnsi="Arial"/>
          <w:sz w:val="17"/>
          <w:szCs w:val="17"/>
          <w:color w:val="auto"/>
        </w:rPr>
        <w:t>VF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19685</wp:posOffset>
            </wp:positionV>
            <wp:extent cx="426910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4269105" cy="8255"/>
                    </a:xfrm>
                    <a:prstGeom prst="rect">
                      <a:avLst/>
                    </a:prstGeom>
                    <a:noFill/>
                  </pic:spPr>
                </pic:pic>
              </a:graphicData>
            </a:graphic>
          </wp:anchor>
        </w:drawing>
        <w:drawing>
          <wp:anchor simplePos="0" relativeHeight="251657728" behindDoc="1" locked="0" layoutInCell="0" allowOverlap="1">
            <wp:simplePos x="0" y="0"/>
            <wp:positionH relativeFrom="column">
              <wp:posOffset>1017270</wp:posOffset>
            </wp:positionH>
            <wp:positionV relativeFrom="paragraph">
              <wp:posOffset>-125095</wp:posOffset>
            </wp:positionV>
            <wp:extent cx="426910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4269105" cy="8890"/>
                    </a:xfrm>
                    <a:prstGeom prst="rect">
                      <a:avLst/>
                    </a:prstGeom>
                    <a:noFill/>
                  </pic:spPr>
                </pic:pic>
              </a:graphicData>
            </a:graphic>
          </wp:anchor>
        </w:drawing>
      </w:r>
    </w:p>
    <w:p>
      <w:pPr>
        <w:spacing w:after="0" w:line="19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median annual revenues of the companies in our compensation peer group are $4.7 billion for a trailing 12-month period compared to $3.0 billion for G-III in fiscal 2026.</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CONSIDERATION OF RISK</w:t>
      </w:r>
    </w:p>
    <w:p>
      <w:pPr>
        <w:spacing w:after="0" w:line="17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Compensation Committee considers risk in its deliberations regarding pay levels and practices and believes that G-III’s compensation policies and practices do not create risks that are reasonably likely to have a material adverse effect on G-III.</w:t>
      </w:r>
    </w:p>
    <w:p>
      <w:pPr>
        <w:spacing w:after="0" w:line="138" w:lineRule="exact"/>
        <w:rPr>
          <w:sz w:val="20"/>
          <w:szCs w:val="20"/>
          <w:color w:val="auto"/>
        </w:rPr>
      </w:pPr>
    </w:p>
    <w:p>
      <w:pPr>
        <w:spacing w:after="0"/>
        <w:rPr>
          <w:sz w:val="20"/>
          <w:szCs w:val="20"/>
          <w:color w:val="auto"/>
        </w:rPr>
      </w:pPr>
      <w:r>
        <w:rPr>
          <w:rFonts w:ascii="Arial" w:cs="Arial" w:eastAsia="Arial" w:hAnsi="Arial"/>
          <w:sz w:val="29"/>
          <w:szCs w:val="29"/>
          <w:b w:val="1"/>
          <w:bCs w:val="1"/>
          <w:color w:val="4A7EBB"/>
        </w:rPr>
        <w:t>Compensation Committee Report</w:t>
      </w:r>
    </w:p>
    <w:p>
      <w:pPr>
        <w:spacing w:after="0" w:line="20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Compensation Committee has reviewed and discussed the Compensation Discussion and Analysis required by Item 402(b) of Regulation S-K with management, and based upon such review and discussions, the Compensation Committee recommended to the Board of Directors that the Compensation Discussion and Analysis be included in this Proxy Statement.</w:t>
      </w:r>
    </w:p>
    <w:p>
      <w:pPr>
        <w:spacing w:after="0" w:line="187" w:lineRule="exact"/>
        <w:rPr>
          <w:sz w:val="20"/>
          <w:szCs w:val="20"/>
          <w:color w:val="auto"/>
        </w:rPr>
      </w:pPr>
    </w:p>
    <w:p>
      <w:pPr>
        <w:ind w:left="6220"/>
        <w:spacing w:after="0"/>
        <w:rPr>
          <w:sz w:val="20"/>
          <w:szCs w:val="20"/>
          <w:color w:val="auto"/>
        </w:rPr>
      </w:pPr>
      <w:r>
        <w:rPr>
          <w:rFonts w:ascii="Arial" w:cs="Arial" w:eastAsia="Arial" w:hAnsi="Arial"/>
          <w:sz w:val="18"/>
          <w:szCs w:val="18"/>
          <w:b w:val="1"/>
          <w:bCs w:val="1"/>
          <w:color w:val="auto"/>
        </w:rPr>
        <w:t>Compensation Committee</w:t>
      </w:r>
    </w:p>
    <w:p>
      <w:pPr>
        <w:spacing w:after="0" w:line="198"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Richard White, Chairman</w:t>
      </w:r>
    </w:p>
    <w:p>
      <w:pPr>
        <w:spacing w:after="0" w:line="9"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Thomas J. Brosig</w:t>
      </w:r>
    </w:p>
    <w:p>
      <w:pPr>
        <w:ind w:left="6220"/>
        <w:spacing w:after="0" w:line="234" w:lineRule="auto"/>
        <w:rPr>
          <w:sz w:val="20"/>
          <w:szCs w:val="20"/>
          <w:color w:val="auto"/>
        </w:rPr>
      </w:pPr>
      <w:r>
        <w:rPr>
          <w:rFonts w:ascii="Arial" w:cs="Arial" w:eastAsia="Arial" w:hAnsi="Arial"/>
          <w:sz w:val="18"/>
          <w:szCs w:val="18"/>
          <w:color w:val="auto"/>
        </w:rPr>
        <w:t>Patti H. Ongman</w:t>
      </w:r>
    </w:p>
    <w:p>
      <w:pPr>
        <w:spacing w:after="0" w:line="1"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Laura Pomerantz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306070</wp:posOffset>
            </wp:positionV>
            <wp:extent cx="629221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288925</wp:posOffset>
            </wp:positionH>
            <wp:positionV relativeFrom="paragraph">
              <wp:posOffset>357505</wp:posOffset>
            </wp:positionV>
            <wp:extent cx="265430" cy="14605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65430" cy="14605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20"/>
          <w:szCs w:val="20"/>
          <w:b w:val="1"/>
          <w:bCs w:val="1"/>
          <w:color w:val="4A7EBB"/>
        </w:rPr>
        <w:t xml:space="preserve">38 </w:t>
      </w:r>
      <w:r>
        <w:rPr>
          <w:rFonts w:ascii="Arial" w:cs="Arial" w:eastAsia="Arial" w:hAnsi="Arial"/>
          <w:sz w:val="20"/>
          <w:szCs w:val="20"/>
          <w:color w:val="80808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EXECUTIVE COMPENSATION TABLES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4A7EBB"/>
        </w:rPr>
        <w:t>FISCAL 2026 SUMMARY COMPENSATION TABLE</w:t>
      </w:r>
    </w:p>
    <w:p>
      <w:pPr>
        <w:spacing w:after="0" w:line="17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following table sets forth information concerning the total compensation paid to or earned by our Chief Executive Officer, Chief Financial Officer and each of the three other most highly compensated executive officers (collectively, “Named Executive Officers”, individually, a “Named Executive Officer”), based on fiscal 2026 total compensation. The table sets forth compensation information for the last three completed fiscal years ended January 31 in each year for services in all capacities to us and our subsidiaries.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2380" w:type="dxa"/>
            <w:vAlign w:val="bottom"/>
            <w:tcBorders>
              <w:top w:val="single" w:sz="8" w:color="4A7EBB"/>
            </w:tcBorders>
            <w:shd w:val="clear" w:color="auto" w:fill="DBE5F1"/>
          </w:tcPr>
          <w:p>
            <w:pPr>
              <w:spacing w:after="0"/>
              <w:rPr>
                <w:sz w:val="11"/>
                <w:szCs w:val="11"/>
                <w:color w:val="auto"/>
              </w:rPr>
            </w:pPr>
          </w:p>
        </w:tc>
        <w:tc>
          <w:tcPr>
            <w:tcW w:w="580" w:type="dxa"/>
            <w:vAlign w:val="bottom"/>
            <w:tcBorders>
              <w:top w:val="single" w:sz="8" w:color="4A7EBB"/>
            </w:tcBorders>
            <w:shd w:val="clear" w:color="auto" w:fill="DBE5F1"/>
          </w:tcPr>
          <w:p>
            <w:pPr>
              <w:ind w:left="80"/>
              <w:spacing w:after="0" w:line="131" w:lineRule="exact"/>
              <w:rPr>
                <w:sz w:val="20"/>
                <w:szCs w:val="20"/>
                <w:color w:val="auto"/>
              </w:rPr>
            </w:pPr>
            <w:r>
              <w:rPr>
                <w:rFonts w:ascii="Arial" w:cs="Arial" w:eastAsia="Arial" w:hAnsi="Arial"/>
                <w:sz w:val="13"/>
                <w:szCs w:val="13"/>
                <w:color w:val="auto"/>
              </w:rPr>
              <w:t>​</w:t>
            </w:r>
          </w:p>
        </w:tc>
        <w:tc>
          <w:tcPr>
            <w:tcW w:w="460" w:type="dxa"/>
            <w:vAlign w:val="bottom"/>
            <w:tcBorders>
              <w:top w:val="single" w:sz="8" w:color="4A7EBB"/>
            </w:tcBorders>
            <w:shd w:val="clear" w:color="auto" w:fill="DBE5F1"/>
          </w:tcPr>
          <w:p>
            <w:pPr>
              <w:ind w:left="80"/>
              <w:spacing w:after="0" w:line="131" w:lineRule="exact"/>
              <w:rPr>
                <w:sz w:val="20"/>
                <w:szCs w:val="20"/>
                <w:color w:val="auto"/>
              </w:rPr>
            </w:pPr>
            <w:r>
              <w:rPr>
                <w:rFonts w:ascii="Arial" w:cs="Arial" w:eastAsia="Arial" w:hAnsi="Arial"/>
                <w:sz w:val="13"/>
                <w:szCs w:val="13"/>
                <w:color w:val="auto"/>
              </w:rPr>
              <w:t>​</w:t>
            </w:r>
          </w:p>
        </w:tc>
        <w:tc>
          <w:tcPr>
            <w:tcW w:w="740" w:type="dxa"/>
            <w:vAlign w:val="bottom"/>
            <w:tcBorders>
              <w:top w:val="single" w:sz="8" w:color="4A7EBB"/>
            </w:tcBorders>
            <w:shd w:val="clear" w:color="auto" w:fill="DBE5F1"/>
          </w:tcPr>
          <w:p>
            <w:pPr>
              <w:jc w:val="right"/>
              <w:ind w:right="579"/>
              <w:spacing w:after="0" w:line="131" w:lineRule="exact"/>
              <w:rPr>
                <w:sz w:val="20"/>
                <w:szCs w:val="20"/>
                <w:color w:val="auto"/>
              </w:rPr>
            </w:pPr>
            <w:r>
              <w:rPr>
                <w:rFonts w:ascii="Arial" w:cs="Arial" w:eastAsia="Arial" w:hAnsi="Arial"/>
                <w:sz w:val="13"/>
                <w:szCs w:val="13"/>
                <w:color w:val="auto"/>
              </w:rPr>
              <w:t>​</w:t>
            </w:r>
          </w:p>
        </w:tc>
        <w:tc>
          <w:tcPr>
            <w:tcW w:w="720" w:type="dxa"/>
            <w:vAlign w:val="bottom"/>
            <w:tcBorders>
              <w:top w:val="single" w:sz="8" w:color="4A7EBB"/>
            </w:tcBorders>
            <w:shd w:val="clear" w:color="auto" w:fill="DBE5F1"/>
          </w:tcPr>
          <w:p>
            <w:pPr>
              <w:jc w:val="right"/>
              <w:ind w:right="558"/>
              <w:spacing w:after="0" w:line="131" w:lineRule="exact"/>
              <w:rPr>
                <w:sz w:val="20"/>
                <w:szCs w:val="20"/>
                <w:color w:val="auto"/>
              </w:rPr>
            </w:pPr>
            <w:r>
              <w:rPr>
                <w:rFonts w:ascii="Arial" w:cs="Arial" w:eastAsia="Arial" w:hAnsi="Arial"/>
                <w:sz w:val="13"/>
                <w:szCs w:val="13"/>
                <w:color w:val="auto"/>
              </w:rPr>
              <w:t>​</w:t>
            </w:r>
          </w:p>
        </w:tc>
        <w:tc>
          <w:tcPr>
            <w:tcW w:w="800" w:type="dxa"/>
            <w:vAlign w:val="bottom"/>
            <w:tcBorders>
              <w:top w:val="single" w:sz="8" w:color="4A7EBB"/>
            </w:tcBorders>
            <w:shd w:val="clear" w:color="auto" w:fill="DBE5F1"/>
          </w:tcPr>
          <w:p>
            <w:pPr>
              <w:jc w:val="right"/>
              <w:ind w:right="639"/>
              <w:spacing w:after="0" w:line="131" w:lineRule="exact"/>
              <w:rPr>
                <w:sz w:val="20"/>
                <w:szCs w:val="20"/>
                <w:color w:val="auto"/>
              </w:rPr>
            </w:pPr>
            <w:r>
              <w:rPr>
                <w:rFonts w:ascii="Arial" w:cs="Arial" w:eastAsia="Arial" w:hAnsi="Arial"/>
                <w:sz w:val="13"/>
                <w:szCs w:val="13"/>
                <w:color w:val="auto"/>
              </w:rPr>
              <w:t>​</w:t>
            </w:r>
          </w:p>
        </w:tc>
        <w:tc>
          <w:tcPr>
            <w:tcW w:w="560" w:type="dxa"/>
            <w:vAlign w:val="bottom"/>
            <w:tcBorders>
              <w:top w:val="single" w:sz="8" w:color="4A7EBB"/>
            </w:tcBorders>
            <w:shd w:val="clear" w:color="auto" w:fill="DBE5F1"/>
          </w:tcPr>
          <w:p>
            <w:pPr>
              <w:ind w:left="60"/>
              <w:spacing w:after="0" w:line="131" w:lineRule="exact"/>
              <w:rPr>
                <w:sz w:val="20"/>
                <w:szCs w:val="20"/>
                <w:color w:val="auto"/>
              </w:rPr>
            </w:pPr>
            <w:r>
              <w:rPr>
                <w:rFonts w:ascii="Arial" w:cs="Arial" w:eastAsia="Arial" w:hAnsi="Arial"/>
                <w:sz w:val="13"/>
                <w:szCs w:val="13"/>
                <w:color w:val="auto"/>
              </w:rPr>
              <w:t>​</w:t>
            </w:r>
          </w:p>
        </w:tc>
        <w:tc>
          <w:tcPr>
            <w:tcW w:w="980" w:type="dxa"/>
            <w:vAlign w:val="bottom"/>
            <w:tcBorders>
              <w:top w:val="single" w:sz="8" w:color="4A7EBB"/>
            </w:tcBorders>
            <w:shd w:val="clear" w:color="auto" w:fill="DBE5F1"/>
          </w:tcPr>
          <w:p>
            <w:pPr>
              <w:jc w:val="right"/>
              <w:ind w:right="838"/>
              <w:spacing w:after="0" w:line="131" w:lineRule="exact"/>
              <w:rPr>
                <w:sz w:val="20"/>
                <w:szCs w:val="20"/>
                <w:color w:val="auto"/>
              </w:rPr>
            </w:pPr>
            <w:r>
              <w:rPr>
                <w:rFonts w:ascii="Arial" w:cs="Arial" w:eastAsia="Arial" w:hAnsi="Arial"/>
                <w:sz w:val="13"/>
                <w:szCs w:val="13"/>
                <w:color w:val="auto"/>
              </w:rPr>
              <w:t>​</w:t>
            </w:r>
          </w:p>
        </w:tc>
        <w:tc>
          <w:tcPr>
            <w:tcW w:w="960" w:type="dxa"/>
            <w:vAlign w:val="bottom"/>
            <w:tcBorders>
              <w:top w:val="single" w:sz="8" w:color="4A7EBB"/>
            </w:tcBorders>
            <w:shd w:val="clear" w:color="auto" w:fill="DBE5F1"/>
          </w:tcPr>
          <w:p>
            <w:pPr>
              <w:ind w:left="40"/>
              <w:spacing w:after="0" w:line="131" w:lineRule="exact"/>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b w:val="1"/>
                <w:bCs w:val="1"/>
                <w:color w:val="auto"/>
              </w:rPr>
              <w:t>Change in</w:t>
            </w:r>
          </w:p>
        </w:tc>
        <w:tc>
          <w:tcPr>
            <w:tcW w:w="980" w:type="dxa"/>
            <w:vAlign w:val="bottom"/>
            <w:tcBorders>
              <w:top w:val="single" w:sz="8" w:color="4A7EBB"/>
            </w:tcBorders>
            <w:shd w:val="clear" w:color="auto" w:fill="DBE5F1"/>
          </w:tcPr>
          <w:p>
            <w:pPr>
              <w:jc w:val="right"/>
              <w:ind w:right="839"/>
              <w:spacing w:after="0" w:line="131" w:lineRule="exact"/>
              <w:rPr>
                <w:sz w:val="20"/>
                <w:szCs w:val="20"/>
                <w:color w:val="auto"/>
              </w:rPr>
            </w:pPr>
            <w:r>
              <w:rPr>
                <w:rFonts w:ascii="Arial" w:cs="Arial" w:eastAsia="Arial" w:hAnsi="Arial"/>
                <w:sz w:val="13"/>
                <w:szCs w:val="13"/>
                <w:color w:val="auto"/>
              </w:rPr>
              <w:t>​</w:t>
            </w:r>
          </w:p>
        </w:tc>
        <w:tc>
          <w:tcPr>
            <w:tcW w:w="760" w:type="dxa"/>
            <w:vAlign w:val="bottom"/>
            <w:tcBorders>
              <w:top w:val="single" w:sz="8" w:color="4A7EBB"/>
            </w:tcBorders>
            <w:shd w:val="clear" w:color="auto" w:fill="DBE5F1"/>
          </w:tcPr>
          <w:p>
            <w:pPr>
              <w:jc w:val="right"/>
              <w:ind w:right="619"/>
              <w:spacing w:after="0" w:line="131" w:lineRule="exact"/>
              <w:rPr>
                <w:sz w:val="20"/>
                <w:szCs w:val="20"/>
                <w:color w:val="auto"/>
              </w:rPr>
            </w:pPr>
            <w:r>
              <w:rPr>
                <w:rFonts w:ascii="Arial" w:cs="Arial" w:eastAsia="Arial" w:hAnsi="Arial"/>
                <w:sz w:val="13"/>
                <w:szCs w:val="13"/>
                <w:color w:val="auto"/>
              </w:rPr>
              <w:t>​</w:t>
            </w:r>
          </w:p>
        </w:tc>
      </w:tr>
      <w:tr>
        <w:trPr>
          <w:trHeight w:val="135"/>
        </w:trPr>
        <w:tc>
          <w:tcPr>
            <w:tcW w:w="2380" w:type="dxa"/>
            <w:vAlign w:val="bottom"/>
            <w:shd w:val="clear" w:color="auto" w:fill="DBE5F1"/>
          </w:tcPr>
          <w:p>
            <w:pPr>
              <w:spacing w:after="0"/>
              <w:rPr>
                <w:sz w:val="11"/>
                <w:szCs w:val="11"/>
                <w:color w:val="auto"/>
              </w:rPr>
            </w:pPr>
          </w:p>
        </w:tc>
        <w:tc>
          <w:tcPr>
            <w:tcW w:w="580" w:type="dxa"/>
            <w:vAlign w:val="bottom"/>
            <w:shd w:val="clear" w:color="auto" w:fill="DBE5F1"/>
          </w:tcPr>
          <w:p>
            <w:pPr>
              <w:spacing w:after="0"/>
              <w:rPr>
                <w:sz w:val="11"/>
                <w:szCs w:val="11"/>
                <w:color w:val="auto"/>
              </w:rPr>
            </w:pPr>
          </w:p>
        </w:tc>
        <w:tc>
          <w:tcPr>
            <w:tcW w:w="460" w:type="dxa"/>
            <w:vAlign w:val="bottom"/>
            <w:shd w:val="clear" w:color="auto" w:fill="DBE5F1"/>
          </w:tcPr>
          <w:p>
            <w:pPr>
              <w:spacing w:after="0"/>
              <w:rPr>
                <w:sz w:val="11"/>
                <w:szCs w:val="11"/>
                <w:color w:val="auto"/>
              </w:rPr>
            </w:pPr>
          </w:p>
        </w:tc>
        <w:tc>
          <w:tcPr>
            <w:tcW w:w="740" w:type="dxa"/>
            <w:vAlign w:val="bottom"/>
            <w:shd w:val="clear" w:color="auto" w:fill="DBE5F1"/>
          </w:tcPr>
          <w:p>
            <w:pPr>
              <w:spacing w:after="0"/>
              <w:rPr>
                <w:sz w:val="11"/>
                <w:szCs w:val="11"/>
                <w:color w:val="auto"/>
              </w:rPr>
            </w:pPr>
          </w:p>
        </w:tc>
        <w:tc>
          <w:tcPr>
            <w:tcW w:w="720" w:type="dxa"/>
            <w:vAlign w:val="bottom"/>
            <w:shd w:val="clear" w:color="auto" w:fill="DBE5F1"/>
          </w:tcPr>
          <w:p>
            <w:pPr>
              <w:spacing w:after="0"/>
              <w:rPr>
                <w:sz w:val="11"/>
                <w:szCs w:val="11"/>
                <w:color w:val="auto"/>
              </w:rPr>
            </w:pPr>
          </w:p>
        </w:tc>
        <w:tc>
          <w:tcPr>
            <w:tcW w:w="800" w:type="dxa"/>
            <w:vAlign w:val="bottom"/>
            <w:shd w:val="clear" w:color="auto" w:fill="DBE5F1"/>
          </w:tcPr>
          <w:p>
            <w:pPr>
              <w:spacing w:after="0"/>
              <w:rPr>
                <w:sz w:val="11"/>
                <w:szCs w:val="11"/>
                <w:color w:val="auto"/>
              </w:rPr>
            </w:pPr>
          </w:p>
        </w:tc>
        <w:tc>
          <w:tcPr>
            <w:tcW w:w="560" w:type="dxa"/>
            <w:vAlign w:val="bottom"/>
            <w:shd w:val="clear" w:color="auto" w:fill="DBE5F1"/>
          </w:tcPr>
          <w:p>
            <w:pPr>
              <w:spacing w:after="0"/>
              <w:rPr>
                <w:sz w:val="11"/>
                <w:szCs w:val="11"/>
                <w:color w:val="auto"/>
              </w:rPr>
            </w:pPr>
          </w:p>
        </w:tc>
        <w:tc>
          <w:tcPr>
            <w:tcW w:w="980" w:type="dxa"/>
            <w:vAlign w:val="bottom"/>
            <w:shd w:val="clear" w:color="auto" w:fill="DBE5F1"/>
          </w:tcPr>
          <w:p>
            <w:pPr>
              <w:spacing w:after="0"/>
              <w:rPr>
                <w:sz w:val="11"/>
                <w:szCs w:val="11"/>
                <w:color w:val="auto"/>
              </w:rPr>
            </w:pPr>
          </w:p>
        </w:tc>
        <w:tc>
          <w:tcPr>
            <w:tcW w:w="960" w:type="dxa"/>
            <w:vAlign w:val="bottom"/>
            <w:shd w:val="clear" w:color="auto" w:fill="DBE5F1"/>
          </w:tcPr>
          <w:p>
            <w:pPr>
              <w:jc w:val="center"/>
              <w:spacing w:after="0" w:line="135" w:lineRule="exact"/>
              <w:rPr>
                <w:sz w:val="20"/>
                <w:szCs w:val="20"/>
                <w:color w:val="auto"/>
              </w:rPr>
            </w:pPr>
            <w:r>
              <w:rPr>
                <w:rFonts w:ascii="Arial" w:cs="Arial" w:eastAsia="Arial" w:hAnsi="Arial"/>
                <w:sz w:val="13"/>
                <w:szCs w:val="13"/>
                <w:b w:val="1"/>
                <w:bCs w:val="1"/>
                <w:color w:val="auto"/>
                <w:w w:val="94"/>
              </w:rPr>
              <w:t>Pension</w:t>
            </w:r>
          </w:p>
        </w:tc>
        <w:tc>
          <w:tcPr>
            <w:tcW w:w="980" w:type="dxa"/>
            <w:vAlign w:val="bottom"/>
            <w:shd w:val="clear" w:color="auto" w:fill="DBE5F1"/>
          </w:tcPr>
          <w:p>
            <w:pPr>
              <w:spacing w:after="0"/>
              <w:rPr>
                <w:sz w:val="11"/>
                <w:szCs w:val="11"/>
                <w:color w:val="auto"/>
              </w:rPr>
            </w:pPr>
          </w:p>
        </w:tc>
        <w:tc>
          <w:tcPr>
            <w:tcW w:w="760" w:type="dxa"/>
            <w:vAlign w:val="bottom"/>
            <w:shd w:val="clear" w:color="auto" w:fill="DBE5F1"/>
          </w:tcPr>
          <w:p>
            <w:pPr>
              <w:spacing w:after="0"/>
              <w:rPr>
                <w:sz w:val="11"/>
                <w:szCs w:val="11"/>
                <w:color w:val="auto"/>
              </w:rPr>
            </w:pPr>
          </w:p>
        </w:tc>
      </w:tr>
      <w:tr>
        <w:trPr>
          <w:trHeight w:val="135"/>
        </w:trPr>
        <w:tc>
          <w:tcPr>
            <w:tcW w:w="2380" w:type="dxa"/>
            <w:vAlign w:val="bottom"/>
            <w:shd w:val="clear" w:color="auto" w:fill="DBE5F1"/>
          </w:tcPr>
          <w:p>
            <w:pPr>
              <w:spacing w:after="0"/>
              <w:rPr>
                <w:sz w:val="11"/>
                <w:szCs w:val="11"/>
                <w:color w:val="auto"/>
              </w:rPr>
            </w:pPr>
          </w:p>
        </w:tc>
        <w:tc>
          <w:tcPr>
            <w:tcW w:w="580" w:type="dxa"/>
            <w:vAlign w:val="bottom"/>
            <w:shd w:val="clear" w:color="auto" w:fill="DBE5F1"/>
          </w:tcPr>
          <w:p>
            <w:pPr>
              <w:spacing w:after="0"/>
              <w:rPr>
                <w:sz w:val="11"/>
                <w:szCs w:val="11"/>
                <w:color w:val="auto"/>
              </w:rPr>
            </w:pPr>
          </w:p>
        </w:tc>
        <w:tc>
          <w:tcPr>
            <w:tcW w:w="460" w:type="dxa"/>
            <w:vAlign w:val="bottom"/>
            <w:shd w:val="clear" w:color="auto" w:fill="DBE5F1"/>
          </w:tcPr>
          <w:p>
            <w:pPr>
              <w:spacing w:after="0"/>
              <w:rPr>
                <w:sz w:val="11"/>
                <w:szCs w:val="11"/>
                <w:color w:val="auto"/>
              </w:rPr>
            </w:pPr>
          </w:p>
        </w:tc>
        <w:tc>
          <w:tcPr>
            <w:tcW w:w="740" w:type="dxa"/>
            <w:vAlign w:val="bottom"/>
            <w:shd w:val="clear" w:color="auto" w:fill="DBE5F1"/>
          </w:tcPr>
          <w:p>
            <w:pPr>
              <w:spacing w:after="0"/>
              <w:rPr>
                <w:sz w:val="11"/>
                <w:szCs w:val="11"/>
                <w:color w:val="auto"/>
              </w:rPr>
            </w:pPr>
          </w:p>
        </w:tc>
        <w:tc>
          <w:tcPr>
            <w:tcW w:w="720" w:type="dxa"/>
            <w:vAlign w:val="bottom"/>
            <w:shd w:val="clear" w:color="auto" w:fill="DBE5F1"/>
          </w:tcPr>
          <w:p>
            <w:pPr>
              <w:spacing w:after="0"/>
              <w:rPr>
                <w:sz w:val="11"/>
                <w:szCs w:val="11"/>
                <w:color w:val="auto"/>
              </w:rPr>
            </w:pPr>
          </w:p>
        </w:tc>
        <w:tc>
          <w:tcPr>
            <w:tcW w:w="800" w:type="dxa"/>
            <w:vAlign w:val="bottom"/>
            <w:shd w:val="clear" w:color="auto" w:fill="DBE5F1"/>
          </w:tcPr>
          <w:p>
            <w:pPr>
              <w:spacing w:after="0"/>
              <w:rPr>
                <w:sz w:val="11"/>
                <w:szCs w:val="11"/>
                <w:color w:val="auto"/>
              </w:rPr>
            </w:pPr>
          </w:p>
        </w:tc>
        <w:tc>
          <w:tcPr>
            <w:tcW w:w="560" w:type="dxa"/>
            <w:vAlign w:val="bottom"/>
            <w:shd w:val="clear" w:color="auto" w:fill="DBE5F1"/>
          </w:tcPr>
          <w:p>
            <w:pPr>
              <w:spacing w:after="0"/>
              <w:rPr>
                <w:sz w:val="11"/>
                <w:szCs w:val="11"/>
                <w:color w:val="auto"/>
              </w:rPr>
            </w:pPr>
          </w:p>
        </w:tc>
        <w:tc>
          <w:tcPr>
            <w:tcW w:w="980" w:type="dxa"/>
            <w:vAlign w:val="bottom"/>
            <w:shd w:val="clear" w:color="auto" w:fill="DBE5F1"/>
          </w:tcPr>
          <w:p>
            <w:pPr>
              <w:spacing w:after="0"/>
              <w:rPr>
                <w:sz w:val="11"/>
                <w:szCs w:val="11"/>
                <w:color w:val="auto"/>
              </w:rPr>
            </w:pPr>
          </w:p>
        </w:tc>
        <w:tc>
          <w:tcPr>
            <w:tcW w:w="960" w:type="dxa"/>
            <w:vAlign w:val="bottom"/>
            <w:shd w:val="clear" w:color="auto" w:fill="DBE5F1"/>
          </w:tcPr>
          <w:p>
            <w:pPr>
              <w:jc w:val="center"/>
              <w:spacing w:after="0" w:line="135" w:lineRule="exact"/>
              <w:rPr>
                <w:sz w:val="20"/>
                <w:szCs w:val="20"/>
                <w:color w:val="auto"/>
              </w:rPr>
            </w:pPr>
            <w:r>
              <w:rPr>
                <w:rFonts w:ascii="Arial" w:cs="Arial" w:eastAsia="Arial" w:hAnsi="Arial"/>
                <w:sz w:val="13"/>
                <w:szCs w:val="13"/>
                <w:b w:val="1"/>
                <w:bCs w:val="1"/>
                <w:color w:val="auto"/>
                <w:w w:val="94"/>
              </w:rPr>
              <w:t>Value and</w:t>
            </w:r>
          </w:p>
        </w:tc>
        <w:tc>
          <w:tcPr>
            <w:tcW w:w="980" w:type="dxa"/>
            <w:vAlign w:val="bottom"/>
            <w:shd w:val="clear" w:color="auto" w:fill="DBE5F1"/>
          </w:tcPr>
          <w:p>
            <w:pPr>
              <w:spacing w:after="0"/>
              <w:rPr>
                <w:sz w:val="11"/>
                <w:szCs w:val="11"/>
                <w:color w:val="auto"/>
              </w:rPr>
            </w:pPr>
          </w:p>
        </w:tc>
        <w:tc>
          <w:tcPr>
            <w:tcW w:w="760" w:type="dxa"/>
            <w:vAlign w:val="bottom"/>
            <w:shd w:val="clear" w:color="auto" w:fill="DBE5F1"/>
          </w:tcPr>
          <w:p>
            <w:pPr>
              <w:spacing w:after="0"/>
              <w:rPr>
                <w:sz w:val="11"/>
                <w:szCs w:val="11"/>
                <w:color w:val="auto"/>
              </w:rPr>
            </w:pPr>
          </w:p>
        </w:tc>
      </w:tr>
      <w:tr>
        <w:trPr>
          <w:trHeight w:val="135"/>
        </w:trPr>
        <w:tc>
          <w:tcPr>
            <w:tcW w:w="2380" w:type="dxa"/>
            <w:vAlign w:val="bottom"/>
            <w:shd w:val="clear" w:color="auto" w:fill="DBE5F1"/>
          </w:tcPr>
          <w:p>
            <w:pPr>
              <w:spacing w:after="0"/>
              <w:rPr>
                <w:sz w:val="11"/>
                <w:szCs w:val="11"/>
                <w:color w:val="auto"/>
              </w:rPr>
            </w:pPr>
          </w:p>
        </w:tc>
        <w:tc>
          <w:tcPr>
            <w:tcW w:w="580" w:type="dxa"/>
            <w:vAlign w:val="bottom"/>
            <w:shd w:val="clear" w:color="auto" w:fill="DBE5F1"/>
          </w:tcPr>
          <w:p>
            <w:pPr>
              <w:spacing w:after="0"/>
              <w:rPr>
                <w:sz w:val="11"/>
                <w:szCs w:val="11"/>
                <w:color w:val="auto"/>
              </w:rPr>
            </w:pPr>
          </w:p>
        </w:tc>
        <w:tc>
          <w:tcPr>
            <w:tcW w:w="460" w:type="dxa"/>
            <w:vAlign w:val="bottom"/>
            <w:shd w:val="clear" w:color="auto" w:fill="DBE5F1"/>
          </w:tcPr>
          <w:p>
            <w:pPr>
              <w:spacing w:after="0"/>
              <w:rPr>
                <w:sz w:val="11"/>
                <w:szCs w:val="11"/>
                <w:color w:val="auto"/>
              </w:rPr>
            </w:pPr>
          </w:p>
        </w:tc>
        <w:tc>
          <w:tcPr>
            <w:tcW w:w="740" w:type="dxa"/>
            <w:vAlign w:val="bottom"/>
            <w:shd w:val="clear" w:color="auto" w:fill="DBE5F1"/>
          </w:tcPr>
          <w:p>
            <w:pPr>
              <w:spacing w:after="0"/>
              <w:rPr>
                <w:sz w:val="11"/>
                <w:szCs w:val="11"/>
                <w:color w:val="auto"/>
              </w:rPr>
            </w:pPr>
          </w:p>
        </w:tc>
        <w:tc>
          <w:tcPr>
            <w:tcW w:w="720" w:type="dxa"/>
            <w:vAlign w:val="bottom"/>
            <w:shd w:val="clear" w:color="auto" w:fill="DBE5F1"/>
          </w:tcPr>
          <w:p>
            <w:pPr>
              <w:spacing w:after="0"/>
              <w:rPr>
                <w:sz w:val="11"/>
                <w:szCs w:val="11"/>
                <w:color w:val="auto"/>
              </w:rPr>
            </w:pPr>
          </w:p>
        </w:tc>
        <w:tc>
          <w:tcPr>
            <w:tcW w:w="800" w:type="dxa"/>
            <w:vAlign w:val="bottom"/>
            <w:shd w:val="clear" w:color="auto" w:fill="DBE5F1"/>
          </w:tcPr>
          <w:p>
            <w:pPr>
              <w:spacing w:after="0"/>
              <w:rPr>
                <w:sz w:val="11"/>
                <w:szCs w:val="11"/>
                <w:color w:val="auto"/>
              </w:rPr>
            </w:pPr>
          </w:p>
        </w:tc>
        <w:tc>
          <w:tcPr>
            <w:tcW w:w="560" w:type="dxa"/>
            <w:vAlign w:val="bottom"/>
            <w:shd w:val="clear" w:color="auto" w:fill="DBE5F1"/>
          </w:tcPr>
          <w:p>
            <w:pPr>
              <w:spacing w:after="0"/>
              <w:rPr>
                <w:sz w:val="11"/>
                <w:szCs w:val="11"/>
                <w:color w:val="auto"/>
              </w:rPr>
            </w:pPr>
          </w:p>
        </w:tc>
        <w:tc>
          <w:tcPr>
            <w:tcW w:w="980" w:type="dxa"/>
            <w:vAlign w:val="bottom"/>
            <w:shd w:val="clear" w:color="auto" w:fill="DBE5F1"/>
          </w:tcPr>
          <w:p>
            <w:pPr>
              <w:jc w:val="center"/>
              <w:spacing w:after="0" w:line="135" w:lineRule="exact"/>
              <w:rPr>
                <w:sz w:val="20"/>
                <w:szCs w:val="20"/>
                <w:color w:val="auto"/>
              </w:rPr>
            </w:pPr>
            <w:r>
              <w:rPr>
                <w:rFonts w:ascii="Arial" w:cs="Arial" w:eastAsia="Arial" w:hAnsi="Arial"/>
                <w:sz w:val="13"/>
                <w:szCs w:val="13"/>
                <w:b w:val="1"/>
                <w:bCs w:val="1"/>
                <w:color w:val="auto"/>
                <w:w w:val="95"/>
              </w:rPr>
              <w:t>Non-Equity</w:t>
            </w:r>
          </w:p>
        </w:tc>
        <w:tc>
          <w:tcPr>
            <w:tcW w:w="960" w:type="dxa"/>
            <w:vAlign w:val="bottom"/>
            <w:shd w:val="clear" w:color="auto" w:fill="DBE5F1"/>
          </w:tcPr>
          <w:p>
            <w:pPr>
              <w:jc w:val="center"/>
              <w:spacing w:after="0" w:line="135" w:lineRule="exact"/>
              <w:rPr>
                <w:sz w:val="20"/>
                <w:szCs w:val="20"/>
                <w:color w:val="auto"/>
              </w:rPr>
            </w:pPr>
            <w:r>
              <w:rPr>
                <w:rFonts w:ascii="Arial" w:cs="Arial" w:eastAsia="Arial" w:hAnsi="Arial"/>
                <w:sz w:val="13"/>
                <w:szCs w:val="13"/>
                <w:b w:val="1"/>
                <w:bCs w:val="1"/>
                <w:color w:val="auto"/>
                <w:w w:val="96"/>
              </w:rPr>
              <w:t>Nonqualified</w:t>
            </w:r>
          </w:p>
        </w:tc>
        <w:tc>
          <w:tcPr>
            <w:tcW w:w="980" w:type="dxa"/>
            <w:vAlign w:val="bottom"/>
            <w:shd w:val="clear" w:color="auto" w:fill="DBE5F1"/>
          </w:tcPr>
          <w:p>
            <w:pPr>
              <w:spacing w:after="0"/>
              <w:rPr>
                <w:sz w:val="11"/>
                <w:szCs w:val="11"/>
                <w:color w:val="auto"/>
              </w:rPr>
            </w:pPr>
          </w:p>
        </w:tc>
        <w:tc>
          <w:tcPr>
            <w:tcW w:w="760" w:type="dxa"/>
            <w:vAlign w:val="bottom"/>
            <w:shd w:val="clear" w:color="auto" w:fill="DBE5F1"/>
          </w:tcPr>
          <w:p>
            <w:pPr>
              <w:spacing w:after="0"/>
              <w:rPr>
                <w:sz w:val="11"/>
                <w:szCs w:val="11"/>
                <w:color w:val="auto"/>
              </w:rPr>
            </w:pPr>
          </w:p>
        </w:tc>
      </w:tr>
      <w:tr>
        <w:trPr>
          <w:trHeight w:val="135"/>
        </w:trPr>
        <w:tc>
          <w:tcPr>
            <w:tcW w:w="2380" w:type="dxa"/>
            <w:vAlign w:val="bottom"/>
            <w:shd w:val="clear" w:color="auto" w:fill="DBE5F1"/>
          </w:tcPr>
          <w:p>
            <w:pPr>
              <w:spacing w:after="0"/>
              <w:rPr>
                <w:sz w:val="11"/>
                <w:szCs w:val="11"/>
                <w:color w:val="auto"/>
              </w:rPr>
            </w:pPr>
          </w:p>
        </w:tc>
        <w:tc>
          <w:tcPr>
            <w:tcW w:w="580" w:type="dxa"/>
            <w:vAlign w:val="bottom"/>
            <w:shd w:val="clear" w:color="auto" w:fill="DBE5F1"/>
          </w:tcPr>
          <w:p>
            <w:pPr>
              <w:spacing w:after="0"/>
              <w:rPr>
                <w:sz w:val="11"/>
                <w:szCs w:val="11"/>
                <w:color w:val="auto"/>
              </w:rPr>
            </w:pPr>
          </w:p>
        </w:tc>
        <w:tc>
          <w:tcPr>
            <w:tcW w:w="460" w:type="dxa"/>
            <w:vAlign w:val="bottom"/>
            <w:shd w:val="clear" w:color="auto" w:fill="DBE5F1"/>
          </w:tcPr>
          <w:p>
            <w:pPr>
              <w:spacing w:after="0"/>
              <w:rPr>
                <w:sz w:val="11"/>
                <w:szCs w:val="11"/>
                <w:color w:val="auto"/>
              </w:rPr>
            </w:pPr>
          </w:p>
        </w:tc>
        <w:tc>
          <w:tcPr>
            <w:tcW w:w="740" w:type="dxa"/>
            <w:vAlign w:val="bottom"/>
            <w:shd w:val="clear" w:color="auto" w:fill="DBE5F1"/>
          </w:tcPr>
          <w:p>
            <w:pPr>
              <w:spacing w:after="0"/>
              <w:rPr>
                <w:sz w:val="11"/>
                <w:szCs w:val="11"/>
                <w:color w:val="auto"/>
              </w:rPr>
            </w:pPr>
          </w:p>
        </w:tc>
        <w:tc>
          <w:tcPr>
            <w:tcW w:w="720" w:type="dxa"/>
            <w:vAlign w:val="bottom"/>
            <w:shd w:val="clear" w:color="auto" w:fill="DBE5F1"/>
          </w:tcPr>
          <w:p>
            <w:pPr>
              <w:spacing w:after="0"/>
              <w:rPr>
                <w:sz w:val="11"/>
                <w:szCs w:val="11"/>
                <w:color w:val="auto"/>
              </w:rPr>
            </w:pPr>
          </w:p>
        </w:tc>
        <w:tc>
          <w:tcPr>
            <w:tcW w:w="800" w:type="dxa"/>
            <w:vAlign w:val="bottom"/>
            <w:shd w:val="clear" w:color="auto" w:fill="DBE5F1"/>
          </w:tcPr>
          <w:p>
            <w:pPr>
              <w:jc w:val="center"/>
              <w:spacing w:after="0" w:line="135" w:lineRule="exact"/>
              <w:rPr>
                <w:sz w:val="20"/>
                <w:szCs w:val="20"/>
                <w:color w:val="auto"/>
              </w:rPr>
            </w:pPr>
            <w:r>
              <w:rPr>
                <w:rFonts w:ascii="Arial" w:cs="Arial" w:eastAsia="Arial" w:hAnsi="Arial"/>
                <w:sz w:val="13"/>
                <w:szCs w:val="13"/>
                <w:b w:val="1"/>
                <w:bCs w:val="1"/>
                <w:color w:val="auto"/>
                <w:w w:val="95"/>
              </w:rPr>
              <w:t>Stock</w:t>
            </w:r>
          </w:p>
        </w:tc>
        <w:tc>
          <w:tcPr>
            <w:tcW w:w="560" w:type="dxa"/>
            <w:vAlign w:val="bottom"/>
            <w:shd w:val="clear" w:color="auto" w:fill="DBE5F1"/>
          </w:tcPr>
          <w:p>
            <w:pPr>
              <w:jc w:val="center"/>
              <w:spacing w:after="0" w:line="135" w:lineRule="exact"/>
              <w:rPr>
                <w:sz w:val="20"/>
                <w:szCs w:val="20"/>
                <w:color w:val="auto"/>
              </w:rPr>
            </w:pPr>
            <w:r>
              <w:rPr>
                <w:rFonts w:ascii="Arial" w:cs="Arial" w:eastAsia="Arial" w:hAnsi="Arial"/>
                <w:sz w:val="13"/>
                <w:szCs w:val="13"/>
                <w:b w:val="1"/>
                <w:bCs w:val="1"/>
                <w:color w:val="auto"/>
                <w:w w:val="95"/>
              </w:rPr>
              <w:t>Option</w:t>
            </w:r>
          </w:p>
        </w:tc>
        <w:tc>
          <w:tcPr>
            <w:tcW w:w="980" w:type="dxa"/>
            <w:vAlign w:val="bottom"/>
            <w:shd w:val="clear" w:color="auto" w:fill="DBE5F1"/>
          </w:tcPr>
          <w:p>
            <w:pPr>
              <w:jc w:val="center"/>
              <w:spacing w:after="0" w:line="135" w:lineRule="exact"/>
              <w:rPr>
                <w:sz w:val="20"/>
                <w:szCs w:val="20"/>
                <w:color w:val="auto"/>
              </w:rPr>
            </w:pPr>
            <w:r>
              <w:rPr>
                <w:rFonts w:ascii="Arial" w:cs="Arial" w:eastAsia="Arial" w:hAnsi="Arial"/>
                <w:sz w:val="13"/>
                <w:szCs w:val="13"/>
                <w:b w:val="1"/>
                <w:bCs w:val="1"/>
                <w:color w:val="auto"/>
                <w:w w:val="98"/>
              </w:rPr>
              <w:t>Incentive Plan</w:t>
            </w:r>
          </w:p>
        </w:tc>
        <w:tc>
          <w:tcPr>
            <w:tcW w:w="960" w:type="dxa"/>
            <w:vAlign w:val="bottom"/>
            <w:shd w:val="clear" w:color="auto" w:fill="DBE5F1"/>
          </w:tcPr>
          <w:p>
            <w:pPr>
              <w:jc w:val="center"/>
              <w:spacing w:after="0" w:line="135" w:lineRule="exact"/>
              <w:rPr>
                <w:sz w:val="20"/>
                <w:szCs w:val="20"/>
                <w:color w:val="auto"/>
              </w:rPr>
            </w:pPr>
            <w:r>
              <w:rPr>
                <w:rFonts w:ascii="Arial" w:cs="Arial" w:eastAsia="Arial" w:hAnsi="Arial"/>
                <w:sz w:val="13"/>
                <w:szCs w:val="13"/>
                <w:b w:val="1"/>
                <w:bCs w:val="1"/>
                <w:color w:val="auto"/>
                <w:w w:val="97"/>
              </w:rPr>
              <w:t>Deferred</w:t>
            </w:r>
          </w:p>
        </w:tc>
        <w:tc>
          <w:tcPr>
            <w:tcW w:w="980" w:type="dxa"/>
            <w:vAlign w:val="bottom"/>
            <w:shd w:val="clear" w:color="auto" w:fill="DBE5F1"/>
          </w:tcPr>
          <w:p>
            <w:pPr>
              <w:jc w:val="center"/>
              <w:spacing w:after="0" w:line="135" w:lineRule="exact"/>
              <w:rPr>
                <w:sz w:val="20"/>
                <w:szCs w:val="20"/>
                <w:color w:val="auto"/>
              </w:rPr>
            </w:pPr>
            <w:r>
              <w:rPr>
                <w:rFonts w:ascii="Arial" w:cs="Arial" w:eastAsia="Arial" w:hAnsi="Arial"/>
                <w:sz w:val="13"/>
                <w:szCs w:val="13"/>
                <w:b w:val="1"/>
                <w:bCs w:val="1"/>
                <w:color w:val="auto"/>
                <w:w w:val="94"/>
              </w:rPr>
              <w:t>All Other</w:t>
            </w:r>
          </w:p>
        </w:tc>
        <w:tc>
          <w:tcPr>
            <w:tcW w:w="760" w:type="dxa"/>
            <w:vAlign w:val="bottom"/>
            <w:shd w:val="clear" w:color="auto" w:fill="DBE5F1"/>
          </w:tcPr>
          <w:p>
            <w:pPr>
              <w:spacing w:after="0"/>
              <w:rPr>
                <w:sz w:val="11"/>
                <w:szCs w:val="11"/>
                <w:color w:val="auto"/>
              </w:rPr>
            </w:pPr>
          </w:p>
        </w:tc>
      </w:tr>
      <w:tr>
        <w:trPr>
          <w:trHeight w:val="126"/>
        </w:trPr>
        <w:tc>
          <w:tcPr>
            <w:tcW w:w="2380" w:type="dxa"/>
            <w:vAlign w:val="bottom"/>
            <w:shd w:val="clear" w:color="auto" w:fill="DBE5F1"/>
          </w:tcPr>
          <w:p>
            <w:pPr>
              <w:spacing w:after="0" w:line="126" w:lineRule="exact"/>
              <w:rPr>
                <w:sz w:val="20"/>
                <w:szCs w:val="20"/>
                <w:color w:val="auto"/>
              </w:rPr>
            </w:pPr>
            <w:r>
              <w:rPr>
                <w:rFonts w:ascii="Arial" w:cs="Arial" w:eastAsia="Arial" w:hAnsi="Arial"/>
                <w:sz w:val="13"/>
                <w:szCs w:val="13"/>
                <w:b w:val="1"/>
                <w:bCs w:val="1"/>
                <w:color w:val="auto"/>
              </w:rPr>
              <w:t>Name and</w:t>
            </w:r>
          </w:p>
        </w:tc>
        <w:tc>
          <w:tcPr>
            <w:tcW w:w="580" w:type="dxa"/>
            <w:vAlign w:val="bottom"/>
            <w:shd w:val="clear" w:color="auto" w:fill="DBE5F1"/>
          </w:tcPr>
          <w:p>
            <w:pPr>
              <w:ind w:left="100"/>
              <w:spacing w:after="0" w:line="126" w:lineRule="exact"/>
              <w:rPr>
                <w:sz w:val="20"/>
                <w:szCs w:val="20"/>
                <w:color w:val="auto"/>
              </w:rPr>
            </w:pPr>
            <w:r>
              <w:rPr>
                <w:rFonts w:ascii="Arial" w:cs="Arial" w:eastAsia="Arial" w:hAnsi="Arial"/>
                <w:sz w:val="13"/>
                <w:szCs w:val="13"/>
                <w:b w:val="1"/>
                <w:bCs w:val="1"/>
                <w:color w:val="auto"/>
                <w:w w:val="89"/>
              </w:rPr>
              <w:t>Years of</w:t>
            </w:r>
          </w:p>
        </w:tc>
        <w:tc>
          <w:tcPr>
            <w:tcW w:w="460" w:type="dxa"/>
            <w:vAlign w:val="bottom"/>
            <w:shd w:val="clear" w:color="auto" w:fill="DBE5F1"/>
          </w:tcPr>
          <w:p>
            <w:pPr>
              <w:jc w:val="center"/>
              <w:ind w:left="18"/>
              <w:spacing w:after="0" w:line="126" w:lineRule="exact"/>
              <w:rPr>
                <w:sz w:val="20"/>
                <w:szCs w:val="20"/>
                <w:color w:val="auto"/>
              </w:rPr>
            </w:pPr>
            <w:r>
              <w:rPr>
                <w:rFonts w:ascii="Arial" w:cs="Arial" w:eastAsia="Arial" w:hAnsi="Arial"/>
                <w:sz w:val="13"/>
                <w:szCs w:val="13"/>
                <w:b w:val="1"/>
                <w:bCs w:val="1"/>
                <w:color w:val="auto"/>
                <w:w w:val="92"/>
              </w:rPr>
              <w:t>Fiscal</w:t>
            </w:r>
          </w:p>
        </w:tc>
        <w:tc>
          <w:tcPr>
            <w:tcW w:w="740" w:type="dxa"/>
            <w:vAlign w:val="bottom"/>
            <w:shd w:val="clear" w:color="auto" w:fill="DBE5F1"/>
          </w:tcPr>
          <w:p>
            <w:pPr>
              <w:spacing w:after="0"/>
              <w:rPr>
                <w:sz w:val="10"/>
                <w:szCs w:val="10"/>
                <w:color w:val="auto"/>
              </w:rPr>
            </w:pPr>
          </w:p>
        </w:tc>
        <w:tc>
          <w:tcPr>
            <w:tcW w:w="720" w:type="dxa"/>
            <w:vAlign w:val="bottom"/>
            <w:shd w:val="clear" w:color="auto" w:fill="DBE5F1"/>
          </w:tcPr>
          <w:p>
            <w:pPr>
              <w:jc w:val="right"/>
              <w:ind w:right="78"/>
              <w:spacing w:after="0" w:line="126" w:lineRule="exact"/>
              <w:rPr>
                <w:sz w:val="20"/>
                <w:szCs w:val="20"/>
                <w:color w:val="auto"/>
              </w:rPr>
            </w:pPr>
            <w:r>
              <w:rPr>
                <w:rFonts w:ascii="Arial" w:cs="Arial" w:eastAsia="Arial" w:hAnsi="Arial"/>
                <w:sz w:val="13"/>
                <w:szCs w:val="13"/>
                <w:b w:val="1"/>
                <w:bCs w:val="1"/>
                <w:color w:val="auto"/>
              </w:rPr>
              <w:t>Bonus</w:t>
            </w:r>
          </w:p>
        </w:tc>
        <w:tc>
          <w:tcPr>
            <w:tcW w:w="800" w:type="dxa"/>
            <w:vAlign w:val="bottom"/>
            <w:shd w:val="clear" w:color="auto" w:fill="DBE5F1"/>
          </w:tcPr>
          <w:p>
            <w:pPr>
              <w:jc w:val="center"/>
              <w:spacing w:after="0" w:line="126" w:lineRule="exact"/>
              <w:rPr>
                <w:sz w:val="20"/>
                <w:szCs w:val="20"/>
                <w:color w:val="auto"/>
              </w:rPr>
            </w:pPr>
            <w:r>
              <w:rPr>
                <w:rFonts w:ascii="Arial" w:cs="Arial" w:eastAsia="Arial" w:hAnsi="Arial"/>
                <w:sz w:val="13"/>
                <w:szCs w:val="13"/>
                <w:b w:val="1"/>
                <w:bCs w:val="1"/>
                <w:color w:val="auto"/>
                <w:w w:val="97"/>
              </w:rPr>
              <w:t>Awards</w:t>
            </w:r>
          </w:p>
        </w:tc>
        <w:tc>
          <w:tcPr>
            <w:tcW w:w="560" w:type="dxa"/>
            <w:vAlign w:val="bottom"/>
            <w:shd w:val="clear" w:color="auto" w:fill="DBE5F1"/>
          </w:tcPr>
          <w:p>
            <w:pPr>
              <w:jc w:val="center"/>
              <w:spacing w:after="0" w:line="126" w:lineRule="exact"/>
              <w:rPr>
                <w:sz w:val="20"/>
                <w:szCs w:val="20"/>
                <w:color w:val="auto"/>
              </w:rPr>
            </w:pPr>
            <w:r>
              <w:rPr>
                <w:rFonts w:ascii="Arial" w:cs="Arial" w:eastAsia="Arial" w:hAnsi="Arial"/>
                <w:sz w:val="13"/>
                <w:szCs w:val="13"/>
                <w:b w:val="1"/>
                <w:bCs w:val="1"/>
                <w:color w:val="auto"/>
                <w:w w:val="93"/>
              </w:rPr>
              <w:t>Awards</w:t>
            </w:r>
          </w:p>
        </w:tc>
        <w:tc>
          <w:tcPr>
            <w:tcW w:w="980" w:type="dxa"/>
            <w:vAlign w:val="bottom"/>
            <w:shd w:val="clear" w:color="auto" w:fill="DBE5F1"/>
          </w:tcPr>
          <w:p>
            <w:pPr>
              <w:jc w:val="center"/>
              <w:spacing w:after="0" w:line="126" w:lineRule="exact"/>
              <w:rPr>
                <w:sz w:val="20"/>
                <w:szCs w:val="20"/>
                <w:color w:val="auto"/>
              </w:rPr>
            </w:pPr>
            <w:r>
              <w:rPr>
                <w:rFonts w:ascii="Arial" w:cs="Arial" w:eastAsia="Arial" w:hAnsi="Arial"/>
                <w:sz w:val="13"/>
                <w:szCs w:val="13"/>
                <w:b w:val="1"/>
                <w:bCs w:val="1"/>
                <w:color w:val="auto"/>
                <w:w w:val="95"/>
              </w:rPr>
              <w:t>Compensation</w:t>
            </w:r>
          </w:p>
        </w:tc>
        <w:tc>
          <w:tcPr>
            <w:tcW w:w="960" w:type="dxa"/>
            <w:vAlign w:val="bottom"/>
            <w:shd w:val="clear" w:color="auto" w:fill="DBE5F1"/>
          </w:tcPr>
          <w:p>
            <w:pPr>
              <w:jc w:val="center"/>
              <w:spacing w:after="0" w:line="126" w:lineRule="exact"/>
              <w:rPr>
                <w:sz w:val="20"/>
                <w:szCs w:val="20"/>
                <w:color w:val="auto"/>
              </w:rPr>
            </w:pPr>
            <w:r>
              <w:rPr>
                <w:rFonts w:ascii="Arial" w:cs="Arial" w:eastAsia="Arial" w:hAnsi="Arial"/>
                <w:sz w:val="13"/>
                <w:szCs w:val="13"/>
                <w:b w:val="1"/>
                <w:bCs w:val="1"/>
                <w:color w:val="auto"/>
                <w:w w:val="97"/>
              </w:rPr>
              <w:t>Compensation</w:t>
            </w:r>
          </w:p>
        </w:tc>
        <w:tc>
          <w:tcPr>
            <w:tcW w:w="980" w:type="dxa"/>
            <w:vAlign w:val="bottom"/>
            <w:shd w:val="clear" w:color="auto" w:fill="DBE5F1"/>
          </w:tcPr>
          <w:p>
            <w:pPr>
              <w:jc w:val="center"/>
              <w:spacing w:after="0" w:line="126" w:lineRule="exact"/>
              <w:rPr>
                <w:sz w:val="20"/>
                <w:szCs w:val="20"/>
                <w:color w:val="auto"/>
              </w:rPr>
            </w:pPr>
            <w:r>
              <w:rPr>
                <w:rFonts w:ascii="Arial" w:cs="Arial" w:eastAsia="Arial" w:hAnsi="Arial"/>
                <w:sz w:val="13"/>
                <w:szCs w:val="13"/>
                <w:b w:val="1"/>
                <w:bCs w:val="1"/>
                <w:color w:val="auto"/>
                <w:w w:val="97"/>
              </w:rPr>
              <w:t>Compensation</w:t>
            </w:r>
          </w:p>
        </w:tc>
        <w:tc>
          <w:tcPr>
            <w:tcW w:w="760" w:type="dxa"/>
            <w:vAlign w:val="bottom"/>
            <w:shd w:val="clear" w:color="auto" w:fill="DBE5F1"/>
          </w:tcPr>
          <w:p>
            <w:pPr>
              <w:spacing w:after="0"/>
              <w:rPr>
                <w:sz w:val="10"/>
                <w:szCs w:val="10"/>
                <w:color w:val="auto"/>
              </w:rPr>
            </w:pPr>
          </w:p>
        </w:tc>
      </w:tr>
      <w:tr>
        <w:trPr>
          <w:trHeight w:val="162"/>
        </w:trPr>
        <w:tc>
          <w:tcPr>
            <w:tcW w:w="2380" w:type="dxa"/>
            <w:vAlign w:val="bottom"/>
            <w:tcBorders>
              <w:bottom w:val="single" w:sz="8" w:color="4A7EBB"/>
            </w:tcBorders>
            <w:shd w:val="clear" w:color="auto" w:fill="DBE5F1"/>
          </w:tcPr>
          <w:p>
            <w:pPr>
              <w:spacing w:after="0"/>
              <w:rPr>
                <w:sz w:val="20"/>
                <w:szCs w:val="20"/>
                <w:color w:val="auto"/>
              </w:rPr>
            </w:pPr>
            <w:r>
              <w:rPr>
                <w:rFonts w:ascii="Arial" w:cs="Arial" w:eastAsia="Arial" w:hAnsi="Arial"/>
                <w:sz w:val="13"/>
                <w:szCs w:val="13"/>
                <w:b w:val="1"/>
                <w:bCs w:val="1"/>
                <w:color w:val="auto"/>
              </w:rPr>
              <w:t>Principal Position</w:t>
            </w:r>
          </w:p>
        </w:tc>
        <w:tc>
          <w:tcPr>
            <w:tcW w:w="580" w:type="dxa"/>
            <w:vAlign w:val="bottom"/>
            <w:tcBorders>
              <w:bottom w:val="single" w:sz="8" w:color="4A7EBB"/>
            </w:tcBorders>
            <w:shd w:val="clear" w:color="auto" w:fill="DBE5F1"/>
          </w:tcPr>
          <w:p>
            <w:pPr>
              <w:ind w:left="120"/>
              <w:spacing w:after="0"/>
              <w:rPr>
                <w:sz w:val="20"/>
                <w:szCs w:val="20"/>
                <w:color w:val="auto"/>
              </w:rPr>
            </w:pPr>
            <w:r>
              <w:rPr>
                <w:rFonts w:ascii="Arial" w:cs="Arial" w:eastAsia="Arial" w:hAnsi="Arial"/>
                <w:sz w:val="13"/>
                <w:szCs w:val="13"/>
                <w:b w:val="1"/>
                <w:bCs w:val="1"/>
                <w:color w:val="auto"/>
                <w:w w:val="95"/>
              </w:rPr>
              <w:t>Service</w:t>
            </w:r>
          </w:p>
        </w:tc>
        <w:tc>
          <w:tcPr>
            <w:tcW w:w="460" w:type="dxa"/>
            <w:vAlign w:val="bottom"/>
            <w:tcBorders>
              <w:bottom w:val="single" w:sz="8" w:color="4A7EBB"/>
            </w:tcBorders>
            <w:shd w:val="clear" w:color="auto" w:fill="DBE5F1"/>
          </w:tcPr>
          <w:p>
            <w:pPr>
              <w:jc w:val="center"/>
              <w:ind w:left="18"/>
              <w:spacing w:after="0"/>
              <w:rPr>
                <w:sz w:val="20"/>
                <w:szCs w:val="20"/>
                <w:color w:val="auto"/>
              </w:rPr>
            </w:pPr>
            <w:r>
              <w:rPr>
                <w:rFonts w:ascii="Arial" w:cs="Arial" w:eastAsia="Arial" w:hAnsi="Arial"/>
                <w:sz w:val="13"/>
                <w:szCs w:val="13"/>
                <w:b w:val="1"/>
                <w:bCs w:val="1"/>
                <w:color w:val="auto"/>
                <w:w w:val="92"/>
              </w:rPr>
              <w:t>Year</w:t>
            </w:r>
          </w:p>
        </w:tc>
        <w:tc>
          <w:tcPr>
            <w:tcW w:w="740" w:type="dxa"/>
            <w:vAlign w:val="bottom"/>
            <w:tcBorders>
              <w:bottom w:val="single" w:sz="8" w:color="4A7EBB"/>
            </w:tcBorders>
            <w:shd w:val="clear" w:color="auto" w:fill="DBE5F1"/>
          </w:tcPr>
          <w:p>
            <w:pPr>
              <w:jc w:val="right"/>
              <w:spacing w:after="0"/>
              <w:rPr>
                <w:sz w:val="20"/>
                <w:szCs w:val="20"/>
                <w:color w:val="auto"/>
              </w:rPr>
            </w:pPr>
            <w:r>
              <w:rPr>
                <w:rFonts w:ascii="Arial" w:cs="Arial" w:eastAsia="Arial" w:hAnsi="Arial"/>
                <w:sz w:val="13"/>
                <w:szCs w:val="13"/>
                <w:b w:val="1"/>
                <w:bCs w:val="1"/>
                <w:color w:val="auto"/>
              </w:rPr>
              <w:t>Salary ($)</w:t>
            </w:r>
          </w:p>
        </w:tc>
        <w:tc>
          <w:tcPr>
            <w:tcW w:w="720" w:type="dxa"/>
            <w:vAlign w:val="bottom"/>
            <w:tcBorders>
              <w:bottom w:val="single" w:sz="8" w:color="4A7EBB"/>
            </w:tcBorders>
            <w:shd w:val="clear" w:color="auto" w:fill="DBE5F1"/>
          </w:tcPr>
          <w:p>
            <w:pPr>
              <w:jc w:val="right"/>
              <w:ind w:right="198"/>
              <w:spacing w:after="0"/>
              <w:rPr>
                <w:sz w:val="20"/>
                <w:szCs w:val="20"/>
                <w:color w:val="auto"/>
              </w:rPr>
            </w:pPr>
            <w:r>
              <w:rPr>
                <w:rFonts w:ascii="Arial" w:cs="Arial" w:eastAsia="Arial" w:hAnsi="Arial"/>
                <w:sz w:val="13"/>
                <w:szCs w:val="13"/>
                <w:b w:val="1"/>
                <w:bCs w:val="1"/>
                <w:color w:val="auto"/>
              </w:rPr>
              <w:t>($)</w:t>
            </w:r>
          </w:p>
        </w:tc>
        <w:tc>
          <w:tcPr>
            <w:tcW w:w="800" w:type="dxa"/>
            <w:vAlign w:val="bottom"/>
            <w:tcBorders>
              <w:bottom w:val="single" w:sz="8" w:color="4A7EBB"/>
            </w:tcBorders>
            <w:shd w:val="clear" w:color="auto" w:fill="DBE5F1"/>
          </w:tcPr>
          <w:p>
            <w:pPr>
              <w:jc w:val="center"/>
              <w:spacing w:after="0" w:line="162" w:lineRule="exact"/>
              <w:rPr>
                <w:sz w:val="20"/>
                <w:szCs w:val="20"/>
                <w:color w:val="auto"/>
              </w:rPr>
            </w:pPr>
            <w:r>
              <w:rPr>
                <w:rFonts w:ascii="Arial" w:cs="Arial" w:eastAsia="Arial" w:hAnsi="Arial"/>
                <w:sz w:val="11"/>
                <w:szCs w:val="11"/>
                <w:b w:val="1"/>
                <w:bCs w:val="1"/>
                <w:color w:val="auto"/>
              </w:rPr>
              <w:t>($)</w:t>
            </w:r>
            <w:r>
              <w:rPr>
                <w:rFonts w:ascii="Arial" w:cs="Arial" w:eastAsia="Arial" w:hAnsi="Arial"/>
                <w:sz w:val="18"/>
                <w:szCs w:val="18"/>
                <w:b w:val="1"/>
                <w:bCs w:val="1"/>
                <w:color w:val="auto"/>
                <w:vertAlign w:val="superscript"/>
              </w:rPr>
              <w:t>(1)</w:t>
            </w:r>
          </w:p>
        </w:tc>
        <w:tc>
          <w:tcPr>
            <w:tcW w:w="560" w:type="dxa"/>
            <w:vAlign w:val="bottom"/>
            <w:tcBorders>
              <w:bottom w:val="single" w:sz="8" w:color="4A7EBB"/>
            </w:tcBorders>
            <w:shd w:val="clear" w:color="auto" w:fill="DBE5F1"/>
          </w:tcPr>
          <w:p>
            <w:pPr>
              <w:jc w:val="center"/>
              <w:spacing w:after="0"/>
              <w:rPr>
                <w:sz w:val="20"/>
                <w:szCs w:val="20"/>
                <w:color w:val="auto"/>
              </w:rPr>
            </w:pPr>
            <w:r>
              <w:rPr>
                <w:rFonts w:ascii="Arial" w:cs="Arial" w:eastAsia="Arial" w:hAnsi="Arial"/>
                <w:sz w:val="13"/>
                <w:szCs w:val="13"/>
                <w:b w:val="1"/>
                <w:bCs w:val="1"/>
                <w:color w:val="auto"/>
              </w:rPr>
              <w:t>($)</w:t>
            </w:r>
          </w:p>
        </w:tc>
        <w:tc>
          <w:tcPr>
            <w:tcW w:w="980" w:type="dxa"/>
            <w:vAlign w:val="bottom"/>
            <w:tcBorders>
              <w:bottom w:val="single" w:sz="8" w:color="4A7EBB"/>
            </w:tcBorders>
            <w:shd w:val="clear" w:color="auto" w:fill="DBE5F1"/>
          </w:tcPr>
          <w:p>
            <w:pPr>
              <w:jc w:val="center"/>
              <w:spacing w:after="0"/>
              <w:rPr>
                <w:sz w:val="20"/>
                <w:szCs w:val="20"/>
                <w:color w:val="auto"/>
              </w:rPr>
            </w:pPr>
            <w:r>
              <w:rPr>
                <w:rFonts w:ascii="Arial" w:cs="Arial" w:eastAsia="Arial" w:hAnsi="Arial"/>
                <w:sz w:val="13"/>
                <w:szCs w:val="13"/>
                <w:b w:val="1"/>
                <w:bCs w:val="1"/>
                <w:color w:val="auto"/>
                <w:w w:val="87"/>
              </w:rPr>
              <w:t>($)</w:t>
            </w:r>
          </w:p>
        </w:tc>
        <w:tc>
          <w:tcPr>
            <w:tcW w:w="960" w:type="dxa"/>
            <w:vAlign w:val="bottom"/>
            <w:tcBorders>
              <w:bottom w:val="single" w:sz="8" w:color="4A7EBB"/>
            </w:tcBorders>
            <w:shd w:val="clear" w:color="auto" w:fill="DBE5F1"/>
          </w:tcPr>
          <w:p>
            <w:pPr>
              <w:jc w:val="center"/>
              <w:spacing w:after="0"/>
              <w:rPr>
                <w:sz w:val="20"/>
                <w:szCs w:val="20"/>
                <w:color w:val="auto"/>
              </w:rPr>
            </w:pPr>
            <w:r>
              <w:rPr>
                <w:rFonts w:ascii="Arial" w:cs="Arial" w:eastAsia="Arial" w:hAnsi="Arial"/>
                <w:sz w:val="13"/>
                <w:szCs w:val="13"/>
                <w:b w:val="1"/>
                <w:bCs w:val="1"/>
                <w:color w:val="auto"/>
              </w:rPr>
              <w:t>($)</w:t>
            </w:r>
          </w:p>
        </w:tc>
        <w:tc>
          <w:tcPr>
            <w:tcW w:w="980" w:type="dxa"/>
            <w:vAlign w:val="bottom"/>
            <w:tcBorders>
              <w:bottom w:val="single" w:sz="8" w:color="4A7EBB"/>
            </w:tcBorders>
            <w:shd w:val="clear" w:color="auto" w:fill="DBE5F1"/>
          </w:tcPr>
          <w:p>
            <w:pPr>
              <w:jc w:val="center"/>
              <w:spacing w:after="0" w:line="162" w:lineRule="exact"/>
              <w:rPr>
                <w:sz w:val="20"/>
                <w:szCs w:val="20"/>
                <w:color w:val="auto"/>
              </w:rPr>
            </w:pPr>
            <w:r>
              <w:rPr>
                <w:rFonts w:ascii="Arial" w:cs="Arial" w:eastAsia="Arial" w:hAnsi="Arial"/>
                <w:sz w:val="11"/>
                <w:szCs w:val="11"/>
                <w:b w:val="1"/>
                <w:bCs w:val="1"/>
                <w:color w:val="auto"/>
                <w:w w:val="99"/>
              </w:rPr>
              <w:t>($)</w:t>
            </w:r>
            <w:r>
              <w:rPr>
                <w:rFonts w:ascii="Arial" w:cs="Arial" w:eastAsia="Arial" w:hAnsi="Arial"/>
                <w:sz w:val="18"/>
                <w:szCs w:val="18"/>
                <w:b w:val="1"/>
                <w:bCs w:val="1"/>
                <w:color w:val="auto"/>
                <w:w w:val="99"/>
                <w:vertAlign w:val="superscript"/>
              </w:rPr>
              <w:t>(2)</w:t>
            </w:r>
          </w:p>
        </w:tc>
        <w:tc>
          <w:tcPr>
            <w:tcW w:w="760" w:type="dxa"/>
            <w:vAlign w:val="bottom"/>
            <w:tcBorders>
              <w:bottom w:val="single" w:sz="8" w:color="4A7EBB"/>
            </w:tcBorders>
            <w:shd w:val="clear" w:color="auto" w:fill="DBE5F1"/>
          </w:tcPr>
          <w:p>
            <w:pPr>
              <w:jc w:val="right"/>
              <w:ind w:right="59"/>
              <w:spacing w:after="0"/>
              <w:rPr>
                <w:sz w:val="20"/>
                <w:szCs w:val="20"/>
                <w:color w:val="auto"/>
              </w:rPr>
            </w:pPr>
            <w:r>
              <w:rPr>
                <w:rFonts w:ascii="Arial" w:cs="Arial" w:eastAsia="Arial" w:hAnsi="Arial"/>
                <w:sz w:val="13"/>
                <w:szCs w:val="13"/>
                <w:b w:val="1"/>
                <w:bCs w:val="1"/>
                <w:color w:val="auto"/>
              </w:rPr>
              <w:t>Total ($)</w:t>
            </w:r>
          </w:p>
        </w:tc>
      </w:tr>
      <w:tr>
        <w:trPr>
          <w:trHeight w:val="111"/>
        </w:trPr>
        <w:tc>
          <w:tcPr>
            <w:tcW w:w="2380" w:type="dxa"/>
            <w:vAlign w:val="bottom"/>
          </w:tcPr>
          <w:p>
            <w:pPr>
              <w:spacing w:after="0" w:line="111" w:lineRule="exact"/>
              <w:rPr>
                <w:sz w:val="20"/>
                <w:szCs w:val="20"/>
                <w:color w:val="auto"/>
              </w:rPr>
            </w:pPr>
            <w:r>
              <w:rPr>
                <w:rFonts w:ascii="Arial" w:cs="Arial" w:eastAsia="Arial" w:hAnsi="Arial"/>
                <w:sz w:val="12"/>
                <w:szCs w:val="12"/>
                <w:b w:val="1"/>
                <w:bCs w:val="1"/>
                <w:color w:val="auto"/>
              </w:rPr>
              <w:t>Morris Goldfarb</w:t>
            </w:r>
          </w:p>
        </w:tc>
        <w:tc>
          <w:tcPr>
            <w:tcW w:w="580" w:type="dxa"/>
            <w:vAlign w:val="bottom"/>
          </w:tcPr>
          <w:p>
            <w:pPr>
              <w:jc w:val="center"/>
              <w:ind w:left="20"/>
              <w:spacing w:after="0" w:line="111" w:lineRule="exact"/>
              <w:rPr>
                <w:sz w:val="20"/>
                <w:szCs w:val="20"/>
                <w:color w:val="auto"/>
              </w:rPr>
            </w:pPr>
            <w:r>
              <w:rPr>
                <w:rFonts w:ascii="Arial" w:cs="Arial" w:eastAsia="Arial" w:hAnsi="Arial"/>
                <w:sz w:val="12"/>
                <w:szCs w:val="12"/>
                <w:color w:val="auto"/>
              </w:rPr>
              <w:t>52</w:t>
            </w:r>
          </w:p>
        </w:tc>
        <w:tc>
          <w:tcPr>
            <w:tcW w:w="460" w:type="dxa"/>
            <w:vAlign w:val="bottom"/>
          </w:tcPr>
          <w:p>
            <w:pPr>
              <w:jc w:val="center"/>
              <w:spacing w:after="0" w:line="111" w:lineRule="exact"/>
              <w:rPr>
                <w:sz w:val="20"/>
                <w:szCs w:val="20"/>
                <w:color w:val="auto"/>
              </w:rPr>
            </w:pPr>
            <w:r>
              <w:rPr>
                <w:rFonts w:ascii="Arial" w:cs="Arial" w:eastAsia="Arial" w:hAnsi="Arial"/>
                <w:sz w:val="12"/>
                <w:szCs w:val="12"/>
                <w:color w:val="auto"/>
              </w:rPr>
              <w:t>2026</w:t>
            </w:r>
          </w:p>
        </w:tc>
        <w:tc>
          <w:tcPr>
            <w:tcW w:w="740" w:type="dxa"/>
            <w:vAlign w:val="bottom"/>
          </w:tcPr>
          <w:p>
            <w:pPr>
              <w:jc w:val="right"/>
              <w:spacing w:after="0" w:line="111" w:lineRule="exact"/>
              <w:rPr>
                <w:sz w:val="20"/>
                <w:szCs w:val="20"/>
                <w:color w:val="auto"/>
              </w:rPr>
            </w:pPr>
            <w:r>
              <w:rPr>
                <w:rFonts w:ascii="Arial" w:cs="Arial" w:eastAsia="Arial" w:hAnsi="Arial"/>
                <w:sz w:val="12"/>
                <w:szCs w:val="12"/>
                <w:color w:val="auto"/>
              </w:rPr>
              <w:t>1,386,923</w:t>
            </w:r>
          </w:p>
        </w:tc>
        <w:tc>
          <w:tcPr>
            <w:tcW w:w="720" w:type="dxa"/>
            <w:vAlign w:val="bottom"/>
          </w:tcPr>
          <w:p>
            <w:pPr>
              <w:jc w:val="right"/>
              <w:spacing w:after="0" w:line="111" w:lineRule="exact"/>
              <w:rPr>
                <w:sz w:val="20"/>
                <w:szCs w:val="20"/>
                <w:color w:val="auto"/>
              </w:rPr>
            </w:pPr>
            <w:r>
              <w:rPr>
                <w:rFonts w:ascii="Arial" w:cs="Arial" w:eastAsia="Arial" w:hAnsi="Arial"/>
                <w:sz w:val="12"/>
                <w:szCs w:val="12"/>
                <w:color w:val="auto"/>
              </w:rPr>
              <w:t>—</w:t>
            </w:r>
          </w:p>
        </w:tc>
        <w:tc>
          <w:tcPr>
            <w:tcW w:w="800" w:type="dxa"/>
            <w:vAlign w:val="bottom"/>
          </w:tcPr>
          <w:p>
            <w:pPr>
              <w:jc w:val="right"/>
              <w:spacing w:after="0" w:line="111" w:lineRule="exact"/>
              <w:rPr>
                <w:sz w:val="20"/>
                <w:szCs w:val="20"/>
                <w:color w:val="auto"/>
              </w:rPr>
            </w:pPr>
            <w:r>
              <w:rPr>
                <w:rFonts w:ascii="Arial" w:cs="Arial" w:eastAsia="Arial" w:hAnsi="Arial"/>
                <w:sz w:val="12"/>
                <w:szCs w:val="12"/>
                <w:color w:val="auto"/>
              </w:rPr>
              <w:t>5,999,976</w:t>
            </w:r>
          </w:p>
        </w:tc>
        <w:tc>
          <w:tcPr>
            <w:tcW w:w="560" w:type="dxa"/>
            <w:vAlign w:val="bottom"/>
          </w:tcPr>
          <w:p>
            <w:pPr>
              <w:ind w:left="360"/>
              <w:spacing w:after="0" w:line="111" w:lineRule="exact"/>
              <w:rPr>
                <w:sz w:val="20"/>
                <w:szCs w:val="20"/>
                <w:color w:val="auto"/>
              </w:rPr>
            </w:pPr>
            <w:r>
              <w:rPr>
                <w:rFonts w:ascii="Arial" w:cs="Arial" w:eastAsia="Arial" w:hAnsi="Arial"/>
                <w:sz w:val="12"/>
                <w:szCs w:val="12"/>
                <w:color w:val="auto"/>
              </w:rPr>
              <w:t>—</w:t>
            </w:r>
          </w:p>
        </w:tc>
        <w:tc>
          <w:tcPr>
            <w:tcW w:w="980" w:type="dxa"/>
            <w:vAlign w:val="bottom"/>
          </w:tcPr>
          <w:p>
            <w:pPr>
              <w:jc w:val="right"/>
              <w:ind w:right="18"/>
              <w:spacing w:after="0" w:line="111" w:lineRule="exact"/>
              <w:rPr>
                <w:sz w:val="20"/>
                <w:szCs w:val="20"/>
                <w:color w:val="auto"/>
              </w:rPr>
            </w:pPr>
            <w:r>
              <w:rPr>
                <w:rFonts w:ascii="Arial" w:cs="Arial" w:eastAsia="Arial" w:hAnsi="Arial"/>
                <w:sz w:val="12"/>
                <w:szCs w:val="12"/>
                <w:color w:val="auto"/>
              </w:rPr>
              <w:t>4,832,000</w:t>
            </w:r>
          </w:p>
        </w:tc>
        <w:tc>
          <w:tcPr>
            <w:tcW w:w="960" w:type="dxa"/>
            <w:vAlign w:val="bottom"/>
          </w:tcPr>
          <w:p>
            <w:pPr>
              <w:ind w:left="760"/>
              <w:spacing w:after="0" w:line="111" w:lineRule="exact"/>
              <w:rPr>
                <w:sz w:val="20"/>
                <w:szCs w:val="20"/>
                <w:color w:val="auto"/>
              </w:rPr>
            </w:pPr>
            <w:r>
              <w:rPr>
                <w:rFonts w:ascii="Arial" w:cs="Arial" w:eastAsia="Arial" w:hAnsi="Arial"/>
                <w:sz w:val="12"/>
                <w:szCs w:val="12"/>
                <w:color w:val="auto"/>
              </w:rPr>
              <w:t>—</w:t>
            </w:r>
          </w:p>
        </w:tc>
        <w:tc>
          <w:tcPr>
            <w:tcW w:w="980" w:type="dxa"/>
            <w:vAlign w:val="bottom"/>
          </w:tcPr>
          <w:p>
            <w:pPr>
              <w:jc w:val="right"/>
              <w:ind w:right="19"/>
              <w:spacing w:after="0" w:line="111" w:lineRule="exact"/>
              <w:rPr>
                <w:sz w:val="20"/>
                <w:szCs w:val="20"/>
                <w:color w:val="auto"/>
              </w:rPr>
            </w:pPr>
            <w:r>
              <w:rPr>
                <w:rFonts w:ascii="Arial" w:cs="Arial" w:eastAsia="Arial" w:hAnsi="Arial"/>
                <w:sz w:val="12"/>
                <w:szCs w:val="12"/>
                <w:color w:val="auto"/>
              </w:rPr>
              <w:t>289,354</w:t>
            </w:r>
          </w:p>
        </w:tc>
        <w:tc>
          <w:tcPr>
            <w:tcW w:w="760" w:type="dxa"/>
            <w:vAlign w:val="bottom"/>
          </w:tcPr>
          <w:p>
            <w:pPr>
              <w:jc w:val="right"/>
              <w:spacing w:after="0" w:line="111" w:lineRule="exact"/>
              <w:rPr>
                <w:sz w:val="20"/>
                <w:szCs w:val="20"/>
                <w:color w:val="auto"/>
              </w:rPr>
            </w:pPr>
            <w:r>
              <w:rPr>
                <w:rFonts w:ascii="Arial" w:cs="Arial" w:eastAsia="Arial" w:hAnsi="Arial"/>
                <w:sz w:val="12"/>
                <w:szCs w:val="12"/>
                <w:color w:val="auto"/>
              </w:rPr>
              <w:t>12,508,253</w:t>
            </w:r>
          </w:p>
        </w:tc>
      </w:tr>
      <w:tr>
        <w:trPr>
          <w:trHeight w:val="135"/>
        </w:trPr>
        <w:tc>
          <w:tcPr>
            <w:tcW w:w="2380" w:type="dxa"/>
            <w:vAlign w:val="bottom"/>
          </w:tcPr>
          <w:p>
            <w:pPr>
              <w:ind w:left="120"/>
              <w:spacing w:after="0" w:line="135" w:lineRule="exact"/>
              <w:rPr>
                <w:sz w:val="20"/>
                <w:szCs w:val="20"/>
                <w:color w:val="auto"/>
              </w:rPr>
            </w:pPr>
            <w:r>
              <w:rPr>
                <w:rFonts w:ascii="Arial" w:cs="Arial" w:eastAsia="Arial" w:hAnsi="Arial"/>
                <w:sz w:val="13"/>
                <w:szCs w:val="13"/>
                <w:color w:val="auto"/>
              </w:rPr>
              <w:t>Chairman of the Board and Chief</w:t>
            </w: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5"/>
        </w:trPr>
        <w:tc>
          <w:tcPr>
            <w:tcW w:w="2380" w:type="dxa"/>
            <w:vAlign w:val="bottom"/>
          </w:tcPr>
          <w:p>
            <w:pPr>
              <w:ind w:left="120"/>
              <w:spacing w:after="0" w:line="135" w:lineRule="exact"/>
              <w:rPr>
                <w:sz w:val="20"/>
                <w:szCs w:val="20"/>
                <w:color w:val="auto"/>
              </w:rPr>
            </w:pPr>
            <w:r>
              <w:rPr>
                <w:rFonts w:ascii="Arial" w:cs="Arial" w:eastAsia="Arial" w:hAnsi="Arial"/>
                <w:sz w:val="13"/>
                <w:szCs w:val="13"/>
                <w:color w:val="auto"/>
              </w:rPr>
              <w:t>Executive Officer</w:t>
            </w:r>
          </w:p>
        </w:tc>
        <w:tc>
          <w:tcPr>
            <w:tcW w:w="580" w:type="dxa"/>
            <w:vAlign w:val="bottom"/>
          </w:tcPr>
          <w:p>
            <w:pPr>
              <w:spacing w:after="0"/>
              <w:rPr>
                <w:sz w:val="11"/>
                <w:szCs w:val="11"/>
                <w:color w:val="auto"/>
              </w:rPr>
            </w:pPr>
          </w:p>
        </w:tc>
        <w:tc>
          <w:tcPr>
            <w:tcW w:w="460" w:type="dxa"/>
            <w:vAlign w:val="bottom"/>
          </w:tcPr>
          <w:p>
            <w:pPr>
              <w:jc w:val="center"/>
              <w:spacing w:after="0" w:line="135" w:lineRule="exact"/>
              <w:rPr>
                <w:sz w:val="20"/>
                <w:szCs w:val="20"/>
                <w:color w:val="auto"/>
              </w:rPr>
            </w:pPr>
            <w:r>
              <w:rPr>
                <w:rFonts w:ascii="Arial" w:cs="Arial" w:eastAsia="Arial" w:hAnsi="Arial"/>
                <w:sz w:val="13"/>
                <w:szCs w:val="13"/>
                <w:color w:val="auto"/>
                <w:w w:val="96"/>
              </w:rPr>
              <w:t>2025</w:t>
            </w: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1,350,000</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5,999,990</w:t>
            </w:r>
          </w:p>
        </w:tc>
        <w:tc>
          <w:tcPr>
            <w:tcW w:w="560" w:type="dxa"/>
            <w:vAlign w:val="bottom"/>
          </w:tcPr>
          <w:p>
            <w:pPr>
              <w:ind w:left="360"/>
              <w:spacing w:after="0" w:line="135" w:lineRule="exact"/>
              <w:rPr>
                <w:sz w:val="20"/>
                <w:szCs w:val="20"/>
                <w:color w:val="auto"/>
              </w:rPr>
            </w:pPr>
            <w:r>
              <w:rPr>
                <w:rFonts w:ascii="Arial" w:cs="Arial" w:eastAsia="Arial" w:hAnsi="Arial"/>
                <w:sz w:val="13"/>
                <w:szCs w:val="13"/>
                <w:color w:val="auto"/>
              </w:rPr>
              <w:t>—</w:t>
            </w:r>
          </w:p>
        </w:tc>
        <w:tc>
          <w:tcPr>
            <w:tcW w:w="980" w:type="dxa"/>
            <w:vAlign w:val="bottom"/>
          </w:tcPr>
          <w:p>
            <w:pPr>
              <w:jc w:val="right"/>
              <w:ind w:right="18"/>
              <w:spacing w:after="0" w:line="135" w:lineRule="exact"/>
              <w:rPr>
                <w:sz w:val="20"/>
                <w:szCs w:val="20"/>
                <w:color w:val="auto"/>
              </w:rPr>
            </w:pPr>
            <w:r>
              <w:rPr>
                <w:rFonts w:ascii="Arial" w:cs="Arial" w:eastAsia="Arial" w:hAnsi="Arial"/>
                <w:sz w:val="13"/>
                <w:szCs w:val="13"/>
                <w:color w:val="auto"/>
              </w:rPr>
              <w:t>9,015,000</w:t>
            </w:r>
          </w:p>
        </w:tc>
        <w:tc>
          <w:tcPr>
            <w:tcW w:w="960" w:type="dxa"/>
            <w:vAlign w:val="bottom"/>
          </w:tcPr>
          <w:p>
            <w:pPr>
              <w:ind w:left="760"/>
              <w:spacing w:after="0" w:line="135" w:lineRule="exact"/>
              <w:rPr>
                <w:sz w:val="20"/>
                <w:szCs w:val="20"/>
                <w:color w:val="auto"/>
              </w:rPr>
            </w:pPr>
            <w:r>
              <w:rPr>
                <w:rFonts w:ascii="Arial" w:cs="Arial" w:eastAsia="Arial" w:hAnsi="Arial"/>
                <w:sz w:val="13"/>
                <w:szCs w:val="13"/>
                <w:color w:val="auto"/>
              </w:rPr>
              <w:t>—</w:t>
            </w:r>
          </w:p>
        </w:tc>
        <w:tc>
          <w:tcPr>
            <w:tcW w:w="980" w:type="dxa"/>
            <w:vAlign w:val="bottom"/>
          </w:tcPr>
          <w:p>
            <w:pPr>
              <w:jc w:val="right"/>
              <w:ind w:right="19"/>
              <w:spacing w:after="0" w:line="135" w:lineRule="exact"/>
              <w:rPr>
                <w:sz w:val="20"/>
                <w:szCs w:val="20"/>
                <w:color w:val="auto"/>
              </w:rPr>
            </w:pPr>
            <w:r>
              <w:rPr>
                <w:rFonts w:ascii="Arial" w:cs="Arial" w:eastAsia="Arial" w:hAnsi="Arial"/>
                <w:sz w:val="13"/>
                <w:szCs w:val="13"/>
                <w:color w:val="auto"/>
              </w:rPr>
              <w:t>287,656</w:t>
            </w: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16,652,646</w:t>
            </w:r>
          </w:p>
        </w:tc>
      </w:tr>
      <w:tr>
        <w:trPr>
          <w:trHeight w:val="153"/>
        </w:trPr>
        <w:tc>
          <w:tcPr>
            <w:tcW w:w="2380" w:type="dxa"/>
            <w:vAlign w:val="bottom"/>
            <w:tcBorders>
              <w:bottom w:val="single" w:sz="8" w:color="4A7EBB"/>
            </w:tcBorders>
          </w:tcPr>
          <w:p>
            <w:pPr>
              <w:spacing w:after="0"/>
              <w:rPr>
                <w:sz w:val="13"/>
                <w:szCs w:val="13"/>
                <w:color w:val="auto"/>
              </w:rPr>
            </w:pPr>
          </w:p>
        </w:tc>
        <w:tc>
          <w:tcPr>
            <w:tcW w:w="580" w:type="dxa"/>
            <w:vAlign w:val="bottom"/>
            <w:tcBorders>
              <w:bottom w:val="single" w:sz="8" w:color="4A7EBB"/>
            </w:tcBorders>
          </w:tcPr>
          <w:p>
            <w:pPr>
              <w:spacing w:after="0"/>
              <w:rPr>
                <w:sz w:val="13"/>
                <w:szCs w:val="13"/>
                <w:color w:val="auto"/>
              </w:rPr>
            </w:pPr>
          </w:p>
        </w:tc>
        <w:tc>
          <w:tcPr>
            <w:tcW w:w="460" w:type="dxa"/>
            <w:vAlign w:val="bottom"/>
            <w:tcBorders>
              <w:bottom w:val="single" w:sz="8" w:color="4A7EBB"/>
            </w:tcBorders>
          </w:tcPr>
          <w:p>
            <w:pPr>
              <w:jc w:val="center"/>
              <w:spacing w:after="0"/>
              <w:rPr>
                <w:sz w:val="20"/>
                <w:szCs w:val="20"/>
                <w:color w:val="auto"/>
              </w:rPr>
            </w:pPr>
            <w:r>
              <w:rPr>
                <w:rFonts w:ascii="Arial" w:cs="Arial" w:eastAsia="Arial" w:hAnsi="Arial"/>
                <w:sz w:val="13"/>
                <w:szCs w:val="13"/>
                <w:color w:val="auto"/>
                <w:w w:val="96"/>
              </w:rPr>
              <w:t>2024</w:t>
            </w:r>
          </w:p>
        </w:tc>
        <w:tc>
          <w:tcPr>
            <w:tcW w:w="740" w:type="dxa"/>
            <w:vAlign w:val="bottom"/>
            <w:tcBorders>
              <w:bottom w:val="single" w:sz="8" w:color="4A7EBB"/>
            </w:tcBorders>
          </w:tcPr>
          <w:p>
            <w:pPr>
              <w:jc w:val="right"/>
              <w:spacing w:after="0"/>
              <w:rPr>
                <w:sz w:val="20"/>
                <w:szCs w:val="20"/>
                <w:color w:val="auto"/>
              </w:rPr>
            </w:pPr>
            <w:r>
              <w:rPr>
                <w:rFonts w:ascii="Arial" w:cs="Arial" w:eastAsia="Arial" w:hAnsi="Arial"/>
                <w:sz w:val="13"/>
                <w:szCs w:val="13"/>
                <w:color w:val="auto"/>
              </w:rPr>
              <w:t>1,148,077</w:t>
            </w:r>
          </w:p>
        </w:tc>
        <w:tc>
          <w:tcPr>
            <w:tcW w:w="720" w:type="dxa"/>
            <w:vAlign w:val="bottom"/>
            <w:tcBorders>
              <w:bottom w:val="single" w:sz="8" w:color="4A7EBB"/>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4A7EBB"/>
            </w:tcBorders>
          </w:tcPr>
          <w:p>
            <w:pPr>
              <w:jc w:val="right"/>
              <w:spacing w:after="0"/>
              <w:rPr>
                <w:sz w:val="20"/>
                <w:szCs w:val="20"/>
                <w:color w:val="auto"/>
              </w:rPr>
            </w:pPr>
            <w:r>
              <w:rPr>
                <w:rFonts w:ascii="Arial" w:cs="Arial" w:eastAsia="Arial" w:hAnsi="Arial"/>
                <w:sz w:val="13"/>
                <w:szCs w:val="13"/>
                <w:color w:val="auto"/>
              </w:rPr>
              <w:t>20,709,998</w:t>
            </w:r>
          </w:p>
        </w:tc>
        <w:tc>
          <w:tcPr>
            <w:tcW w:w="560" w:type="dxa"/>
            <w:vAlign w:val="bottom"/>
            <w:tcBorders>
              <w:bottom w:val="single" w:sz="8" w:color="4A7EBB"/>
            </w:tcBorders>
          </w:tcPr>
          <w:p>
            <w:pPr>
              <w:ind w:left="360"/>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4A7EBB"/>
            </w:tcBorders>
          </w:tcPr>
          <w:p>
            <w:pPr>
              <w:jc w:val="right"/>
              <w:ind w:right="18"/>
              <w:spacing w:after="0"/>
              <w:rPr>
                <w:sz w:val="20"/>
                <w:szCs w:val="20"/>
                <w:color w:val="auto"/>
              </w:rPr>
            </w:pPr>
            <w:r>
              <w:rPr>
                <w:rFonts w:ascii="Arial" w:cs="Arial" w:eastAsia="Arial" w:hAnsi="Arial"/>
                <w:sz w:val="13"/>
                <w:szCs w:val="13"/>
                <w:color w:val="auto"/>
              </w:rPr>
              <w:t>9,384,000</w:t>
            </w:r>
          </w:p>
        </w:tc>
        <w:tc>
          <w:tcPr>
            <w:tcW w:w="960" w:type="dxa"/>
            <w:vAlign w:val="bottom"/>
            <w:tcBorders>
              <w:bottom w:val="single" w:sz="8" w:color="4A7EBB"/>
            </w:tcBorders>
          </w:tcPr>
          <w:p>
            <w:pPr>
              <w:ind w:left="760"/>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4A7EBB"/>
            </w:tcBorders>
          </w:tcPr>
          <w:p>
            <w:pPr>
              <w:jc w:val="right"/>
              <w:ind w:right="19"/>
              <w:spacing w:after="0"/>
              <w:rPr>
                <w:sz w:val="20"/>
                <w:szCs w:val="20"/>
                <w:color w:val="auto"/>
              </w:rPr>
            </w:pPr>
            <w:r>
              <w:rPr>
                <w:rFonts w:ascii="Arial" w:cs="Arial" w:eastAsia="Arial" w:hAnsi="Arial"/>
                <w:sz w:val="13"/>
                <w:szCs w:val="13"/>
                <w:color w:val="auto"/>
              </w:rPr>
              <w:t>188,964</w:t>
            </w:r>
          </w:p>
        </w:tc>
        <w:tc>
          <w:tcPr>
            <w:tcW w:w="760" w:type="dxa"/>
            <w:vAlign w:val="bottom"/>
            <w:tcBorders>
              <w:bottom w:val="single" w:sz="8" w:color="4A7EBB"/>
            </w:tcBorders>
          </w:tcPr>
          <w:p>
            <w:pPr>
              <w:jc w:val="right"/>
              <w:spacing w:after="0"/>
              <w:rPr>
                <w:sz w:val="20"/>
                <w:szCs w:val="20"/>
                <w:color w:val="auto"/>
              </w:rPr>
            </w:pPr>
            <w:r>
              <w:rPr>
                <w:rFonts w:ascii="Arial" w:cs="Arial" w:eastAsia="Arial" w:hAnsi="Arial"/>
                <w:sz w:val="13"/>
                <w:szCs w:val="13"/>
                <w:color w:val="auto"/>
              </w:rPr>
              <w:t>31,431,039</w:t>
            </w:r>
          </w:p>
        </w:tc>
      </w:tr>
      <w:tr>
        <w:trPr>
          <w:trHeight w:val="111"/>
        </w:trPr>
        <w:tc>
          <w:tcPr>
            <w:tcW w:w="2380" w:type="dxa"/>
            <w:vAlign w:val="bottom"/>
            <w:shd w:val="clear" w:color="auto" w:fill="F2F2F2"/>
          </w:tcPr>
          <w:p>
            <w:pPr>
              <w:spacing w:after="0" w:line="111" w:lineRule="exact"/>
              <w:rPr>
                <w:sz w:val="20"/>
                <w:szCs w:val="20"/>
                <w:color w:val="auto"/>
              </w:rPr>
            </w:pPr>
            <w:r>
              <w:rPr>
                <w:rFonts w:ascii="Arial" w:cs="Arial" w:eastAsia="Arial" w:hAnsi="Arial"/>
                <w:sz w:val="12"/>
                <w:szCs w:val="12"/>
                <w:b w:val="1"/>
                <w:bCs w:val="1"/>
                <w:color w:val="auto"/>
              </w:rPr>
              <w:t>Neal S. Nackman</w:t>
            </w:r>
          </w:p>
        </w:tc>
        <w:tc>
          <w:tcPr>
            <w:tcW w:w="580" w:type="dxa"/>
            <w:vAlign w:val="bottom"/>
            <w:shd w:val="clear" w:color="auto" w:fill="F2F2F2"/>
          </w:tcPr>
          <w:p>
            <w:pPr>
              <w:jc w:val="center"/>
              <w:ind w:left="20"/>
              <w:spacing w:after="0" w:line="111" w:lineRule="exact"/>
              <w:rPr>
                <w:sz w:val="20"/>
                <w:szCs w:val="20"/>
                <w:color w:val="auto"/>
              </w:rPr>
            </w:pPr>
            <w:r>
              <w:rPr>
                <w:rFonts w:ascii="Arial" w:cs="Arial" w:eastAsia="Arial" w:hAnsi="Arial"/>
                <w:sz w:val="12"/>
                <w:szCs w:val="12"/>
                <w:color w:val="auto"/>
              </w:rPr>
              <w:t>22</w:t>
            </w:r>
          </w:p>
        </w:tc>
        <w:tc>
          <w:tcPr>
            <w:tcW w:w="460" w:type="dxa"/>
            <w:vAlign w:val="bottom"/>
            <w:shd w:val="clear" w:color="auto" w:fill="F2F2F2"/>
          </w:tcPr>
          <w:p>
            <w:pPr>
              <w:jc w:val="center"/>
              <w:spacing w:after="0" w:line="111" w:lineRule="exact"/>
              <w:rPr>
                <w:sz w:val="20"/>
                <w:szCs w:val="20"/>
                <w:color w:val="auto"/>
              </w:rPr>
            </w:pPr>
            <w:r>
              <w:rPr>
                <w:rFonts w:ascii="Arial" w:cs="Arial" w:eastAsia="Arial" w:hAnsi="Arial"/>
                <w:sz w:val="12"/>
                <w:szCs w:val="12"/>
                <w:color w:val="auto"/>
              </w:rPr>
              <w:t>2026</w:t>
            </w:r>
          </w:p>
        </w:tc>
        <w:tc>
          <w:tcPr>
            <w:tcW w:w="740" w:type="dxa"/>
            <w:vAlign w:val="bottom"/>
            <w:shd w:val="clear" w:color="auto" w:fill="F2F2F2"/>
          </w:tcPr>
          <w:p>
            <w:pPr>
              <w:jc w:val="right"/>
              <w:spacing w:after="0" w:line="111" w:lineRule="exact"/>
              <w:rPr>
                <w:sz w:val="20"/>
                <w:szCs w:val="20"/>
                <w:color w:val="auto"/>
              </w:rPr>
            </w:pPr>
            <w:r>
              <w:rPr>
                <w:rFonts w:ascii="Arial" w:cs="Arial" w:eastAsia="Arial" w:hAnsi="Arial"/>
                <w:sz w:val="12"/>
                <w:szCs w:val="12"/>
                <w:color w:val="auto"/>
              </w:rPr>
              <w:t>750,000</w:t>
            </w:r>
          </w:p>
        </w:tc>
        <w:tc>
          <w:tcPr>
            <w:tcW w:w="720" w:type="dxa"/>
            <w:vAlign w:val="bottom"/>
            <w:shd w:val="clear" w:color="auto" w:fill="F2F2F2"/>
          </w:tcPr>
          <w:p>
            <w:pPr>
              <w:jc w:val="right"/>
              <w:spacing w:after="0" w:line="111" w:lineRule="exact"/>
              <w:rPr>
                <w:sz w:val="20"/>
                <w:szCs w:val="20"/>
                <w:color w:val="auto"/>
              </w:rPr>
            </w:pPr>
            <w:r>
              <w:rPr>
                <w:rFonts w:ascii="Arial" w:cs="Arial" w:eastAsia="Arial" w:hAnsi="Arial"/>
                <w:sz w:val="12"/>
                <w:szCs w:val="12"/>
                <w:color w:val="auto"/>
              </w:rPr>
              <w:t>—</w:t>
            </w:r>
          </w:p>
        </w:tc>
        <w:tc>
          <w:tcPr>
            <w:tcW w:w="800" w:type="dxa"/>
            <w:vAlign w:val="bottom"/>
            <w:shd w:val="clear" w:color="auto" w:fill="F2F2F2"/>
          </w:tcPr>
          <w:p>
            <w:pPr>
              <w:jc w:val="right"/>
              <w:spacing w:after="0" w:line="111" w:lineRule="exact"/>
              <w:rPr>
                <w:sz w:val="20"/>
                <w:szCs w:val="20"/>
                <w:color w:val="auto"/>
              </w:rPr>
            </w:pPr>
            <w:r>
              <w:rPr>
                <w:rFonts w:ascii="Arial" w:cs="Arial" w:eastAsia="Arial" w:hAnsi="Arial"/>
                <w:sz w:val="12"/>
                <w:szCs w:val="12"/>
                <w:color w:val="auto"/>
              </w:rPr>
              <w:t>499,958</w:t>
            </w:r>
          </w:p>
        </w:tc>
        <w:tc>
          <w:tcPr>
            <w:tcW w:w="560" w:type="dxa"/>
            <w:vAlign w:val="bottom"/>
            <w:shd w:val="clear" w:color="auto" w:fill="F2F2F2"/>
          </w:tcPr>
          <w:p>
            <w:pPr>
              <w:ind w:left="360"/>
              <w:spacing w:after="0" w:line="111" w:lineRule="exact"/>
              <w:rPr>
                <w:sz w:val="20"/>
                <w:szCs w:val="20"/>
                <w:color w:val="auto"/>
              </w:rPr>
            </w:pPr>
            <w:r>
              <w:rPr>
                <w:rFonts w:ascii="Arial" w:cs="Arial" w:eastAsia="Arial" w:hAnsi="Arial"/>
                <w:sz w:val="12"/>
                <w:szCs w:val="12"/>
                <w:color w:val="auto"/>
              </w:rPr>
              <w:t>—</w:t>
            </w:r>
          </w:p>
        </w:tc>
        <w:tc>
          <w:tcPr>
            <w:tcW w:w="980" w:type="dxa"/>
            <w:vAlign w:val="bottom"/>
            <w:shd w:val="clear" w:color="auto" w:fill="F2F2F2"/>
          </w:tcPr>
          <w:p>
            <w:pPr>
              <w:jc w:val="right"/>
              <w:ind w:right="18"/>
              <w:spacing w:after="0" w:line="111" w:lineRule="exact"/>
              <w:rPr>
                <w:sz w:val="20"/>
                <w:szCs w:val="20"/>
                <w:color w:val="auto"/>
              </w:rPr>
            </w:pPr>
            <w:r>
              <w:rPr>
                <w:rFonts w:ascii="Arial" w:cs="Arial" w:eastAsia="Arial" w:hAnsi="Arial"/>
                <w:sz w:val="12"/>
                <w:szCs w:val="12"/>
                <w:color w:val="auto"/>
              </w:rPr>
              <w:t>950,000</w:t>
            </w:r>
          </w:p>
        </w:tc>
        <w:tc>
          <w:tcPr>
            <w:tcW w:w="960" w:type="dxa"/>
            <w:vAlign w:val="bottom"/>
            <w:shd w:val="clear" w:color="auto" w:fill="F2F2F2"/>
          </w:tcPr>
          <w:p>
            <w:pPr>
              <w:ind w:left="760"/>
              <w:spacing w:after="0" w:line="111" w:lineRule="exact"/>
              <w:rPr>
                <w:sz w:val="20"/>
                <w:szCs w:val="20"/>
                <w:color w:val="auto"/>
              </w:rPr>
            </w:pPr>
            <w:r>
              <w:rPr>
                <w:rFonts w:ascii="Arial" w:cs="Arial" w:eastAsia="Arial" w:hAnsi="Arial"/>
                <w:sz w:val="12"/>
                <w:szCs w:val="12"/>
                <w:color w:val="auto"/>
              </w:rPr>
              <w:t>—</w:t>
            </w:r>
          </w:p>
        </w:tc>
        <w:tc>
          <w:tcPr>
            <w:tcW w:w="980" w:type="dxa"/>
            <w:vAlign w:val="bottom"/>
            <w:shd w:val="clear" w:color="auto" w:fill="F2F2F2"/>
          </w:tcPr>
          <w:p>
            <w:pPr>
              <w:jc w:val="right"/>
              <w:ind w:right="19"/>
              <w:spacing w:after="0" w:line="111" w:lineRule="exact"/>
              <w:rPr>
                <w:sz w:val="20"/>
                <w:szCs w:val="20"/>
                <w:color w:val="auto"/>
              </w:rPr>
            </w:pPr>
            <w:r>
              <w:rPr>
                <w:rFonts w:ascii="Arial" w:cs="Arial" w:eastAsia="Arial" w:hAnsi="Arial"/>
                <w:sz w:val="12"/>
                <w:szCs w:val="12"/>
                <w:color w:val="auto"/>
              </w:rPr>
              <w:t>31,088</w:t>
            </w:r>
          </w:p>
        </w:tc>
        <w:tc>
          <w:tcPr>
            <w:tcW w:w="760" w:type="dxa"/>
            <w:vAlign w:val="bottom"/>
            <w:shd w:val="clear" w:color="auto" w:fill="F2F2F2"/>
          </w:tcPr>
          <w:p>
            <w:pPr>
              <w:jc w:val="right"/>
              <w:spacing w:after="0" w:line="111" w:lineRule="exact"/>
              <w:rPr>
                <w:sz w:val="20"/>
                <w:szCs w:val="20"/>
                <w:color w:val="auto"/>
              </w:rPr>
            </w:pPr>
            <w:r>
              <w:rPr>
                <w:rFonts w:ascii="Arial" w:cs="Arial" w:eastAsia="Arial" w:hAnsi="Arial"/>
                <w:sz w:val="12"/>
                <w:szCs w:val="12"/>
                <w:color w:val="auto"/>
              </w:rPr>
              <w:t>2,231,046</w:t>
            </w:r>
          </w:p>
        </w:tc>
      </w:tr>
      <w:tr>
        <w:trPr>
          <w:trHeight w:val="135"/>
        </w:trPr>
        <w:tc>
          <w:tcPr>
            <w:tcW w:w="2380" w:type="dxa"/>
            <w:vAlign w:val="bottom"/>
            <w:shd w:val="clear" w:color="auto" w:fill="F2F2F2"/>
          </w:tcPr>
          <w:p>
            <w:pPr>
              <w:ind w:left="120"/>
              <w:spacing w:after="0" w:line="135" w:lineRule="exact"/>
              <w:rPr>
                <w:sz w:val="20"/>
                <w:szCs w:val="20"/>
                <w:color w:val="auto"/>
              </w:rPr>
            </w:pPr>
            <w:r>
              <w:rPr>
                <w:rFonts w:ascii="Arial" w:cs="Arial" w:eastAsia="Arial" w:hAnsi="Arial"/>
                <w:sz w:val="13"/>
                <w:szCs w:val="13"/>
                <w:color w:val="auto"/>
              </w:rPr>
              <w:t>Chief Financial Officer</w:t>
            </w:r>
          </w:p>
        </w:tc>
        <w:tc>
          <w:tcPr>
            <w:tcW w:w="580" w:type="dxa"/>
            <w:vAlign w:val="bottom"/>
            <w:shd w:val="clear" w:color="auto" w:fill="F2F2F2"/>
          </w:tcPr>
          <w:p>
            <w:pPr>
              <w:spacing w:after="0"/>
              <w:rPr>
                <w:sz w:val="11"/>
                <w:szCs w:val="11"/>
                <w:color w:val="auto"/>
              </w:rPr>
            </w:pPr>
          </w:p>
        </w:tc>
        <w:tc>
          <w:tcPr>
            <w:tcW w:w="460" w:type="dxa"/>
            <w:vAlign w:val="bottom"/>
            <w:shd w:val="clear" w:color="auto" w:fill="F2F2F2"/>
          </w:tcPr>
          <w:p>
            <w:pPr>
              <w:jc w:val="center"/>
              <w:spacing w:after="0" w:line="135" w:lineRule="exact"/>
              <w:rPr>
                <w:sz w:val="20"/>
                <w:szCs w:val="20"/>
                <w:color w:val="auto"/>
              </w:rPr>
            </w:pPr>
            <w:r>
              <w:rPr>
                <w:rFonts w:ascii="Arial" w:cs="Arial" w:eastAsia="Arial" w:hAnsi="Arial"/>
                <w:sz w:val="13"/>
                <w:szCs w:val="13"/>
                <w:color w:val="auto"/>
                <w:w w:val="96"/>
              </w:rPr>
              <w:t>2025</w:t>
            </w:r>
          </w:p>
        </w:tc>
        <w:tc>
          <w:tcPr>
            <w:tcW w:w="740" w:type="dxa"/>
            <w:vAlign w:val="bottom"/>
            <w:shd w:val="clear" w:color="auto" w:fill="F2F2F2"/>
          </w:tcPr>
          <w:p>
            <w:pPr>
              <w:jc w:val="right"/>
              <w:spacing w:after="0" w:line="135" w:lineRule="exact"/>
              <w:rPr>
                <w:sz w:val="20"/>
                <w:szCs w:val="20"/>
                <w:color w:val="auto"/>
              </w:rPr>
            </w:pPr>
            <w:r>
              <w:rPr>
                <w:rFonts w:ascii="Arial" w:cs="Arial" w:eastAsia="Arial" w:hAnsi="Arial"/>
                <w:sz w:val="13"/>
                <w:szCs w:val="13"/>
                <w:color w:val="auto"/>
              </w:rPr>
              <w:t>750,000</w:t>
            </w:r>
          </w:p>
        </w:tc>
        <w:tc>
          <w:tcPr>
            <w:tcW w:w="720" w:type="dxa"/>
            <w:vAlign w:val="bottom"/>
            <w:shd w:val="clear" w:color="auto" w:fill="F2F2F2"/>
          </w:tcPr>
          <w:p>
            <w:pPr>
              <w:jc w:val="right"/>
              <w:spacing w:after="0" w:line="135" w:lineRule="exact"/>
              <w:rPr>
                <w:sz w:val="20"/>
                <w:szCs w:val="20"/>
                <w:color w:val="auto"/>
              </w:rPr>
            </w:pPr>
            <w:r>
              <w:rPr>
                <w:rFonts w:ascii="Arial" w:cs="Arial" w:eastAsia="Arial" w:hAnsi="Arial"/>
                <w:sz w:val="13"/>
                <w:szCs w:val="13"/>
                <w:color w:val="auto"/>
              </w:rPr>
              <w:t>—</w:t>
            </w:r>
          </w:p>
        </w:tc>
        <w:tc>
          <w:tcPr>
            <w:tcW w:w="800" w:type="dxa"/>
            <w:vAlign w:val="bottom"/>
            <w:shd w:val="clear" w:color="auto" w:fill="F2F2F2"/>
          </w:tcPr>
          <w:p>
            <w:pPr>
              <w:jc w:val="right"/>
              <w:spacing w:after="0" w:line="135" w:lineRule="exact"/>
              <w:rPr>
                <w:sz w:val="20"/>
                <w:szCs w:val="20"/>
                <w:color w:val="auto"/>
              </w:rPr>
            </w:pPr>
            <w:r>
              <w:rPr>
                <w:rFonts w:ascii="Arial" w:cs="Arial" w:eastAsia="Arial" w:hAnsi="Arial"/>
                <w:sz w:val="13"/>
                <w:szCs w:val="13"/>
                <w:color w:val="auto"/>
              </w:rPr>
              <w:t>449,971</w:t>
            </w:r>
          </w:p>
        </w:tc>
        <w:tc>
          <w:tcPr>
            <w:tcW w:w="560" w:type="dxa"/>
            <w:vAlign w:val="bottom"/>
            <w:shd w:val="clear" w:color="auto" w:fill="F2F2F2"/>
          </w:tcPr>
          <w:p>
            <w:pPr>
              <w:ind w:left="360"/>
              <w:spacing w:after="0" w:line="135" w:lineRule="exact"/>
              <w:rPr>
                <w:sz w:val="20"/>
                <w:szCs w:val="20"/>
                <w:color w:val="auto"/>
              </w:rPr>
            </w:pPr>
            <w:r>
              <w:rPr>
                <w:rFonts w:ascii="Arial" w:cs="Arial" w:eastAsia="Arial" w:hAnsi="Arial"/>
                <w:sz w:val="13"/>
                <w:szCs w:val="13"/>
                <w:color w:val="auto"/>
              </w:rPr>
              <w:t>—</w:t>
            </w:r>
          </w:p>
        </w:tc>
        <w:tc>
          <w:tcPr>
            <w:tcW w:w="980" w:type="dxa"/>
            <w:vAlign w:val="bottom"/>
            <w:shd w:val="clear" w:color="auto" w:fill="F2F2F2"/>
          </w:tcPr>
          <w:p>
            <w:pPr>
              <w:jc w:val="right"/>
              <w:ind w:right="18"/>
              <w:spacing w:after="0" w:line="135" w:lineRule="exact"/>
              <w:rPr>
                <w:sz w:val="20"/>
                <w:szCs w:val="20"/>
                <w:color w:val="auto"/>
              </w:rPr>
            </w:pPr>
            <w:r>
              <w:rPr>
                <w:rFonts w:ascii="Arial" w:cs="Arial" w:eastAsia="Arial" w:hAnsi="Arial"/>
                <w:sz w:val="13"/>
                <w:szCs w:val="13"/>
                <w:color w:val="auto"/>
              </w:rPr>
              <w:t>1,000,000</w:t>
            </w:r>
          </w:p>
        </w:tc>
        <w:tc>
          <w:tcPr>
            <w:tcW w:w="960" w:type="dxa"/>
            <w:vAlign w:val="bottom"/>
            <w:shd w:val="clear" w:color="auto" w:fill="F2F2F2"/>
          </w:tcPr>
          <w:p>
            <w:pPr>
              <w:ind w:left="760"/>
              <w:spacing w:after="0" w:line="135" w:lineRule="exact"/>
              <w:rPr>
                <w:sz w:val="20"/>
                <w:szCs w:val="20"/>
                <w:color w:val="auto"/>
              </w:rPr>
            </w:pPr>
            <w:r>
              <w:rPr>
                <w:rFonts w:ascii="Arial" w:cs="Arial" w:eastAsia="Arial" w:hAnsi="Arial"/>
                <w:sz w:val="13"/>
                <w:szCs w:val="13"/>
                <w:color w:val="auto"/>
              </w:rPr>
              <w:t>—</w:t>
            </w:r>
          </w:p>
        </w:tc>
        <w:tc>
          <w:tcPr>
            <w:tcW w:w="980" w:type="dxa"/>
            <w:vAlign w:val="bottom"/>
            <w:shd w:val="clear" w:color="auto" w:fill="F2F2F2"/>
          </w:tcPr>
          <w:p>
            <w:pPr>
              <w:jc w:val="right"/>
              <w:ind w:right="19"/>
              <w:spacing w:after="0" w:line="135" w:lineRule="exact"/>
              <w:rPr>
                <w:sz w:val="20"/>
                <w:szCs w:val="20"/>
                <w:color w:val="auto"/>
              </w:rPr>
            </w:pPr>
            <w:r>
              <w:rPr>
                <w:rFonts w:ascii="Arial" w:cs="Arial" w:eastAsia="Arial" w:hAnsi="Arial"/>
                <w:sz w:val="13"/>
                <w:szCs w:val="13"/>
                <w:color w:val="auto"/>
              </w:rPr>
              <w:t>30,576</w:t>
            </w:r>
          </w:p>
        </w:tc>
        <w:tc>
          <w:tcPr>
            <w:tcW w:w="760" w:type="dxa"/>
            <w:vAlign w:val="bottom"/>
            <w:shd w:val="clear" w:color="auto" w:fill="F2F2F2"/>
          </w:tcPr>
          <w:p>
            <w:pPr>
              <w:jc w:val="right"/>
              <w:spacing w:after="0" w:line="135" w:lineRule="exact"/>
              <w:rPr>
                <w:sz w:val="20"/>
                <w:szCs w:val="20"/>
                <w:color w:val="auto"/>
              </w:rPr>
            </w:pPr>
            <w:r>
              <w:rPr>
                <w:rFonts w:ascii="Arial" w:cs="Arial" w:eastAsia="Arial" w:hAnsi="Arial"/>
                <w:sz w:val="13"/>
                <w:szCs w:val="13"/>
                <w:color w:val="auto"/>
              </w:rPr>
              <w:t>2,230,547</w:t>
            </w:r>
          </w:p>
        </w:tc>
      </w:tr>
      <w:tr>
        <w:trPr>
          <w:trHeight w:val="153"/>
        </w:trPr>
        <w:tc>
          <w:tcPr>
            <w:tcW w:w="2380" w:type="dxa"/>
            <w:vAlign w:val="bottom"/>
            <w:tcBorders>
              <w:bottom w:val="single" w:sz="8" w:color="4A7EBB"/>
            </w:tcBorders>
            <w:shd w:val="clear" w:color="auto" w:fill="F2F2F2"/>
          </w:tcPr>
          <w:p>
            <w:pPr>
              <w:spacing w:after="0"/>
              <w:rPr>
                <w:sz w:val="13"/>
                <w:szCs w:val="13"/>
                <w:color w:val="auto"/>
              </w:rPr>
            </w:pPr>
          </w:p>
        </w:tc>
        <w:tc>
          <w:tcPr>
            <w:tcW w:w="580" w:type="dxa"/>
            <w:vAlign w:val="bottom"/>
            <w:tcBorders>
              <w:bottom w:val="single" w:sz="8" w:color="4A7EBB"/>
            </w:tcBorders>
            <w:shd w:val="clear" w:color="auto" w:fill="F2F2F2"/>
          </w:tcPr>
          <w:p>
            <w:pPr>
              <w:spacing w:after="0"/>
              <w:rPr>
                <w:sz w:val="13"/>
                <w:szCs w:val="13"/>
                <w:color w:val="auto"/>
              </w:rPr>
            </w:pPr>
          </w:p>
        </w:tc>
        <w:tc>
          <w:tcPr>
            <w:tcW w:w="460" w:type="dxa"/>
            <w:vAlign w:val="bottom"/>
            <w:tcBorders>
              <w:bottom w:val="single" w:sz="8" w:color="4A7EBB"/>
            </w:tcBorders>
            <w:shd w:val="clear" w:color="auto" w:fill="F2F2F2"/>
          </w:tcPr>
          <w:p>
            <w:pPr>
              <w:jc w:val="center"/>
              <w:spacing w:after="0"/>
              <w:rPr>
                <w:sz w:val="20"/>
                <w:szCs w:val="20"/>
                <w:color w:val="auto"/>
              </w:rPr>
            </w:pPr>
            <w:r>
              <w:rPr>
                <w:rFonts w:ascii="Arial" w:cs="Arial" w:eastAsia="Arial" w:hAnsi="Arial"/>
                <w:sz w:val="13"/>
                <w:szCs w:val="13"/>
                <w:color w:val="auto"/>
                <w:w w:val="96"/>
              </w:rPr>
              <w:t>2024</w:t>
            </w:r>
          </w:p>
        </w:tc>
        <w:tc>
          <w:tcPr>
            <w:tcW w:w="740" w:type="dxa"/>
            <w:vAlign w:val="bottom"/>
            <w:tcBorders>
              <w:bottom w:val="single" w:sz="8" w:color="4A7EBB"/>
            </w:tcBorders>
            <w:shd w:val="clear" w:color="auto" w:fill="F2F2F2"/>
          </w:tcPr>
          <w:p>
            <w:pPr>
              <w:jc w:val="right"/>
              <w:spacing w:after="0"/>
              <w:rPr>
                <w:sz w:val="20"/>
                <w:szCs w:val="20"/>
                <w:color w:val="auto"/>
              </w:rPr>
            </w:pPr>
            <w:r>
              <w:rPr>
                <w:rFonts w:ascii="Arial" w:cs="Arial" w:eastAsia="Arial" w:hAnsi="Arial"/>
                <w:sz w:val="13"/>
                <w:szCs w:val="13"/>
                <w:color w:val="auto"/>
              </w:rPr>
              <w:t>750,000</w:t>
            </w:r>
          </w:p>
        </w:tc>
        <w:tc>
          <w:tcPr>
            <w:tcW w:w="720" w:type="dxa"/>
            <w:vAlign w:val="bottom"/>
            <w:tcBorders>
              <w:bottom w:val="single" w:sz="8" w:color="4A7EBB"/>
            </w:tcBorders>
            <w:shd w:val="clear" w:color="auto" w:fill="F2F2F2"/>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4A7EBB"/>
            </w:tcBorders>
            <w:shd w:val="clear" w:color="auto" w:fill="F2F2F2"/>
          </w:tcPr>
          <w:p>
            <w:pPr>
              <w:jc w:val="right"/>
              <w:spacing w:after="0"/>
              <w:rPr>
                <w:sz w:val="20"/>
                <w:szCs w:val="20"/>
                <w:color w:val="auto"/>
              </w:rPr>
            </w:pPr>
            <w:r>
              <w:rPr>
                <w:rFonts w:ascii="Arial" w:cs="Arial" w:eastAsia="Arial" w:hAnsi="Arial"/>
                <w:sz w:val="13"/>
                <w:szCs w:val="13"/>
                <w:color w:val="auto"/>
              </w:rPr>
              <w:t>449,986</w:t>
            </w:r>
          </w:p>
        </w:tc>
        <w:tc>
          <w:tcPr>
            <w:tcW w:w="560" w:type="dxa"/>
            <w:vAlign w:val="bottom"/>
            <w:tcBorders>
              <w:bottom w:val="single" w:sz="8" w:color="4A7EBB"/>
            </w:tcBorders>
            <w:shd w:val="clear" w:color="auto" w:fill="F2F2F2"/>
          </w:tcPr>
          <w:p>
            <w:pPr>
              <w:ind w:left="360"/>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4A7EBB"/>
            </w:tcBorders>
            <w:shd w:val="clear" w:color="auto" w:fill="F2F2F2"/>
          </w:tcPr>
          <w:p>
            <w:pPr>
              <w:jc w:val="right"/>
              <w:ind w:right="18"/>
              <w:spacing w:after="0"/>
              <w:rPr>
                <w:sz w:val="20"/>
                <w:szCs w:val="20"/>
                <w:color w:val="auto"/>
              </w:rPr>
            </w:pPr>
            <w:r>
              <w:rPr>
                <w:rFonts w:ascii="Arial" w:cs="Arial" w:eastAsia="Arial" w:hAnsi="Arial"/>
                <w:sz w:val="13"/>
                <w:szCs w:val="13"/>
                <w:color w:val="auto"/>
              </w:rPr>
              <w:t>1,000,000</w:t>
            </w:r>
          </w:p>
        </w:tc>
        <w:tc>
          <w:tcPr>
            <w:tcW w:w="960" w:type="dxa"/>
            <w:vAlign w:val="bottom"/>
            <w:tcBorders>
              <w:bottom w:val="single" w:sz="8" w:color="4A7EBB"/>
            </w:tcBorders>
            <w:shd w:val="clear" w:color="auto" w:fill="F2F2F2"/>
          </w:tcPr>
          <w:p>
            <w:pPr>
              <w:ind w:left="760"/>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4A7EBB"/>
            </w:tcBorders>
            <w:shd w:val="clear" w:color="auto" w:fill="F2F2F2"/>
          </w:tcPr>
          <w:p>
            <w:pPr>
              <w:jc w:val="right"/>
              <w:ind w:right="19"/>
              <w:spacing w:after="0"/>
              <w:rPr>
                <w:sz w:val="20"/>
                <w:szCs w:val="20"/>
                <w:color w:val="auto"/>
              </w:rPr>
            </w:pPr>
            <w:r>
              <w:rPr>
                <w:rFonts w:ascii="Arial" w:cs="Arial" w:eastAsia="Arial" w:hAnsi="Arial"/>
                <w:sz w:val="13"/>
                <w:szCs w:val="13"/>
                <w:color w:val="auto"/>
              </w:rPr>
              <w:t>26,352</w:t>
            </w:r>
          </w:p>
        </w:tc>
        <w:tc>
          <w:tcPr>
            <w:tcW w:w="760" w:type="dxa"/>
            <w:vAlign w:val="bottom"/>
            <w:tcBorders>
              <w:bottom w:val="single" w:sz="8" w:color="4A7EBB"/>
            </w:tcBorders>
            <w:shd w:val="clear" w:color="auto" w:fill="F2F2F2"/>
          </w:tcPr>
          <w:p>
            <w:pPr>
              <w:jc w:val="right"/>
              <w:spacing w:after="0"/>
              <w:rPr>
                <w:sz w:val="20"/>
                <w:szCs w:val="20"/>
                <w:color w:val="auto"/>
              </w:rPr>
            </w:pPr>
            <w:r>
              <w:rPr>
                <w:rFonts w:ascii="Arial" w:cs="Arial" w:eastAsia="Arial" w:hAnsi="Arial"/>
                <w:sz w:val="13"/>
                <w:szCs w:val="13"/>
                <w:color w:val="auto"/>
              </w:rPr>
              <w:t>2,226,338</w:t>
            </w:r>
          </w:p>
        </w:tc>
      </w:tr>
      <w:tr>
        <w:trPr>
          <w:trHeight w:val="111"/>
        </w:trPr>
        <w:tc>
          <w:tcPr>
            <w:tcW w:w="2380" w:type="dxa"/>
            <w:vAlign w:val="bottom"/>
          </w:tcPr>
          <w:p>
            <w:pPr>
              <w:spacing w:after="0" w:line="111" w:lineRule="exact"/>
              <w:rPr>
                <w:sz w:val="20"/>
                <w:szCs w:val="20"/>
                <w:color w:val="auto"/>
              </w:rPr>
            </w:pPr>
            <w:r>
              <w:rPr>
                <w:rFonts w:ascii="Arial" w:cs="Arial" w:eastAsia="Arial" w:hAnsi="Arial"/>
                <w:sz w:val="12"/>
                <w:szCs w:val="12"/>
                <w:b w:val="1"/>
                <w:bCs w:val="1"/>
                <w:color w:val="auto"/>
              </w:rPr>
              <w:t>Sammy Aaron</w:t>
            </w:r>
          </w:p>
        </w:tc>
        <w:tc>
          <w:tcPr>
            <w:tcW w:w="580" w:type="dxa"/>
            <w:vAlign w:val="bottom"/>
          </w:tcPr>
          <w:p>
            <w:pPr>
              <w:jc w:val="center"/>
              <w:ind w:left="20"/>
              <w:spacing w:after="0" w:line="111" w:lineRule="exact"/>
              <w:rPr>
                <w:sz w:val="20"/>
                <w:szCs w:val="20"/>
                <w:color w:val="auto"/>
              </w:rPr>
            </w:pPr>
            <w:r>
              <w:rPr>
                <w:rFonts w:ascii="Arial" w:cs="Arial" w:eastAsia="Arial" w:hAnsi="Arial"/>
                <w:sz w:val="12"/>
                <w:szCs w:val="12"/>
                <w:color w:val="auto"/>
              </w:rPr>
              <w:t>20</w:t>
            </w:r>
          </w:p>
        </w:tc>
        <w:tc>
          <w:tcPr>
            <w:tcW w:w="460" w:type="dxa"/>
            <w:vAlign w:val="bottom"/>
          </w:tcPr>
          <w:p>
            <w:pPr>
              <w:jc w:val="center"/>
              <w:spacing w:after="0" w:line="111" w:lineRule="exact"/>
              <w:rPr>
                <w:sz w:val="20"/>
                <w:szCs w:val="20"/>
                <w:color w:val="auto"/>
              </w:rPr>
            </w:pPr>
            <w:r>
              <w:rPr>
                <w:rFonts w:ascii="Arial" w:cs="Arial" w:eastAsia="Arial" w:hAnsi="Arial"/>
                <w:sz w:val="12"/>
                <w:szCs w:val="12"/>
                <w:color w:val="auto"/>
              </w:rPr>
              <w:t>2026</w:t>
            </w:r>
          </w:p>
        </w:tc>
        <w:tc>
          <w:tcPr>
            <w:tcW w:w="740" w:type="dxa"/>
            <w:vAlign w:val="bottom"/>
          </w:tcPr>
          <w:p>
            <w:pPr>
              <w:jc w:val="right"/>
              <w:spacing w:after="0" w:line="111" w:lineRule="exact"/>
              <w:rPr>
                <w:sz w:val="20"/>
                <w:szCs w:val="20"/>
                <w:color w:val="auto"/>
              </w:rPr>
            </w:pPr>
            <w:r>
              <w:rPr>
                <w:rFonts w:ascii="Arial" w:cs="Arial" w:eastAsia="Arial" w:hAnsi="Arial"/>
                <w:sz w:val="12"/>
                <w:szCs w:val="12"/>
                <w:color w:val="auto"/>
              </w:rPr>
              <w:t>1,000,000</w:t>
            </w:r>
          </w:p>
        </w:tc>
        <w:tc>
          <w:tcPr>
            <w:tcW w:w="720" w:type="dxa"/>
            <w:vAlign w:val="bottom"/>
          </w:tcPr>
          <w:p>
            <w:pPr>
              <w:jc w:val="right"/>
              <w:spacing w:after="0" w:line="111" w:lineRule="exact"/>
              <w:rPr>
                <w:sz w:val="20"/>
                <w:szCs w:val="20"/>
                <w:color w:val="auto"/>
              </w:rPr>
            </w:pPr>
            <w:r>
              <w:rPr>
                <w:rFonts w:ascii="Arial" w:cs="Arial" w:eastAsia="Arial" w:hAnsi="Arial"/>
                <w:sz w:val="12"/>
                <w:szCs w:val="12"/>
                <w:color w:val="auto"/>
              </w:rPr>
              <w:t>—</w:t>
            </w:r>
          </w:p>
        </w:tc>
        <w:tc>
          <w:tcPr>
            <w:tcW w:w="800" w:type="dxa"/>
            <w:vAlign w:val="bottom"/>
          </w:tcPr>
          <w:p>
            <w:pPr>
              <w:jc w:val="right"/>
              <w:spacing w:after="0" w:line="111" w:lineRule="exact"/>
              <w:rPr>
                <w:sz w:val="20"/>
                <w:szCs w:val="20"/>
                <w:color w:val="auto"/>
              </w:rPr>
            </w:pPr>
            <w:r>
              <w:rPr>
                <w:rFonts w:ascii="Arial" w:cs="Arial" w:eastAsia="Arial" w:hAnsi="Arial"/>
                <w:sz w:val="12"/>
                <w:szCs w:val="12"/>
                <w:color w:val="auto"/>
              </w:rPr>
              <w:t>4,499,995</w:t>
            </w:r>
          </w:p>
        </w:tc>
        <w:tc>
          <w:tcPr>
            <w:tcW w:w="560" w:type="dxa"/>
            <w:vAlign w:val="bottom"/>
          </w:tcPr>
          <w:p>
            <w:pPr>
              <w:ind w:left="360"/>
              <w:spacing w:after="0" w:line="111" w:lineRule="exact"/>
              <w:rPr>
                <w:sz w:val="20"/>
                <w:szCs w:val="20"/>
                <w:color w:val="auto"/>
              </w:rPr>
            </w:pPr>
            <w:r>
              <w:rPr>
                <w:rFonts w:ascii="Arial" w:cs="Arial" w:eastAsia="Arial" w:hAnsi="Arial"/>
                <w:sz w:val="12"/>
                <w:szCs w:val="12"/>
                <w:color w:val="auto"/>
              </w:rPr>
              <w:t>—</w:t>
            </w:r>
          </w:p>
        </w:tc>
        <w:tc>
          <w:tcPr>
            <w:tcW w:w="980" w:type="dxa"/>
            <w:vAlign w:val="bottom"/>
          </w:tcPr>
          <w:p>
            <w:pPr>
              <w:jc w:val="right"/>
              <w:ind w:right="18"/>
              <w:spacing w:after="0" w:line="111" w:lineRule="exact"/>
              <w:rPr>
                <w:sz w:val="20"/>
                <w:szCs w:val="20"/>
                <w:color w:val="auto"/>
              </w:rPr>
            </w:pPr>
            <w:r>
              <w:rPr>
                <w:rFonts w:ascii="Arial" w:cs="Arial" w:eastAsia="Arial" w:hAnsi="Arial"/>
                <w:sz w:val="12"/>
                <w:szCs w:val="12"/>
                <w:color w:val="auto"/>
              </w:rPr>
              <w:t>3,624,000</w:t>
            </w:r>
          </w:p>
        </w:tc>
        <w:tc>
          <w:tcPr>
            <w:tcW w:w="960" w:type="dxa"/>
            <w:vAlign w:val="bottom"/>
          </w:tcPr>
          <w:p>
            <w:pPr>
              <w:ind w:left="760"/>
              <w:spacing w:after="0" w:line="111" w:lineRule="exact"/>
              <w:rPr>
                <w:sz w:val="20"/>
                <w:szCs w:val="20"/>
                <w:color w:val="auto"/>
              </w:rPr>
            </w:pPr>
            <w:r>
              <w:rPr>
                <w:rFonts w:ascii="Arial" w:cs="Arial" w:eastAsia="Arial" w:hAnsi="Arial"/>
                <w:sz w:val="12"/>
                <w:szCs w:val="12"/>
                <w:color w:val="auto"/>
              </w:rPr>
              <w:t>—</w:t>
            </w:r>
          </w:p>
        </w:tc>
        <w:tc>
          <w:tcPr>
            <w:tcW w:w="980" w:type="dxa"/>
            <w:vAlign w:val="bottom"/>
          </w:tcPr>
          <w:p>
            <w:pPr>
              <w:jc w:val="right"/>
              <w:ind w:right="19"/>
              <w:spacing w:after="0" w:line="111" w:lineRule="exact"/>
              <w:rPr>
                <w:sz w:val="20"/>
                <w:szCs w:val="20"/>
                <w:color w:val="auto"/>
              </w:rPr>
            </w:pPr>
            <w:r>
              <w:rPr>
                <w:rFonts w:ascii="Arial" w:cs="Arial" w:eastAsia="Arial" w:hAnsi="Arial"/>
                <w:sz w:val="12"/>
                <w:szCs w:val="12"/>
                <w:color w:val="auto"/>
              </w:rPr>
              <w:t>48,171</w:t>
            </w:r>
          </w:p>
        </w:tc>
        <w:tc>
          <w:tcPr>
            <w:tcW w:w="760" w:type="dxa"/>
            <w:vAlign w:val="bottom"/>
          </w:tcPr>
          <w:p>
            <w:pPr>
              <w:jc w:val="right"/>
              <w:spacing w:after="0" w:line="111" w:lineRule="exact"/>
              <w:rPr>
                <w:sz w:val="20"/>
                <w:szCs w:val="20"/>
                <w:color w:val="auto"/>
              </w:rPr>
            </w:pPr>
            <w:r>
              <w:rPr>
                <w:rFonts w:ascii="Arial" w:cs="Arial" w:eastAsia="Arial" w:hAnsi="Arial"/>
                <w:sz w:val="12"/>
                <w:szCs w:val="12"/>
                <w:color w:val="auto"/>
              </w:rPr>
              <w:t>9,172,166</w:t>
            </w:r>
          </w:p>
        </w:tc>
      </w:tr>
      <w:tr>
        <w:trPr>
          <w:trHeight w:val="135"/>
        </w:trPr>
        <w:tc>
          <w:tcPr>
            <w:tcW w:w="2380" w:type="dxa"/>
            <w:vAlign w:val="bottom"/>
          </w:tcPr>
          <w:p>
            <w:pPr>
              <w:ind w:left="120"/>
              <w:spacing w:after="0" w:line="135" w:lineRule="exact"/>
              <w:rPr>
                <w:sz w:val="20"/>
                <w:szCs w:val="20"/>
                <w:color w:val="auto"/>
              </w:rPr>
            </w:pPr>
            <w:r>
              <w:rPr>
                <w:rFonts w:ascii="Arial" w:cs="Arial" w:eastAsia="Arial" w:hAnsi="Arial"/>
                <w:sz w:val="13"/>
                <w:szCs w:val="13"/>
                <w:color w:val="auto"/>
              </w:rPr>
              <w:t>Vice Chairman and President</w:t>
            </w:r>
          </w:p>
        </w:tc>
        <w:tc>
          <w:tcPr>
            <w:tcW w:w="580" w:type="dxa"/>
            <w:vAlign w:val="bottom"/>
          </w:tcPr>
          <w:p>
            <w:pPr>
              <w:spacing w:after="0"/>
              <w:rPr>
                <w:sz w:val="11"/>
                <w:szCs w:val="11"/>
                <w:color w:val="auto"/>
              </w:rPr>
            </w:pPr>
          </w:p>
        </w:tc>
        <w:tc>
          <w:tcPr>
            <w:tcW w:w="460" w:type="dxa"/>
            <w:vAlign w:val="bottom"/>
          </w:tcPr>
          <w:p>
            <w:pPr>
              <w:jc w:val="center"/>
              <w:spacing w:after="0" w:line="135" w:lineRule="exact"/>
              <w:rPr>
                <w:sz w:val="20"/>
                <w:szCs w:val="20"/>
                <w:color w:val="auto"/>
              </w:rPr>
            </w:pPr>
            <w:r>
              <w:rPr>
                <w:rFonts w:ascii="Arial" w:cs="Arial" w:eastAsia="Arial" w:hAnsi="Arial"/>
                <w:sz w:val="13"/>
                <w:szCs w:val="13"/>
                <w:color w:val="auto"/>
                <w:w w:val="96"/>
              </w:rPr>
              <w:t>2025</w:t>
            </w: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1,000,000</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1,000,000</w:t>
            </w: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4,500,000</w:t>
            </w:r>
          </w:p>
        </w:tc>
        <w:tc>
          <w:tcPr>
            <w:tcW w:w="560" w:type="dxa"/>
            <w:vAlign w:val="bottom"/>
          </w:tcPr>
          <w:p>
            <w:pPr>
              <w:ind w:left="360"/>
              <w:spacing w:after="0" w:line="135" w:lineRule="exact"/>
              <w:rPr>
                <w:sz w:val="20"/>
                <w:szCs w:val="20"/>
                <w:color w:val="auto"/>
              </w:rPr>
            </w:pPr>
            <w:r>
              <w:rPr>
                <w:rFonts w:ascii="Arial" w:cs="Arial" w:eastAsia="Arial" w:hAnsi="Arial"/>
                <w:sz w:val="13"/>
                <w:szCs w:val="13"/>
                <w:color w:val="auto"/>
              </w:rPr>
              <w:t>—</w:t>
            </w:r>
          </w:p>
        </w:tc>
        <w:tc>
          <w:tcPr>
            <w:tcW w:w="980" w:type="dxa"/>
            <w:vAlign w:val="bottom"/>
          </w:tcPr>
          <w:p>
            <w:pPr>
              <w:jc w:val="right"/>
              <w:ind w:right="18"/>
              <w:spacing w:after="0" w:line="135" w:lineRule="exact"/>
              <w:rPr>
                <w:sz w:val="20"/>
                <w:szCs w:val="20"/>
                <w:color w:val="auto"/>
              </w:rPr>
            </w:pPr>
            <w:r>
              <w:rPr>
                <w:rFonts w:ascii="Arial" w:cs="Arial" w:eastAsia="Arial" w:hAnsi="Arial"/>
                <w:sz w:val="13"/>
                <w:szCs w:val="13"/>
                <w:color w:val="auto"/>
              </w:rPr>
              <w:t>6,761,000</w:t>
            </w:r>
          </w:p>
        </w:tc>
        <w:tc>
          <w:tcPr>
            <w:tcW w:w="960" w:type="dxa"/>
            <w:vAlign w:val="bottom"/>
          </w:tcPr>
          <w:p>
            <w:pPr>
              <w:ind w:left="760"/>
              <w:spacing w:after="0" w:line="135" w:lineRule="exact"/>
              <w:rPr>
                <w:sz w:val="20"/>
                <w:szCs w:val="20"/>
                <w:color w:val="auto"/>
              </w:rPr>
            </w:pPr>
            <w:r>
              <w:rPr>
                <w:rFonts w:ascii="Arial" w:cs="Arial" w:eastAsia="Arial" w:hAnsi="Arial"/>
                <w:sz w:val="13"/>
                <w:szCs w:val="13"/>
                <w:color w:val="auto"/>
              </w:rPr>
              <w:t>—</w:t>
            </w:r>
          </w:p>
        </w:tc>
        <w:tc>
          <w:tcPr>
            <w:tcW w:w="980" w:type="dxa"/>
            <w:vAlign w:val="bottom"/>
          </w:tcPr>
          <w:p>
            <w:pPr>
              <w:jc w:val="right"/>
              <w:ind w:right="19"/>
              <w:spacing w:after="0" w:line="135" w:lineRule="exact"/>
              <w:rPr>
                <w:sz w:val="20"/>
                <w:szCs w:val="20"/>
                <w:color w:val="auto"/>
              </w:rPr>
            </w:pPr>
            <w:r>
              <w:rPr>
                <w:rFonts w:ascii="Arial" w:cs="Arial" w:eastAsia="Arial" w:hAnsi="Arial"/>
                <w:sz w:val="13"/>
                <w:szCs w:val="13"/>
                <w:color w:val="auto"/>
              </w:rPr>
              <w:t>49,524</w:t>
            </w: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13,310,524</w:t>
            </w:r>
          </w:p>
        </w:tc>
      </w:tr>
      <w:tr>
        <w:trPr>
          <w:trHeight w:val="153"/>
        </w:trPr>
        <w:tc>
          <w:tcPr>
            <w:tcW w:w="2380" w:type="dxa"/>
            <w:vAlign w:val="bottom"/>
            <w:tcBorders>
              <w:bottom w:val="single" w:sz="8" w:color="4A7EBB"/>
            </w:tcBorders>
          </w:tcPr>
          <w:p>
            <w:pPr>
              <w:spacing w:after="0"/>
              <w:rPr>
                <w:sz w:val="13"/>
                <w:szCs w:val="13"/>
                <w:color w:val="auto"/>
              </w:rPr>
            </w:pPr>
          </w:p>
        </w:tc>
        <w:tc>
          <w:tcPr>
            <w:tcW w:w="580" w:type="dxa"/>
            <w:vAlign w:val="bottom"/>
            <w:tcBorders>
              <w:bottom w:val="single" w:sz="8" w:color="4A7EBB"/>
            </w:tcBorders>
          </w:tcPr>
          <w:p>
            <w:pPr>
              <w:spacing w:after="0"/>
              <w:rPr>
                <w:sz w:val="13"/>
                <w:szCs w:val="13"/>
                <w:color w:val="auto"/>
              </w:rPr>
            </w:pPr>
          </w:p>
        </w:tc>
        <w:tc>
          <w:tcPr>
            <w:tcW w:w="460" w:type="dxa"/>
            <w:vAlign w:val="bottom"/>
            <w:tcBorders>
              <w:bottom w:val="single" w:sz="8" w:color="4A7EBB"/>
            </w:tcBorders>
          </w:tcPr>
          <w:p>
            <w:pPr>
              <w:jc w:val="center"/>
              <w:spacing w:after="0"/>
              <w:rPr>
                <w:sz w:val="20"/>
                <w:szCs w:val="20"/>
                <w:color w:val="auto"/>
              </w:rPr>
            </w:pPr>
            <w:r>
              <w:rPr>
                <w:rFonts w:ascii="Arial" w:cs="Arial" w:eastAsia="Arial" w:hAnsi="Arial"/>
                <w:sz w:val="13"/>
                <w:szCs w:val="13"/>
                <w:color w:val="auto"/>
                <w:w w:val="96"/>
              </w:rPr>
              <w:t>2024</w:t>
            </w:r>
          </w:p>
        </w:tc>
        <w:tc>
          <w:tcPr>
            <w:tcW w:w="740" w:type="dxa"/>
            <w:vAlign w:val="bottom"/>
            <w:tcBorders>
              <w:bottom w:val="single" w:sz="8" w:color="4A7EBB"/>
            </w:tcBorders>
          </w:tcPr>
          <w:p>
            <w:pPr>
              <w:jc w:val="right"/>
              <w:spacing w:after="0"/>
              <w:rPr>
                <w:sz w:val="20"/>
                <w:szCs w:val="20"/>
                <w:color w:val="auto"/>
              </w:rPr>
            </w:pPr>
            <w:r>
              <w:rPr>
                <w:rFonts w:ascii="Arial" w:cs="Arial" w:eastAsia="Arial" w:hAnsi="Arial"/>
                <w:sz w:val="13"/>
                <w:szCs w:val="13"/>
                <w:color w:val="auto"/>
              </w:rPr>
              <w:t>969,039</w:t>
            </w:r>
          </w:p>
        </w:tc>
        <w:tc>
          <w:tcPr>
            <w:tcW w:w="720" w:type="dxa"/>
            <w:vAlign w:val="bottom"/>
            <w:tcBorders>
              <w:bottom w:val="single" w:sz="8" w:color="4A7EBB"/>
            </w:tcBorders>
          </w:tcPr>
          <w:p>
            <w:pPr>
              <w:jc w:val="right"/>
              <w:spacing w:after="0"/>
              <w:rPr>
                <w:sz w:val="20"/>
                <w:szCs w:val="20"/>
                <w:color w:val="auto"/>
              </w:rPr>
            </w:pPr>
            <w:r>
              <w:rPr>
                <w:rFonts w:ascii="Arial" w:cs="Arial" w:eastAsia="Arial" w:hAnsi="Arial"/>
                <w:sz w:val="13"/>
                <w:szCs w:val="13"/>
                <w:color w:val="auto"/>
              </w:rPr>
              <w:t>2,000,000</w:t>
            </w:r>
          </w:p>
        </w:tc>
        <w:tc>
          <w:tcPr>
            <w:tcW w:w="800" w:type="dxa"/>
            <w:vAlign w:val="bottom"/>
            <w:tcBorders>
              <w:bottom w:val="single" w:sz="8" w:color="4A7EBB"/>
            </w:tcBorders>
          </w:tcPr>
          <w:p>
            <w:pPr>
              <w:jc w:val="right"/>
              <w:spacing w:after="0"/>
              <w:rPr>
                <w:sz w:val="20"/>
                <w:szCs w:val="20"/>
                <w:color w:val="auto"/>
              </w:rPr>
            </w:pPr>
            <w:r>
              <w:rPr>
                <w:rFonts w:ascii="Arial" w:cs="Arial" w:eastAsia="Arial" w:hAnsi="Arial"/>
                <w:sz w:val="13"/>
                <w:szCs w:val="13"/>
                <w:color w:val="auto"/>
              </w:rPr>
              <w:t>2,699,978</w:t>
            </w:r>
          </w:p>
        </w:tc>
        <w:tc>
          <w:tcPr>
            <w:tcW w:w="560" w:type="dxa"/>
            <w:vAlign w:val="bottom"/>
            <w:tcBorders>
              <w:bottom w:val="single" w:sz="8" w:color="4A7EBB"/>
            </w:tcBorders>
          </w:tcPr>
          <w:p>
            <w:pPr>
              <w:ind w:left="360"/>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4A7EBB"/>
            </w:tcBorders>
          </w:tcPr>
          <w:p>
            <w:pPr>
              <w:jc w:val="right"/>
              <w:ind w:right="18"/>
              <w:spacing w:after="0"/>
              <w:rPr>
                <w:sz w:val="20"/>
                <w:szCs w:val="20"/>
                <w:color w:val="auto"/>
              </w:rPr>
            </w:pPr>
            <w:r>
              <w:rPr>
                <w:rFonts w:ascii="Arial" w:cs="Arial" w:eastAsia="Arial" w:hAnsi="Arial"/>
                <w:sz w:val="13"/>
                <w:szCs w:val="13"/>
                <w:color w:val="auto"/>
              </w:rPr>
              <w:t>7,050,000</w:t>
            </w:r>
          </w:p>
        </w:tc>
        <w:tc>
          <w:tcPr>
            <w:tcW w:w="960" w:type="dxa"/>
            <w:vAlign w:val="bottom"/>
            <w:tcBorders>
              <w:bottom w:val="single" w:sz="8" w:color="4A7EBB"/>
            </w:tcBorders>
          </w:tcPr>
          <w:p>
            <w:pPr>
              <w:ind w:left="760"/>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4A7EBB"/>
            </w:tcBorders>
          </w:tcPr>
          <w:p>
            <w:pPr>
              <w:jc w:val="right"/>
              <w:ind w:right="19"/>
              <w:spacing w:after="0"/>
              <w:rPr>
                <w:sz w:val="20"/>
                <w:szCs w:val="20"/>
                <w:color w:val="auto"/>
              </w:rPr>
            </w:pPr>
            <w:r>
              <w:rPr>
                <w:rFonts w:ascii="Arial" w:cs="Arial" w:eastAsia="Arial" w:hAnsi="Arial"/>
                <w:sz w:val="13"/>
                <w:szCs w:val="13"/>
                <w:color w:val="auto"/>
              </w:rPr>
              <w:t>59,307</w:t>
            </w:r>
          </w:p>
        </w:tc>
        <w:tc>
          <w:tcPr>
            <w:tcW w:w="760" w:type="dxa"/>
            <w:vAlign w:val="bottom"/>
            <w:tcBorders>
              <w:bottom w:val="single" w:sz="8" w:color="4A7EBB"/>
            </w:tcBorders>
          </w:tcPr>
          <w:p>
            <w:pPr>
              <w:jc w:val="right"/>
              <w:spacing w:after="0"/>
              <w:rPr>
                <w:sz w:val="20"/>
                <w:szCs w:val="20"/>
                <w:color w:val="auto"/>
              </w:rPr>
            </w:pPr>
            <w:r>
              <w:rPr>
                <w:rFonts w:ascii="Arial" w:cs="Arial" w:eastAsia="Arial" w:hAnsi="Arial"/>
                <w:sz w:val="13"/>
                <w:szCs w:val="13"/>
                <w:color w:val="auto"/>
              </w:rPr>
              <w:t>12,778,324</w:t>
            </w:r>
          </w:p>
        </w:tc>
      </w:tr>
      <w:tr>
        <w:trPr>
          <w:trHeight w:val="111"/>
        </w:trPr>
        <w:tc>
          <w:tcPr>
            <w:tcW w:w="2380" w:type="dxa"/>
            <w:vAlign w:val="bottom"/>
            <w:shd w:val="clear" w:color="auto" w:fill="F2F2F2"/>
          </w:tcPr>
          <w:p>
            <w:pPr>
              <w:spacing w:after="0" w:line="111" w:lineRule="exact"/>
              <w:rPr>
                <w:sz w:val="20"/>
                <w:szCs w:val="20"/>
                <w:color w:val="auto"/>
              </w:rPr>
            </w:pPr>
            <w:r>
              <w:rPr>
                <w:rFonts w:ascii="Arial" w:cs="Arial" w:eastAsia="Arial" w:hAnsi="Arial"/>
                <w:sz w:val="12"/>
                <w:szCs w:val="12"/>
                <w:b w:val="1"/>
                <w:bCs w:val="1"/>
                <w:color w:val="auto"/>
              </w:rPr>
              <w:t>Jeffrey Goldfarb</w:t>
            </w:r>
          </w:p>
        </w:tc>
        <w:tc>
          <w:tcPr>
            <w:tcW w:w="580" w:type="dxa"/>
            <w:vAlign w:val="bottom"/>
            <w:shd w:val="clear" w:color="auto" w:fill="F2F2F2"/>
          </w:tcPr>
          <w:p>
            <w:pPr>
              <w:jc w:val="center"/>
              <w:ind w:left="20"/>
              <w:spacing w:after="0" w:line="111" w:lineRule="exact"/>
              <w:rPr>
                <w:sz w:val="20"/>
                <w:szCs w:val="20"/>
                <w:color w:val="auto"/>
              </w:rPr>
            </w:pPr>
            <w:r>
              <w:rPr>
                <w:rFonts w:ascii="Arial" w:cs="Arial" w:eastAsia="Arial" w:hAnsi="Arial"/>
                <w:sz w:val="12"/>
                <w:szCs w:val="12"/>
                <w:color w:val="auto"/>
              </w:rPr>
              <w:t>19</w:t>
            </w:r>
          </w:p>
        </w:tc>
        <w:tc>
          <w:tcPr>
            <w:tcW w:w="460" w:type="dxa"/>
            <w:vAlign w:val="bottom"/>
            <w:shd w:val="clear" w:color="auto" w:fill="F2F2F2"/>
          </w:tcPr>
          <w:p>
            <w:pPr>
              <w:jc w:val="center"/>
              <w:spacing w:after="0" w:line="111" w:lineRule="exact"/>
              <w:rPr>
                <w:sz w:val="20"/>
                <w:szCs w:val="20"/>
                <w:color w:val="auto"/>
              </w:rPr>
            </w:pPr>
            <w:r>
              <w:rPr>
                <w:rFonts w:ascii="Arial" w:cs="Arial" w:eastAsia="Arial" w:hAnsi="Arial"/>
                <w:sz w:val="12"/>
                <w:szCs w:val="12"/>
                <w:color w:val="auto"/>
              </w:rPr>
              <w:t>2026</w:t>
            </w:r>
          </w:p>
        </w:tc>
        <w:tc>
          <w:tcPr>
            <w:tcW w:w="740" w:type="dxa"/>
            <w:vAlign w:val="bottom"/>
            <w:shd w:val="clear" w:color="auto" w:fill="F2F2F2"/>
          </w:tcPr>
          <w:p>
            <w:pPr>
              <w:jc w:val="right"/>
              <w:spacing w:after="0" w:line="111" w:lineRule="exact"/>
              <w:rPr>
                <w:sz w:val="20"/>
                <w:szCs w:val="20"/>
                <w:color w:val="auto"/>
              </w:rPr>
            </w:pPr>
            <w:r>
              <w:rPr>
                <w:rFonts w:ascii="Arial" w:cs="Arial" w:eastAsia="Arial" w:hAnsi="Arial"/>
                <w:sz w:val="12"/>
                <w:szCs w:val="12"/>
                <w:color w:val="auto"/>
              </w:rPr>
              <w:t>950,000</w:t>
            </w:r>
          </w:p>
        </w:tc>
        <w:tc>
          <w:tcPr>
            <w:tcW w:w="720" w:type="dxa"/>
            <w:vAlign w:val="bottom"/>
            <w:shd w:val="clear" w:color="auto" w:fill="F2F2F2"/>
          </w:tcPr>
          <w:p>
            <w:pPr>
              <w:jc w:val="right"/>
              <w:spacing w:after="0" w:line="111" w:lineRule="exact"/>
              <w:rPr>
                <w:sz w:val="20"/>
                <w:szCs w:val="20"/>
                <w:color w:val="auto"/>
              </w:rPr>
            </w:pPr>
            <w:r>
              <w:rPr>
                <w:rFonts w:ascii="Arial" w:cs="Arial" w:eastAsia="Arial" w:hAnsi="Arial"/>
                <w:sz w:val="12"/>
                <w:szCs w:val="12"/>
                <w:color w:val="auto"/>
              </w:rPr>
              <w:t>—</w:t>
            </w:r>
          </w:p>
        </w:tc>
        <w:tc>
          <w:tcPr>
            <w:tcW w:w="800" w:type="dxa"/>
            <w:vAlign w:val="bottom"/>
            <w:shd w:val="clear" w:color="auto" w:fill="F2F2F2"/>
          </w:tcPr>
          <w:p>
            <w:pPr>
              <w:jc w:val="right"/>
              <w:spacing w:after="0" w:line="111" w:lineRule="exact"/>
              <w:rPr>
                <w:sz w:val="20"/>
                <w:szCs w:val="20"/>
                <w:color w:val="auto"/>
              </w:rPr>
            </w:pPr>
            <w:r>
              <w:rPr>
                <w:rFonts w:ascii="Arial" w:cs="Arial" w:eastAsia="Arial" w:hAnsi="Arial"/>
                <w:sz w:val="12"/>
                <w:szCs w:val="12"/>
                <w:color w:val="auto"/>
              </w:rPr>
              <w:t>7,749,925</w:t>
            </w:r>
          </w:p>
        </w:tc>
        <w:tc>
          <w:tcPr>
            <w:tcW w:w="560" w:type="dxa"/>
            <w:vAlign w:val="bottom"/>
            <w:shd w:val="clear" w:color="auto" w:fill="F2F2F2"/>
          </w:tcPr>
          <w:p>
            <w:pPr>
              <w:ind w:left="360"/>
              <w:spacing w:after="0" w:line="111" w:lineRule="exact"/>
              <w:rPr>
                <w:sz w:val="20"/>
                <w:szCs w:val="20"/>
                <w:color w:val="auto"/>
              </w:rPr>
            </w:pPr>
            <w:r>
              <w:rPr>
                <w:rFonts w:ascii="Arial" w:cs="Arial" w:eastAsia="Arial" w:hAnsi="Arial"/>
                <w:sz w:val="12"/>
                <w:szCs w:val="12"/>
                <w:color w:val="auto"/>
              </w:rPr>
              <w:t>—</w:t>
            </w:r>
          </w:p>
        </w:tc>
        <w:tc>
          <w:tcPr>
            <w:tcW w:w="980" w:type="dxa"/>
            <w:vAlign w:val="bottom"/>
            <w:shd w:val="clear" w:color="auto" w:fill="F2F2F2"/>
          </w:tcPr>
          <w:p>
            <w:pPr>
              <w:jc w:val="right"/>
              <w:ind w:right="18"/>
              <w:spacing w:after="0" w:line="111" w:lineRule="exact"/>
              <w:rPr>
                <w:sz w:val="20"/>
                <w:szCs w:val="20"/>
                <w:color w:val="auto"/>
              </w:rPr>
            </w:pPr>
            <w:r>
              <w:rPr>
                <w:rFonts w:ascii="Arial" w:cs="Arial" w:eastAsia="Arial" w:hAnsi="Arial"/>
                <w:sz w:val="12"/>
                <w:szCs w:val="12"/>
                <w:color w:val="auto"/>
              </w:rPr>
              <w:t>1,812,000</w:t>
            </w:r>
          </w:p>
        </w:tc>
        <w:tc>
          <w:tcPr>
            <w:tcW w:w="960" w:type="dxa"/>
            <w:vAlign w:val="bottom"/>
            <w:shd w:val="clear" w:color="auto" w:fill="F2F2F2"/>
          </w:tcPr>
          <w:p>
            <w:pPr>
              <w:ind w:left="760"/>
              <w:spacing w:after="0" w:line="111" w:lineRule="exact"/>
              <w:rPr>
                <w:sz w:val="20"/>
                <w:szCs w:val="20"/>
                <w:color w:val="auto"/>
              </w:rPr>
            </w:pPr>
            <w:r>
              <w:rPr>
                <w:rFonts w:ascii="Arial" w:cs="Arial" w:eastAsia="Arial" w:hAnsi="Arial"/>
                <w:sz w:val="12"/>
                <w:szCs w:val="12"/>
                <w:color w:val="auto"/>
              </w:rPr>
              <w:t>—</w:t>
            </w:r>
          </w:p>
        </w:tc>
        <w:tc>
          <w:tcPr>
            <w:tcW w:w="980" w:type="dxa"/>
            <w:vAlign w:val="bottom"/>
            <w:shd w:val="clear" w:color="auto" w:fill="F2F2F2"/>
          </w:tcPr>
          <w:p>
            <w:pPr>
              <w:jc w:val="right"/>
              <w:ind w:right="19"/>
              <w:spacing w:after="0" w:line="111" w:lineRule="exact"/>
              <w:rPr>
                <w:sz w:val="20"/>
                <w:szCs w:val="20"/>
                <w:color w:val="auto"/>
              </w:rPr>
            </w:pPr>
            <w:r>
              <w:rPr>
                <w:rFonts w:ascii="Arial" w:cs="Arial" w:eastAsia="Arial" w:hAnsi="Arial"/>
                <w:sz w:val="12"/>
                <w:szCs w:val="12"/>
                <w:color w:val="auto"/>
              </w:rPr>
              <w:t>35,803</w:t>
            </w:r>
          </w:p>
        </w:tc>
        <w:tc>
          <w:tcPr>
            <w:tcW w:w="760" w:type="dxa"/>
            <w:vAlign w:val="bottom"/>
            <w:shd w:val="clear" w:color="auto" w:fill="F2F2F2"/>
          </w:tcPr>
          <w:p>
            <w:pPr>
              <w:jc w:val="right"/>
              <w:spacing w:after="0" w:line="111" w:lineRule="exact"/>
              <w:rPr>
                <w:sz w:val="20"/>
                <w:szCs w:val="20"/>
                <w:color w:val="auto"/>
              </w:rPr>
            </w:pPr>
            <w:r>
              <w:rPr>
                <w:rFonts w:ascii="Arial" w:cs="Arial" w:eastAsia="Arial" w:hAnsi="Arial"/>
                <w:sz w:val="12"/>
                <w:szCs w:val="12"/>
                <w:color w:val="auto"/>
              </w:rPr>
              <w:t>10,547,728</w:t>
            </w:r>
          </w:p>
        </w:tc>
      </w:tr>
      <w:tr>
        <w:trPr>
          <w:trHeight w:val="135"/>
        </w:trPr>
        <w:tc>
          <w:tcPr>
            <w:tcW w:w="2380" w:type="dxa"/>
            <w:vAlign w:val="bottom"/>
            <w:shd w:val="clear" w:color="auto" w:fill="F2F2F2"/>
          </w:tcPr>
          <w:p>
            <w:pPr>
              <w:ind w:left="120"/>
              <w:spacing w:after="0" w:line="135" w:lineRule="exact"/>
              <w:rPr>
                <w:sz w:val="20"/>
                <w:szCs w:val="20"/>
                <w:color w:val="auto"/>
              </w:rPr>
            </w:pPr>
            <w:r>
              <w:rPr>
                <w:rFonts w:ascii="Arial" w:cs="Arial" w:eastAsia="Arial" w:hAnsi="Arial"/>
                <w:sz w:val="13"/>
                <w:szCs w:val="13"/>
                <w:color w:val="auto"/>
              </w:rPr>
              <w:t>Executive Vice President</w:t>
            </w:r>
          </w:p>
        </w:tc>
        <w:tc>
          <w:tcPr>
            <w:tcW w:w="580" w:type="dxa"/>
            <w:vAlign w:val="bottom"/>
            <w:shd w:val="clear" w:color="auto" w:fill="F2F2F2"/>
          </w:tcPr>
          <w:p>
            <w:pPr>
              <w:spacing w:after="0"/>
              <w:rPr>
                <w:sz w:val="11"/>
                <w:szCs w:val="11"/>
                <w:color w:val="auto"/>
              </w:rPr>
            </w:pPr>
          </w:p>
        </w:tc>
        <w:tc>
          <w:tcPr>
            <w:tcW w:w="460" w:type="dxa"/>
            <w:vAlign w:val="bottom"/>
            <w:shd w:val="clear" w:color="auto" w:fill="F2F2F2"/>
          </w:tcPr>
          <w:p>
            <w:pPr>
              <w:jc w:val="center"/>
              <w:spacing w:after="0" w:line="135" w:lineRule="exact"/>
              <w:rPr>
                <w:sz w:val="20"/>
                <w:szCs w:val="20"/>
                <w:color w:val="auto"/>
              </w:rPr>
            </w:pPr>
            <w:r>
              <w:rPr>
                <w:rFonts w:ascii="Arial" w:cs="Arial" w:eastAsia="Arial" w:hAnsi="Arial"/>
                <w:sz w:val="13"/>
                <w:szCs w:val="13"/>
                <w:color w:val="auto"/>
                <w:w w:val="96"/>
              </w:rPr>
              <w:t>2025</w:t>
            </w:r>
          </w:p>
        </w:tc>
        <w:tc>
          <w:tcPr>
            <w:tcW w:w="740" w:type="dxa"/>
            <w:vAlign w:val="bottom"/>
            <w:shd w:val="clear" w:color="auto" w:fill="F2F2F2"/>
          </w:tcPr>
          <w:p>
            <w:pPr>
              <w:jc w:val="right"/>
              <w:spacing w:after="0" w:line="135" w:lineRule="exact"/>
              <w:rPr>
                <w:sz w:val="20"/>
                <w:szCs w:val="20"/>
                <w:color w:val="auto"/>
              </w:rPr>
            </w:pPr>
            <w:r>
              <w:rPr>
                <w:rFonts w:ascii="Arial" w:cs="Arial" w:eastAsia="Arial" w:hAnsi="Arial"/>
                <w:sz w:val="13"/>
                <w:szCs w:val="13"/>
                <w:color w:val="auto"/>
              </w:rPr>
              <w:t>950,000</w:t>
            </w:r>
          </w:p>
        </w:tc>
        <w:tc>
          <w:tcPr>
            <w:tcW w:w="720" w:type="dxa"/>
            <w:vAlign w:val="bottom"/>
            <w:shd w:val="clear" w:color="auto" w:fill="F2F2F2"/>
          </w:tcPr>
          <w:p>
            <w:pPr>
              <w:jc w:val="right"/>
              <w:spacing w:after="0" w:line="135" w:lineRule="exact"/>
              <w:rPr>
                <w:sz w:val="20"/>
                <w:szCs w:val="20"/>
                <w:color w:val="auto"/>
              </w:rPr>
            </w:pPr>
            <w:r>
              <w:rPr>
                <w:rFonts w:ascii="Arial" w:cs="Arial" w:eastAsia="Arial" w:hAnsi="Arial"/>
                <w:sz w:val="13"/>
                <w:szCs w:val="13"/>
                <w:color w:val="auto"/>
              </w:rPr>
              <w:t>—</w:t>
            </w:r>
          </w:p>
        </w:tc>
        <w:tc>
          <w:tcPr>
            <w:tcW w:w="800" w:type="dxa"/>
            <w:vAlign w:val="bottom"/>
            <w:shd w:val="clear" w:color="auto" w:fill="F2F2F2"/>
          </w:tcPr>
          <w:p>
            <w:pPr>
              <w:jc w:val="right"/>
              <w:spacing w:after="0" w:line="135" w:lineRule="exact"/>
              <w:rPr>
                <w:sz w:val="20"/>
                <w:szCs w:val="20"/>
                <w:color w:val="auto"/>
              </w:rPr>
            </w:pPr>
            <w:r>
              <w:rPr>
                <w:rFonts w:ascii="Arial" w:cs="Arial" w:eastAsia="Arial" w:hAnsi="Arial"/>
                <w:sz w:val="13"/>
                <w:szCs w:val="13"/>
                <w:color w:val="auto"/>
              </w:rPr>
              <w:t>1,749,974</w:t>
            </w:r>
          </w:p>
        </w:tc>
        <w:tc>
          <w:tcPr>
            <w:tcW w:w="560" w:type="dxa"/>
            <w:vAlign w:val="bottom"/>
            <w:shd w:val="clear" w:color="auto" w:fill="F2F2F2"/>
          </w:tcPr>
          <w:p>
            <w:pPr>
              <w:ind w:left="360"/>
              <w:spacing w:after="0" w:line="135" w:lineRule="exact"/>
              <w:rPr>
                <w:sz w:val="20"/>
                <w:szCs w:val="20"/>
                <w:color w:val="auto"/>
              </w:rPr>
            </w:pPr>
            <w:r>
              <w:rPr>
                <w:rFonts w:ascii="Arial" w:cs="Arial" w:eastAsia="Arial" w:hAnsi="Arial"/>
                <w:sz w:val="13"/>
                <w:szCs w:val="13"/>
                <w:color w:val="auto"/>
              </w:rPr>
              <w:t>—</w:t>
            </w:r>
          </w:p>
        </w:tc>
        <w:tc>
          <w:tcPr>
            <w:tcW w:w="980" w:type="dxa"/>
            <w:vAlign w:val="bottom"/>
            <w:shd w:val="clear" w:color="auto" w:fill="F2F2F2"/>
          </w:tcPr>
          <w:p>
            <w:pPr>
              <w:jc w:val="right"/>
              <w:ind w:right="18"/>
              <w:spacing w:after="0" w:line="135" w:lineRule="exact"/>
              <w:rPr>
                <w:sz w:val="20"/>
                <w:szCs w:val="20"/>
                <w:color w:val="auto"/>
              </w:rPr>
            </w:pPr>
            <w:r>
              <w:rPr>
                <w:rFonts w:ascii="Arial" w:cs="Arial" w:eastAsia="Arial" w:hAnsi="Arial"/>
                <w:sz w:val="13"/>
                <w:szCs w:val="13"/>
                <w:color w:val="auto"/>
              </w:rPr>
              <w:t>3,381,000</w:t>
            </w:r>
          </w:p>
        </w:tc>
        <w:tc>
          <w:tcPr>
            <w:tcW w:w="960" w:type="dxa"/>
            <w:vAlign w:val="bottom"/>
            <w:shd w:val="clear" w:color="auto" w:fill="F2F2F2"/>
          </w:tcPr>
          <w:p>
            <w:pPr>
              <w:ind w:left="760"/>
              <w:spacing w:after="0" w:line="135" w:lineRule="exact"/>
              <w:rPr>
                <w:sz w:val="20"/>
                <w:szCs w:val="20"/>
                <w:color w:val="auto"/>
              </w:rPr>
            </w:pPr>
            <w:r>
              <w:rPr>
                <w:rFonts w:ascii="Arial" w:cs="Arial" w:eastAsia="Arial" w:hAnsi="Arial"/>
                <w:sz w:val="13"/>
                <w:szCs w:val="13"/>
                <w:color w:val="auto"/>
              </w:rPr>
              <w:t>—</w:t>
            </w:r>
          </w:p>
        </w:tc>
        <w:tc>
          <w:tcPr>
            <w:tcW w:w="980" w:type="dxa"/>
            <w:vAlign w:val="bottom"/>
            <w:shd w:val="clear" w:color="auto" w:fill="F2F2F2"/>
          </w:tcPr>
          <w:p>
            <w:pPr>
              <w:jc w:val="right"/>
              <w:ind w:right="19"/>
              <w:spacing w:after="0" w:line="135" w:lineRule="exact"/>
              <w:rPr>
                <w:sz w:val="20"/>
                <w:szCs w:val="20"/>
                <w:color w:val="auto"/>
              </w:rPr>
            </w:pPr>
            <w:r>
              <w:rPr>
                <w:rFonts w:ascii="Arial" w:cs="Arial" w:eastAsia="Arial" w:hAnsi="Arial"/>
                <w:sz w:val="13"/>
                <w:szCs w:val="13"/>
                <w:color w:val="auto"/>
              </w:rPr>
              <w:t>38,208</w:t>
            </w:r>
          </w:p>
        </w:tc>
        <w:tc>
          <w:tcPr>
            <w:tcW w:w="760" w:type="dxa"/>
            <w:vAlign w:val="bottom"/>
            <w:shd w:val="clear" w:color="auto" w:fill="F2F2F2"/>
          </w:tcPr>
          <w:p>
            <w:pPr>
              <w:jc w:val="right"/>
              <w:spacing w:after="0" w:line="135" w:lineRule="exact"/>
              <w:rPr>
                <w:sz w:val="20"/>
                <w:szCs w:val="20"/>
                <w:color w:val="auto"/>
              </w:rPr>
            </w:pPr>
            <w:r>
              <w:rPr>
                <w:rFonts w:ascii="Arial" w:cs="Arial" w:eastAsia="Arial" w:hAnsi="Arial"/>
                <w:sz w:val="13"/>
                <w:szCs w:val="13"/>
                <w:color w:val="auto"/>
              </w:rPr>
              <w:t>6,119,182</w:t>
            </w:r>
          </w:p>
        </w:tc>
      </w:tr>
      <w:tr>
        <w:trPr>
          <w:trHeight w:val="153"/>
        </w:trPr>
        <w:tc>
          <w:tcPr>
            <w:tcW w:w="2380" w:type="dxa"/>
            <w:vAlign w:val="bottom"/>
            <w:tcBorders>
              <w:bottom w:val="single" w:sz="8" w:color="4A7EBB"/>
            </w:tcBorders>
            <w:shd w:val="clear" w:color="auto" w:fill="F2F2F2"/>
          </w:tcPr>
          <w:p>
            <w:pPr>
              <w:spacing w:after="0"/>
              <w:rPr>
                <w:sz w:val="13"/>
                <w:szCs w:val="13"/>
                <w:color w:val="auto"/>
              </w:rPr>
            </w:pPr>
          </w:p>
        </w:tc>
        <w:tc>
          <w:tcPr>
            <w:tcW w:w="580" w:type="dxa"/>
            <w:vAlign w:val="bottom"/>
            <w:tcBorders>
              <w:bottom w:val="single" w:sz="8" w:color="4A7EBB"/>
            </w:tcBorders>
            <w:shd w:val="clear" w:color="auto" w:fill="F2F2F2"/>
          </w:tcPr>
          <w:p>
            <w:pPr>
              <w:spacing w:after="0"/>
              <w:rPr>
                <w:sz w:val="13"/>
                <w:szCs w:val="13"/>
                <w:color w:val="auto"/>
              </w:rPr>
            </w:pPr>
          </w:p>
        </w:tc>
        <w:tc>
          <w:tcPr>
            <w:tcW w:w="460" w:type="dxa"/>
            <w:vAlign w:val="bottom"/>
            <w:tcBorders>
              <w:bottom w:val="single" w:sz="8" w:color="4A7EBB"/>
            </w:tcBorders>
            <w:shd w:val="clear" w:color="auto" w:fill="F2F2F2"/>
          </w:tcPr>
          <w:p>
            <w:pPr>
              <w:jc w:val="center"/>
              <w:spacing w:after="0"/>
              <w:rPr>
                <w:sz w:val="20"/>
                <w:szCs w:val="20"/>
                <w:color w:val="auto"/>
              </w:rPr>
            </w:pPr>
            <w:r>
              <w:rPr>
                <w:rFonts w:ascii="Arial" w:cs="Arial" w:eastAsia="Arial" w:hAnsi="Arial"/>
                <w:sz w:val="13"/>
                <w:szCs w:val="13"/>
                <w:color w:val="auto"/>
                <w:w w:val="96"/>
              </w:rPr>
              <w:t>2024</w:t>
            </w:r>
          </w:p>
        </w:tc>
        <w:tc>
          <w:tcPr>
            <w:tcW w:w="740" w:type="dxa"/>
            <w:vAlign w:val="bottom"/>
            <w:tcBorders>
              <w:bottom w:val="single" w:sz="8" w:color="4A7EBB"/>
            </w:tcBorders>
            <w:shd w:val="clear" w:color="auto" w:fill="F2F2F2"/>
          </w:tcPr>
          <w:p>
            <w:pPr>
              <w:jc w:val="right"/>
              <w:spacing w:after="0"/>
              <w:rPr>
                <w:sz w:val="20"/>
                <w:szCs w:val="20"/>
                <w:color w:val="auto"/>
              </w:rPr>
            </w:pPr>
            <w:r>
              <w:rPr>
                <w:rFonts w:ascii="Arial" w:cs="Arial" w:eastAsia="Arial" w:hAnsi="Arial"/>
                <w:sz w:val="13"/>
                <w:szCs w:val="13"/>
                <w:color w:val="auto"/>
              </w:rPr>
              <w:t>950,000</w:t>
            </w:r>
          </w:p>
        </w:tc>
        <w:tc>
          <w:tcPr>
            <w:tcW w:w="720" w:type="dxa"/>
            <w:vAlign w:val="bottom"/>
            <w:tcBorders>
              <w:bottom w:val="single" w:sz="8" w:color="4A7EBB"/>
            </w:tcBorders>
            <w:shd w:val="clear" w:color="auto" w:fill="F2F2F2"/>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4A7EBB"/>
            </w:tcBorders>
            <w:shd w:val="clear" w:color="auto" w:fill="F2F2F2"/>
          </w:tcPr>
          <w:p>
            <w:pPr>
              <w:jc w:val="right"/>
              <w:spacing w:after="0"/>
              <w:rPr>
                <w:sz w:val="20"/>
                <w:szCs w:val="20"/>
                <w:color w:val="auto"/>
              </w:rPr>
            </w:pPr>
            <w:r>
              <w:rPr>
                <w:rFonts w:ascii="Arial" w:cs="Arial" w:eastAsia="Arial" w:hAnsi="Arial"/>
                <w:sz w:val="13"/>
                <w:szCs w:val="13"/>
                <w:color w:val="auto"/>
              </w:rPr>
              <w:t>1,349,988</w:t>
            </w:r>
          </w:p>
        </w:tc>
        <w:tc>
          <w:tcPr>
            <w:tcW w:w="560" w:type="dxa"/>
            <w:vAlign w:val="bottom"/>
            <w:tcBorders>
              <w:bottom w:val="single" w:sz="8" w:color="4A7EBB"/>
            </w:tcBorders>
            <w:shd w:val="clear" w:color="auto" w:fill="F2F2F2"/>
          </w:tcPr>
          <w:p>
            <w:pPr>
              <w:ind w:left="360"/>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4A7EBB"/>
            </w:tcBorders>
            <w:shd w:val="clear" w:color="auto" w:fill="F2F2F2"/>
          </w:tcPr>
          <w:p>
            <w:pPr>
              <w:jc w:val="right"/>
              <w:ind w:right="18"/>
              <w:spacing w:after="0"/>
              <w:rPr>
                <w:sz w:val="20"/>
                <w:szCs w:val="20"/>
                <w:color w:val="auto"/>
              </w:rPr>
            </w:pPr>
            <w:r>
              <w:rPr>
                <w:rFonts w:ascii="Arial" w:cs="Arial" w:eastAsia="Arial" w:hAnsi="Arial"/>
                <w:sz w:val="13"/>
                <w:szCs w:val="13"/>
                <w:color w:val="auto"/>
              </w:rPr>
              <w:t>3,525,000</w:t>
            </w:r>
          </w:p>
        </w:tc>
        <w:tc>
          <w:tcPr>
            <w:tcW w:w="960" w:type="dxa"/>
            <w:vAlign w:val="bottom"/>
            <w:tcBorders>
              <w:bottom w:val="single" w:sz="8" w:color="4A7EBB"/>
            </w:tcBorders>
            <w:shd w:val="clear" w:color="auto" w:fill="F2F2F2"/>
          </w:tcPr>
          <w:p>
            <w:pPr>
              <w:ind w:left="760"/>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4A7EBB"/>
            </w:tcBorders>
            <w:shd w:val="clear" w:color="auto" w:fill="F2F2F2"/>
          </w:tcPr>
          <w:p>
            <w:pPr>
              <w:jc w:val="right"/>
              <w:ind w:right="19"/>
              <w:spacing w:after="0"/>
              <w:rPr>
                <w:sz w:val="20"/>
                <w:szCs w:val="20"/>
                <w:color w:val="auto"/>
              </w:rPr>
            </w:pPr>
            <w:r>
              <w:rPr>
                <w:rFonts w:ascii="Arial" w:cs="Arial" w:eastAsia="Arial" w:hAnsi="Arial"/>
                <w:sz w:val="13"/>
                <w:szCs w:val="13"/>
                <w:color w:val="auto"/>
              </w:rPr>
              <w:t>36,538</w:t>
            </w:r>
          </w:p>
        </w:tc>
        <w:tc>
          <w:tcPr>
            <w:tcW w:w="760" w:type="dxa"/>
            <w:vAlign w:val="bottom"/>
            <w:tcBorders>
              <w:bottom w:val="single" w:sz="8" w:color="4A7EBB"/>
            </w:tcBorders>
            <w:shd w:val="clear" w:color="auto" w:fill="F2F2F2"/>
          </w:tcPr>
          <w:p>
            <w:pPr>
              <w:jc w:val="right"/>
              <w:spacing w:after="0"/>
              <w:rPr>
                <w:sz w:val="20"/>
                <w:szCs w:val="20"/>
                <w:color w:val="auto"/>
              </w:rPr>
            </w:pPr>
            <w:r>
              <w:rPr>
                <w:rFonts w:ascii="Arial" w:cs="Arial" w:eastAsia="Arial" w:hAnsi="Arial"/>
                <w:sz w:val="13"/>
                <w:szCs w:val="13"/>
                <w:color w:val="auto"/>
              </w:rPr>
              <w:t>5,861,526</w:t>
            </w:r>
          </w:p>
        </w:tc>
      </w:tr>
      <w:tr>
        <w:trPr>
          <w:trHeight w:val="111"/>
        </w:trPr>
        <w:tc>
          <w:tcPr>
            <w:tcW w:w="2380" w:type="dxa"/>
            <w:vAlign w:val="bottom"/>
          </w:tcPr>
          <w:p>
            <w:pPr>
              <w:spacing w:after="0" w:line="111" w:lineRule="exact"/>
              <w:rPr>
                <w:sz w:val="20"/>
                <w:szCs w:val="20"/>
                <w:color w:val="auto"/>
              </w:rPr>
            </w:pPr>
            <w:r>
              <w:rPr>
                <w:rFonts w:ascii="Arial" w:cs="Arial" w:eastAsia="Arial" w:hAnsi="Arial"/>
                <w:sz w:val="12"/>
                <w:szCs w:val="12"/>
                <w:b w:val="1"/>
                <w:bCs w:val="1"/>
                <w:color w:val="auto"/>
              </w:rPr>
              <w:t>Dana Perlman</w:t>
            </w:r>
          </w:p>
        </w:tc>
        <w:tc>
          <w:tcPr>
            <w:tcW w:w="580" w:type="dxa"/>
            <w:vAlign w:val="bottom"/>
          </w:tcPr>
          <w:p>
            <w:pPr>
              <w:jc w:val="center"/>
              <w:ind w:left="40"/>
              <w:spacing w:after="0" w:line="111" w:lineRule="exact"/>
              <w:rPr>
                <w:sz w:val="20"/>
                <w:szCs w:val="20"/>
                <w:color w:val="auto"/>
              </w:rPr>
            </w:pPr>
            <w:r>
              <w:rPr>
                <w:rFonts w:ascii="Arial" w:cs="Arial" w:eastAsia="Arial" w:hAnsi="Arial"/>
                <w:sz w:val="12"/>
                <w:szCs w:val="12"/>
                <w:color w:val="auto"/>
              </w:rPr>
              <w:t>2</w:t>
            </w:r>
          </w:p>
        </w:tc>
        <w:tc>
          <w:tcPr>
            <w:tcW w:w="460" w:type="dxa"/>
            <w:vAlign w:val="bottom"/>
          </w:tcPr>
          <w:p>
            <w:pPr>
              <w:jc w:val="center"/>
              <w:spacing w:after="0" w:line="111" w:lineRule="exact"/>
              <w:rPr>
                <w:sz w:val="20"/>
                <w:szCs w:val="20"/>
                <w:color w:val="auto"/>
              </w:rPr>
            </w:pPr>
            <w:r>
              <w:rPr>
                <w:rFonts w:ascii="Arial" w:cs="Arial" w:eastAsia="Arial" w:hAnsi="Arial"/>
                <w:sz w:val="12"/>
                <w:szCs w:val="12"/>
                <w:color w:val="auto"/>
              </w:rPr>
              <w:t>2026</w:t>
            </w:r>
          </w:p>
        </w:tc>
        <w:tc>
          <w:tcPr>
            <w:tcW w:w="740" w:type="dxa"/>
            <w:vAlign w:val="bottom"/>
          </w:tcPr>
          <w:p>
            <w:pPr>
              <w:jc w:val="right"/>
              <w:spacing w:after="0" w:line="111" w:lineRule="exact"/>
              <w:rPr>
                <w:sz w:val="20"/>
                <w:szCs w:val="20"/>
                <w:color w:val="auto"/>
              </w:rPr>
            </w:pPr>
            <w:r>
              <w:rPr>
                <w:rFonts w:ascii="Arial" w:cs="Arial" w:eastAsia="Arial" w:hAnsi="Arial"/>
                <w:sz w:val="12"/>
                <w:szCs w:val="12"/>
                <w:color w:val="auto"/>
              </w:rPr>
              <w:t>823,077</w:t>
            </w:r>
          </w:p>
        </w:tc>
        <w:tc>
          <w:tcPr>
            <w:tcW w:w="720" w:type="dxa"/>
            <w:vAlign w:val="bottom"/>
          </w:tcPr>
          <w:p>
            <w:pPr>
              <w:jc w:val="right"/>
              <w:spacing w:after="0" w:line="111" w:lineRule="exact"/>
              <w:rPr>
                <w:sz w:val="20"/>
                <w:szCs w:val="20"/>
                <w:color w:val="auto"/>
              </w:rPr>
            </w:pPr>
            <w:r>
              <w:rPr>
                <w:rFonts w:ascii="Arial" w:cs="Arial" w:eastAsia="Arial" w:hAnsi="Arial"/>
                <w:sz w:val="12"/>
                <w:szCs w:val="12"/>
                <w:color w:val="auto"/>
              </w:rPr>
              <w:t>—</w:t>
            </w:r>
          </w:p>
        </w:tc>
        <w:tc>
          <w:tcPr>
            <w:tcW w:w="800" w:type="dxa"/>
            <w:vAlign w:val="bottom"/>
          </w:tcPr>
          <w:p>
            <w:pPr>
              <w:jc w:val="right"/>
              <w:spacing w:after="0" w:line="111" w:lineRule="exact"/>
              <w:rPr>
                <w:sz w:val="20"/>
                <w:szCs w:val="20"/>
                <w:color w:val="auto"/>
              </w:rPr>
            </w:pPr>
            <w:r>
              <w:rPr>
                <w:rFonts w:ascii="Arial" w:cs="Arial" w:eastAsia="Arial" w:hAnsi="Arial"/>
                <w:sz w:val="12"/>
                <w:szCs w:val="12"/>
                <w:color w:val="auto"/>
              </w:rPr>
              <w:t>2,599,951</w:t>
            </w:r>
          </w:p>
        </w:tc>
        <w:tc>
          <w:tcPr>
            <w:tcW w:w="560" w:type="dxa"/>
            <w:vAlign w:val="bottom"/>
          </w:tcPr>
          <w:p>
            <w:pPr>
              <w:ind w:left="360"/>
              <w:spacing w:after="0" w:line="111" w:lineRule="exact"/>
              <w:rPr>
                <w:sz w:val="20"/>
                <w:szCs w:val="20"/>
                <w:color w:val="auto"/>
              </w:rPr>
            </w:pPr>
            <w:r>
              <w:rPr>
                <w:rFonts w:ascii="Arial" w:cs="Arial" w:eastAsia="Arial" w:hAnsi="Arial"/>
                <w:sz w:val="12"/>
                <w:szCs w:val="12"/>
                <w:color w:val="auto"/>
              </w:rPr>
              <w:t>—</w:t>
            </w:r>
          </w:p>
        </w:tc>
        <w:tc>
          <w:tcPr>
            <w:tcW w:w="980" w:type="dxa"/>
            <w:vAlign w:val="bottom"/>
          </w:tcPr>
          <w:p>
            <w:pPr>
              <w:jc w:val="right"/>
              <w:ind w:right="18"/>
              <w:spacing w:after="0" w:line="111" w:lineRule="exact"/>
              <w:rPr>
                <w:sz w:val="20"/>
                <w:szCs w:val="20"/>
                <w:color w:val="auto"/>
              </w:rPr>
            </w:pPr>
            <w:r>
              <w:rPr>
                <w:rFonts w:ascii="Arial" w:cs="Arial" w:eastAsia="Arial" w:hAnsi="Arial"/>
                <w:sz w:val="12"/>
                <w:szCs w:val="12"/>
                <w:color w:val="auto"/>
              </w:rPr>
              <w:t>950,000</w:t>
            </w:r>
          </w:p>
        </w:tc>
        <w:tc>
          <w:tcPr>
            <w:tcW w:w="960" w:type="dxa"/>
            <w:vAlign w:val="bottom"/>
          </w:tcPr>
          <w:p>
            <w:pPr>
              <w:ind w:left="760"/>
              <w:spacing w:after="0" w:line="111" w:lineRule="exact"/>
              <w:rPr>
                <w:sz w:val="20"/>
                <w:szCs w:val="20"/>
                <w:color w:val="auto"/>
              </w:rPr>
            </w:pPr>
            <w:r>
              <w:rPr>
                <w:rFonts w:ascii="Arial" w:cs="Arial" w:eastAsia="Arial" w:hAnsi="Arial"/>
                <w:sz w:val="12"/>
                <w:szCs w:val="12"/>
                <w:color w:val="auto"/>
              </w:rPr>
              <w:t>—</w:t>
            </w:r>
          </w:p>
        </w:tc>
        <w:tc>
          <w:tcPr>
            <w:tcW w:w="980" w:type="dxa"/>
            <w:vAlign w:val="bottom"/>
          </w:tcPr>
          <w:p>
            <w:pPr>
              <w:jc w:val="right"/>
              <w:ind w:right="19"/>
              <w:spacing w:after="0" w:line="111" w:lineRule="exact"/>
              <w:rPr>
                <w:sz w:val="20"/>
                <w:szCs w:val="20"/>
                <w:color w:val="auto"/>
              </w:rPr>
            </w:pPr>
            <w:r>
              <w:rPr>
                <w:rFonts w:ascii="Arial" w:cs="Arial" w:eastAsia="Arial" w:hAnsi="Arial"/>
                <w:sz w:val="12"/>
                <w:szCs w:val="12"/>
                <w:color w:val="auto"/>
              </w:rPr>
              <w:t>14,000</w:t>
            </w:r>
          </w:p>
        </w:tc>
        <w:tc>
          <w:tcPr>
            <w:tcW w:w="760" w:type="dxa"/>
            <w:vAlign w:val="bottom"/>
          </w:tcPr>
          <w:p>
            <w:pPr>
              <w:jc w:val="right"/>
              <w:spacing w:after="0" w:line="111" w:lineRule="exact"/>
              <w:rPr>
                <w:sz w:val="20"/>
                <w:szCs w:val="20"/>
                <w:color w:val="auto"/>
              </w:rPr>
            </w:pPr>
            <w:r>
              <w:rPr>
                <w:rFonts w:ascii="Arial" w:cs="Arial" w:eastAsia="Arial" w:hAnsi="Arial"/>
                <w:sz w:val="12"/>
                <w:szCs w:val="12"/>
                <w:color w:val="auto"/>
              </w:rPr>
              <w:t>4,387,028</w:t>
            </w:r>
          </w:p>
        </w:tc>
      </w:tr>
      <w:tr>
        <w:trPr>
          <w:trHeight w:val="135"/>
        </w:trPr>
        <w:tc>
          <w:tcPr>
            <w:tcW w:w="2380" w:type="dxa"/>
            <w:vAlign w:val="bottom"/>
          </w:tcPr>
          <w:p>
            <w:pPr>
              <w:ind w:left="120"/>
              <w:spacing w:after="0" w:line="135" w:lineRule="exact"/>
              <w:rPr>
                <w:sz w:val="20"/>
                <w:szCs w:val="20"/>
                <w:color w:val="auto"/>
              </w:rPr>
            </w:pPr>
            <w:r>
              <w:rPr>
                <w:rFonts w:ascii="Arial" w:cs="Arial" w:eastAsia="Arial" w:hAnsi="Arial"/>
                <w:sz w:val="13"/>
                <w:szCs w:val="13"/>
                <w:color w:val="auto"/>
              </w:rPr>
              <w:t>Chief Growth and Operations Officer</w:t>
            </w:r>
          </w:p>
        </w:tc>
        <w:tc>
          <w:tcPr>
            <w:tcW w:w="580" w:type="dxa"/>
            <w:vAlign w:val="bottom"/>
          </w:tcPr>
          <w:p>
            <w:pPr>
              <w:spacing w:after="0"/>
              <w:rPr>
                <w:sz w:val="11"/>
                <w:szCs w:val="11"/>
                <w:color w:val="auto"/>
              </w:rPr>
            </w:pPr>
          </w:p>
        </w:tc>
        <w:tc>
          <w:tcPr>
            <w:tcW w:w="460" w:type="dxa"/>
            <w:vAlign w:val="bottom"/>
          </w:tcPr>
          <w:p>
            <w:pPr>
              <w:jc w:val="center"/>
              <w:spacing w:after="0" w:line="135" w:lineRule="exact"/>
              <w:rPr>
                <w:sz w:val="20"/>
                <w:szCs w:val="20"/>
                <w:color w:val="auto"/>
              </w:rPr>
            </w:pPr>
            <w:r>
              <w:rPr>
                <w:rFonts w:ascii="Arial" w:cs="Arial" w:eastAsia="Arial" w:hAnsi="Arial"/>
                <w:sz w:val="13"/>
                <w:szCs w:val="13"/>
                <w:color w:val="auto"/>
                <w:w w:val="96"/>
              </w:rPr>
              <w:t>2025</w:t>
            </w: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750,000</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500,000</w:t>
            </w: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560" w:type="dxa"/>
            <w:vAlign w:val="bottom"/>
          </w:tcPr>
          <w:p>
            <w:pPr>
              <w:ind w:left="360"/>
              <w:spacing w:after="0" w:line="135" w:lineRule="exact"/>
              <w:rPr>
                <w:sz w:val="20"/>
                <w:szCs w:val="20"/>
                <w:color w:val="auto"/>
              </w:rPr>
            </w:pPr>
            <w:r>
              <w:rPr>
                <w:rFonts w:ascii="Arial" w:cs="Arial" w:eastAsia="Arial" w:hAnsi="Arial"/>
                <w:sz w:val="13"/>
                <w:szCs w:val="13"/>
                <w:color w:val="auto"/>
              </w:rPr>
              <w:t>—</w:t>
            </w:r>
          </w:p>
        </w:tc>
        <w:tc>
          <w:tcPr>
            <w:tcW w:w="980" w:type="dxa"/>
            <w:vAlign w:val="bottom"/>
          </w:tcPr>
          <w:p>
            <w:pPr>
              <w:jc w:val="right"/>
              <w:ind w:right="18"/>
              <w:spacing w:after="0" w:line="135" w:lineRule="exact"/>
              <w:rPr>
                <w:sz w:val="20"/>
                <w:szCs w:val="20"/>
                <w:color w:val="auto"/>
              </w:rPr>
            </w:pPr>
            <w:r>
              <w:rPr>
                <w:rFonts w:ascii="Arial" w:cs="Arial" w:eastAsia="Arial" w:hAnsi="Arial"/>
                <w:sz w:val="13"/>
                <w:szCs w:val="13"/>
                <w:color w:val="auto"/>
              </w:rPr>
              <w:t>1,000,000</w:t>
            </w:r>
          </w:p>
        </w:tc>
        <w:tc>
          <w:tcPr>
            <w:tcW w:w="960" w:type="dxa"/>
            <w:vAlign w:val="bottom"/>
          </w:tcPr>
          <w:p>
            <w:pPr>
              <w:ind w:left="760"/>
              <w:spacing w:after="0" w:line="135" w:lineRule="exact"/>
              <w:rPr>
                <w:sz w:val="20"/>
                <w:szCs w:val="20"/>
                <w:color w:val="auto"/>
              </w:rPr>
            </w:pPr>
            <w:r>
              <w:rPr>
                <w:rFonts w:ascii="Arial" w:cs="Arial" w:eastAsia="Arial" w:hAnsi="Arial"/>
                <w:sz w:val="13"/>
                <w:szCs w:val="13"/>
                <w:color w:val="auto"/>
              </w:rPr>
              <w:t>—</w:t>
            </w:r>
          </w:p>
        </w:tc>
        <w:tc>
          <w:tcPr>
            <w:tcW w:w="980" w:type="dxa"/>
            <w:vAlign w:val="bottom"/>
          </w:tcPr>
          <w:p>
            <w:pPr>
              <w:jc w:val="right"/>
              <w:ind w:right="19"/>
              <w:spacing w:after="0" w:line="135" w:lineRule="exact"/>
              <w:rPr>
                <w:sz w:val="20"/>
                <w:szCs w:val="20"/>
                <w:color w:val="auto"/>
              </w:rPr>
            </w:pPr>
            <w:r>
              <w:rPr>
                <w:rFonts w:ascii="Arial" w:cs="Arial" w:eastAsia="Arial" w:hAnsi="Arial"/>
                <w:sz w:val="13"/>
                <w:szCs w:val="13"/>
                <w:color w:val="auto"/>
              </w:rPr>
              <w:t>9,231</w:t>
            </w: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2,259,231</w:t>
            </w:r>
          </w:p>
        </w:tc>
      </w:tr>
      <w:tr>
        <w:trPr>
          <w:trHeight w:val="153"/>
        </w:trPr>
        <w:tc>
          <w:tcPr>
            <w:tcW w:w="2380" w:type="dxa"/>
            <w:vAlign w:val="bottom"/>
            <w:tcBorders>
              <w:bottom w:val="single" w:sz="8" w:color="4A7EBB"/>
            </w:tcBorders>
          </w:tcPr>
          <w:p>
            <w:pPr>
              <w:spacing w:after="0"/>
              <w:rPr>
                <w:sz w:val="13"/>
                <w:szCs w:val="13"/>
                <w:color w:val="auto"/>
              </w:rPr>
            </w:pPr>
          </w:p>
        </w:tc>
        <w:tc>
          <w:tcPr>
            <w:tcW w:w="580" w:type="dxa"/>
            <w:vAlign w:val="bottom"/>
            <w:tcBorders>
              <w:bottom w:val="single" w:sz="8" w:color="4A7EBB"/>
            </w:tcBorders>
          </w:tcPr>
          <w:p>
            <w:pPr>
              <w:spacing w:after="0"/>
              <w:rPr>
                <w:sz w:val="13"/>
                <w:szCs w:val="13"/>
                <w:color w:val="auto"/>
              </w:rPr>
            </w:pPr>
          </w:p>
        </w:tc>
        <w:tc>
          <w:tcPr>
            <w:tcW w:w="460" w:type="dxa"/>
            <w:vAlign w:val="bottom"/>
            <w:tcBorders>
              <w:bottom w:val="single" w:sz="8" w:color="4A7EBB"/>
            </w:tcBorders>
          </w:tcPr>
          <w:p>
            <w:pPr>
              <w:jc w:val="center"/>
              <w:spacing w:after="0"/>
              <w:rPr>
                <w:sz w:val="20"/>
                <w:szCs w:val="20"/>
                <w:color w:val="auto"/>
              </w:rPr>
            </w:pPr>
            <w:r>
              <w:rPr>
                <w:rFonts w:ascii="Arial" w:cs="Arial" w:eastAsia="Arial" w:hAnsi="Arial"/>
                <w:sz w:val="13"/>
                <w:szCs w:val="13"/>
                <w:color w:val="auto"/>
                <w:w w:val="96"/>
              </w:rPr>
              <w:t>2024</w:t>
            </w:r>
          </w:p>
        </w:tc>
        <w:tc>
          <w:tcPr>
            <w:tcW w:w="740" w:type="dxa"/>
            <w:vAlign w:val="bottom"/>
            <w:tcBorders>
              <w:bottom w:val="single" w:sz="8" w:color="4A7EBB"/>
            </w:tcBorders>
          </w:tcPr>
          <w:p>
            <w:pPr>
              <w:jc w:val="right"/>
              <w:spacing w:after="0"/>
              <w:rPr>
                <w:sz w:val="20"/>
                <w:szCs w:val="20"/>
                <w:color w:val="auto"/>
              </w:rPr>
            </w:pPr>
            <w:r>
              <w:rPr>
                <w:rFonts w:ascii="Arial" w:cs="Arial" w:eastAsia="Arial" w:hAnsi="Arial"/>
                <w:sz w:val="13"/>
                <w:szCs w:val="13"/>
                <w:color w:val="auto"/>
              </w:rPr>
              <w:t>14,423</w:t>
            </w:r>
          </w:p>
        </w:tc>
        <w:tc>
          <w:tcPr>
            <w:tcW w:w="720" w:type="dxa"/>
            <w:vAlign w:val="bottom"/>
            <w:tcBorders>
              <w:bottom w:val="single" w:sz="8" w:color="4A7EBB"/>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4A7EBB"/>
            </w:tcBorders>
          </w:tcPr>
          <w:p>
            <w:pPr>
              <w:jc w:val="right"/>
              <w:spacing w:after="0"/>
              <w:rPr>
                <w:sz w:val="20"/>
                <w:szCs w:val="20"/>
                <w:color w:val="auto"/>
              </w:rPr>
            </w:pPr>
            <w:r>
              <w:rPr>
                <w:rFonts w:ascii="Arial" w:cs="Arial" w:eastAsia="Arial" w:hAnsi="Arial"/>
                <w:sz w:val="13"/>
                <w:szCs w:val="13"/>
                <w:color w:val="auto"/>
              </w:rPr>
              <w:t>299,979</w:t>
            </w:r>
          </w:p>
        </w:tc>
        <w:tc>
          <w:tcPr>
            <w:tcW w:w="560" w:type="dxa"/>
            <w:vAlign w:val="bottom"/>
            <w:tcBorders>
              <w:bottom w:val="single" w:sz="8" w:color="4A7EBB"/>
            </w:tcBorders>
          </w:tcPr>
          <w:p>
            <w:pPr>
              <w:ind w:left="360"/>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4A7EBB"/>
            </w:tcBorders>
          </w:tcPr>
          <w:p>
            <w:pPr>
              <w:jc w:val="right"/>
              <w:ind w:right="18"/>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4A7EBB"/>
            </w:tcBorders>
          </w:tcPr>
          <w:p>
            <w:pPr>
              <w:ind w:left="760"/>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4A7EBB"/>
            </w:tcBorders>
          </w:tcPr>
          <w:p>
            <w:pPr>
              <w:jc w:val="right"/>
              <w:ind w:right="19"/>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4A7EBB"/>
            </w:tcBorders>
          </w:tcPr>
          <w:p>
            <w:pPr>
              <w:jc w:val="right"/>
              <w:spacing w:after="0"/>
              <w:rPr>
                <w:sz w:val="20"/>
                <w:szCs w:val="20"/>
                <w:color w:val="auto"/>
              </w:rPr>
            </w:pPr>
            <w:r>
              <w:rPr>
                <w:rFonts w:ascii="Arial" w:cs="Arial" w:eastAsia="Arial" w:hAnsi="Arial"/>
                <w:sz w:val="13"/>
                <w:szCs w:val="13"/>
                <w:color w:val="auto"/>
              </w:rPr>
              <w:t>314,402</w:t>
            </w:r>
          </w:p>
        </w:tc>
      </w:tr>
    </w:tbl>
    <w:p>
      <w:pPr>
        <w:spacing w:after="0" w:line="175" w:lineRule="exact"/>
        <w:rPr>
          <w:sz w:val="20"/>
          <w:szCs w:val="20"/>
          <w:color w:val="auto"/>
        </w:rPr>
      </w:pPr>
    </w:p>
    <w:p>
      <w:pPr>
        <w:jc w:val="both"/>
        <w:ind w:left="340" w:hanging="332"/>
        <w:spacing w:after="0" w:line="253" w:lineRule="auto"/>
        <w:tabs>
          <w:tab w:leader="none" w:pos="3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amounts reflect the full grant date fair value of PSUs or RSUs under Financial Accounting Standards Board Accounting Standards Codification Topic 718 (“ASC 718”) awarded to the Named Executive Officers in the applicable fiscal year, and, in addition, for Morris Goldfarb, the grant date fair value of an inducement stock award pursuant to his new employment agreement and for Jeffrey Goldfarb and Dana Perlman, the grant date fair value of retention grants awarded in fiscal 2026 pursuant to succession planning. For a discussion of valuation assumptions, see Note 12 to our consolidated financial statements included in our Annual Report on Form 10-K for the year ended January 31, 2026. See “Fiscal 2026 Grants of Plan-Based Awards” below for the maximum number of PSUs that may vest if performance metrics are achieved.</w:t>
      </w:r>
    </w:p>
    <w:p>
      <w:pPr>
        <w:spacing w:after="0" w:line="154" w:lineRule="exact"/>
        <w:rPr>
          <w:rFonts w:ascii="Arial" w:cs="Arial" w:eastAsia="Arial" w:hAnsi="Arial"/>
          <w:sz w:val="16"/>
          <w:szCs w:val="16"/>
          <w:color w:val="auto"/>
        </w:rPr>
      </w:pPr>
    </w:p>
    <w:p>
      <w:pPr>
        <w:ind w:left="340" w:hanging="332"/>
        <w:spacing w:after="0"/>
        <w:tabs>
          <w:tab w:leader="none" w:pos="3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All Other Compensation includes the following:</w:t>
      </w:r>
    </w:p>
    <w:p>
      <w:pPr>
        <w:spacing w:after="0" w:line="215" w:lineRule="exact"/>
        <w:rPr>
          <w:sz w:val="20"/>
          <w:szCs w:val="20"/>
          <w:color w:val="auto"/>
        </w:rPr>
      </w:pPr>
    </w:p>
    <w:tbl>
      <w:tblPr>
        <w:tblLayout w:type="fixed"/>
        <w:tblInd w:w="1000" w:type="dxa"/>
        <w:tblCellMar>
          <w:top w:w="0" w:type="dxa"/>
          <w:left w:w="0" w:type="dxa"/>
          <w:bottom w:w="0" w:type="dxa"/>
          <w:right w:w="0" w:type="dxa"/>
        </w:tblCellMar>
      </w:tblPr>
      <w:tr>
        <w:trPr>
          <w:trHeight w:val="175"/>
        </w:trPr>
        <w:tc>
          <w:tcPr>
            <w:tcW w:w="3240" w:type="dxa"/>
            <w:vAlign w:val="bottom"/>
            <w:tcBorders>
              <w:top w:val="single" w:sz="8" w:color="4A7EBB"/>
            </w:tcBorders>
            <w:shd w:val="clear" w:color="auto" w:fill="DBE5F1"/>
          </w:tcPr>
          <w:p>
            <w:pPr>
              <w:spacing w:after="0"/>
              <w:rPr>
                <w:sz w:val="15"/>
                <w:szCs w:val="15"/>
                <w:color w:val="auto"/>
              </w:rPr>
            </w:pPr>
          </w:p>
        </w:tc>
        <w:tc>
          <w:tcPr>
            <w:tcW w:w="580" w:type="dxa"/>
            <w:vAlign w:val="bottom"/>
            <w:tcBorders>
              <w:top w:val="single" w:sz="8" w:color="4A7EBB"/>
            </w:tcBorders>
            <w:shd w:val="clear" w:color="auto" w:fill="DBE5F1"/>
          </w:tcPr>
          <w:p>
            <w:pPr>
              <w:ind w:left="60"/>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4A7EBB"/>
            </w:tcBorders>
            <w:gridSpan w:val="2"/>
            <w:shd w:val="clear" w:color="auto" w:fill="DBE5F1"/>
          </w:tcPr>
          <w:p>
            <w:pPr>
              <w:jc w:val="right"/>
              <w:ind w:right="888"/>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4A7EBB"/>
            </w:tcBorders>
            <w:shd w:val="clear" w:color="auto" w:fill="DBE5F1"/>
          </w:tcPr>
          <w:p>
            <w:pPr>
              <w:jc w:val="right"/>
              <w:ind w:right="168"/>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Matching</w:t>
            </w:r>
          </w:p>
        </w:tc>
        <w:tc>
          <w:tcPr>
            <w:tcW w:w="920" w:type="dxa"/>
            <w:vAlign w:val="bottom"/>
            <w:tcBorders>
              <w:top w:val="single" w:sz="8" w:color="4A7EBB"/>
            </w:tcBorders>
            <w:shd w:val="clear" w:color="auto" w:fill="DBE5F1"/>
          </w:tcPr>
          <w:p>
            <w:pPr>
              <w:jc w:val="right"/>
              <w:ind w:right="668"/>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4A7EBB"/>
            </w:tcBorders>
            <w:shd w:val="clear" w:color="auto" w:fill="DBE5F1"/>
          </w:tcPr>
          <w:p>
            <w:pPr>
              <w:ind w:left="80"/>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4A7EBB"/>
            </w:tcBorders>
            <w:shd w:val="clear" w:color="auto" w:fill="DBE5F1"/>
          </w:tcPr>
          <w:p>
            <w:pPr>
              <w:spacing w:after="0"/>
              <w:rPr>
                <w:sz w:val="15"/>
                <w:szCs w:val="15"/>
                <w:color w:val="auto"/>
              </w:rPr>
            </w:pPr>
          </w:p>
        </w:tc>
      </w:tr>
      <w:tr>
        <w:trPr>
          <w:trHeight w:val="162"/>
        </w:trPr>
        <w:tc>
          <w:tcPr>
            <w:tcW w:w="3240" w:type="dxa"/>
            <w:vAlign w:val="bottom"/>
            <w:shd w:val="clear" w:color="auto" w:fill="DBE5F1"/>
          </w:tcPr>
          <w:p>
            <w:pPr>
              <w:spacing w:after="0"/>
              <w:rPr>
                <w:sz w:val="14"/>
                <w:szCs w:val="14"/>
                <w:color w:val="auto"/>
              </w:rPr>
            </w:pPr>
          </w:p>
        </w:tc>
        <w:tc>
          <w:tcPr>
            <w:tcW w:w="580" w:type="dxa"/>
            <w:vAlign w:val="bottom"/>
            <w:shd w:val="clear" w:color="auto" w:fill="DBE5F1"/>
          </w:tcPr>
          <w:p>
            <w:pPr>
              <w:spacing w:after="0"/>
              <w:rPr>
                <w:sz w:val="14"/>
                <w:szCs w:val="14"/>
                <w:color w:val="auto"/>
              </w:rPr>
            </w:pPr>
          </w:p>
        </w:tc>
        <w:tc>
          <w:tcPr>
            <w:tcW w:w="1140" w:type="dxa"/>
            <w:vAlign w:val="bottom"/>
            <w:gridSpan w:val="2"/>
            <w:shd w:val="clear" w:color="auto" w:fill="DBE5F1"/>
          </w:tcPr>
          <w:p>
            <w:pPr>
              <w:jc w:val="center"/>
              <w:ind w:left="88"/>
              <w:spacing w:after="0"/>
              <w:rPr>
                <w:sz w:val="20"/>
                <w:szCs w:val="20"/>
                <w:color w:val="auto"/>
              </w:rPr>
            </w:pPr>
            <w:r>
              <w:rPr>
                <w:rFonts w:ascii="Arial" w:cs="Arial" w:eastAsia="Arial" w:hAnsi="Arial"/>
                <w:sz w:val="14"/>
                <w:szCs w:val="14"/>
                <w:b w:val="1"/>
                <w:bCs w:val="1"/>
                <w:color w:val="auto"/>
              </w:rPr>
              <w:t>Life Insurance</w:t>
            </w:r>
          </w:p>
        </w:tc>
        <w:tc>
          <w:tcPr>
            <w:tcW w:w="1240" w:type="dxa"/>
            <w:vAlign w:val="bottom"/>
            <w:shd w:val="clear" w:color="auto" w:fill="DBE5F1"/>
          </w:tcPr>
          <w:p>
            <w:pPr>
              <w:jc w:val="center"/>
              <w:ind w:left="48"/>
              <w:spacing w:after="0"/>
              <w:rPr>
                <w:sz w:val="20"/>
                <w:szCs w:val="20"/>
                <w:color w:val="auto"/>
              </w:rPr>
            </w:pPr>
            <w:r>
              <w:rPr>
                <w:rFonts w:ascii="Arial" w:cs="Arial" w:eastAsia="Arial" w:hAnsi="Arial"/>
                <w:sz w:val="14"/>
                <w:szCs w:val="14"/>
                <w:b w:val="1"/>
                <w:bCs w:val="1"/>
                <w:color w:val="auto"/>
              </w:rPr>
              <w:t>Contribution to</w:t>
            </w:r>
          </w:p>
        </w:tc>
        <w:tc>
          <w:tcPr>
            <w:tcW w:w="920" w:type="dxa"/>
            <w:vAlign w:val="bottom"/>
            <w:shd w:val="clear" w:color="auto" w:fill="DBE5F1"/>
          </w:tcPr>
          <w:p>
            <w:pPr>
              <w:spacing w:after="0"/>
              <w:rPr>
                <w:sz w:val="14"/>
                <w:szCs w:val="14"/>
                <w:color w:val="auto"/>
              </w:rPr>
            </w:pPr>
          </w:p>
        </w:tc>
        <w:tc>
          <w:tcPr>
            <w:tcW w:w="220" w:type="dxa"/>
            <w:vAlign w:val="bottom"/>
            <w:shd w:val="clear" w:color="auto" w:fill="DBE5F1"/>
          </w:tcPr>
          <w:p>
            <w:pPr>
              <w:spacing w:after="0"/>
              <w:rPr>
                <w:sz w:val="14"/>
                <w:szCs w:val="14"/>
                <w:color w:val="auto"/>
              </w:rPr>
            </w:pPr>
          </w:p>
        </w:tc>
        <w:tc>
          <w:tcPr>
            <w:tcW w:w="600" w:type="dxa"/>
            <w:vAlign w:val="bottom"/>
            <w:shd w:val="clear" w:color="auto" w:fill="DBE5F1"/>
          </w:tcPr>
          <w:p>
            <w:pPr>
              <w:spacing w:after="0"/>
              <w:rPr>
                <w:sz w:val="14"/>
                <w:szCs w:val="14"/>
                <w:color w:val="auto"/>
              </w:rPr>
            </w:pPr>
          </w:p>
        </w:tc>
      </w:tr>
      <w:tr>
        <w:trPr>
          <w:trHeight w:val="162"/>
        </w:trPr>
        <w:tc>
          <w:tcPr>
            <w:tcW w:w="3240" w:type="dxa"/>
            <w:vAlign w:val="bottom"/>
            <w:shd w:val="clear" w:color="auto" w:fill="DBE5F1"/>
          </w:tcPr>
          <w:p>
            <w:pPr>
              <w:spacing w:after="0"/>
              <w:rPr>
                <w:sz w:val="14"/>
                <w:szCs w:val="14"/>
                <w:color w:val="auto"/>
              </w:rPr>
            </w:pPr>
          </w:p>
        </w:tc>
        <w:tc>
          <w:tcPr>
            <w:tcW w:w="580" w:type="dxa"/>
            <w:vAlign w:val="bottom"/>
            <w:shd w:val="clear" w:color="auto" w:fill="DBE5F1"/>
          </w:tcPr>
          <w:p>
            <w:pPr>
              <w:jc w:val="center"/>
              <w:ind w:left="68"/>
              <w:spacing w:after="0"/>
              <w:rPr>
                <w:sz w:val="20"/>
                <w:szCs w:val="20"/>
                <w:color w:val="auto"/>
              </w:rPr>
            </w:pPr>
            <w:r>
              <w:rPr>
                <w:rFonts w:ascii="Arial" w:cs="Arial" w:eastAsia="Arial" w:hAnsi="Arial"/>
                <w:sz w:val="14"/>
                <w:szCs w:val="14"/>
                <w:b w:val="1"/>
                <w:bCs w:val="1"/>
                <w:color w:val="auto"/>
              </w:rPr>
              <w:t>Fiscal</w:t>
            </w:r>
          </w:p>
        </w:tc>
        <w:tc>
          <w:tcPr>
            <w:tcW w:w="160" w:type="dxa"/>
            <w:vAlign w:val="bottom"/>
            <w:shd w:val="clear" w:color="auto" w:fill="DBE5F1"/>
          </w:tcPr>
          <w:p>
            <w:pPr>
              <w:spacing w:after="0"/>
              <w:rPr>
                <w:sz w:val="14"/>
                <w:szCs w:val="14"/>
                <w:color w:val="auto"/>
              </w:rPr>
            </w:pPr>
          </w:p>
        </w:tc>
        <w:tc>
          <w:tcPr>
            <w:tcW w:w="980" w:type="dxa"/>
            <w:vAlign w:val="bottom"/>
            <w:shd w:val="clear" w:color="auto" w:fill="DBE5F1"/>
          </w:tcPr>
          <w:p>
            <w:pPr>
              <w:jc w:val="center"/>
              <w:spacing w:after="0"/>
              <w:rPr>
                <w:sz w:val="20"/>
                <w:szCs w:val="20"/>
                <w:color w:val="auto"/>
              </w:rPr>
            </w:pPr>
            <w:r>
              <w:rPr>
                <w:rFonts w:ascii="Arial" w:cs="Arial" w:eastAsia="Arial" w:hAnsi="Arial"/>
                <w:sz w:val="14"/>
                <w:szCs w:val="14"/>
                <w:b w:val="1"/>
                <w:bCs w:val="1"/>
                <w:color w:val="auto"/>
              </w:rPr>
              <w:t>Premiums</w:t>
            </w:r>
          </w:p>
        </w:tc>
        <w:tc>
          <w:tcPr>
            <w:tcW w:w="1240" w:type="dxa"/>
            <w:vAlign w:val="bottom"/>
            <w:shd w:val="clear" w:color="auto" w:fill="DBE5F1"/>
          </w:tcPr>
          <w:p>
            <w:pPr>
              <w:jc w:val="center"/>
              <w:ind w:left="48"/>
              <w:spacing w:after="0"/>
              <w:rPr>
                <w:sz w:val="20"/>
                <w:szCs w:val="20"/>
                <w:color w:val="auto"/>
              </w:rPr>
            </w:pPr>
            <w:r>
              <w:rPr>
                <w:rFonts w:ascii="Arial" w:cs="Arial" w:eastAsia="Arial" w:hAnsi="Arial"/>
                <w:sz w:val="14"/>
                <w:szCs w:val="14"/>
                <w:b w:val="1"/>
                <w:bCs w:val="1"/>
                <w:color w:val="auto"/>
              </w:rPr>
              <w:t>401(k) Plan</w:t>
            </w:r>
          </w:p>
        </w:tc>
        <w:tc>
          <w:tcPr>
            <w:tcW w:w="920" w:type="dxa"/>
            <w:vAlign w:val="bottom"/>
            <w:shd w:val="clear" w:color="auto" w:fill="DBE5F1"/>
          </w:tcPr>
          <w:p>
            <w:pPr>
              <w:spacing w:after="0"/>
              <w:rPr>
                <w:sz w:val="14"/>
                <w:szCs w:val="14"/>
                <w:color w:val="auto"/>
              </w:rPr>
            </w:pPr>
          </w:p>
        </w:tc>
        <w:tc>
          <w:tcPr>
            <w:tcW w:w="220" w:type="dxa"/>
            <w:vAlign w:val="bottom"/>
            <w:shd w:val="clear" w:color="auto" w:fill="DBE5F1"/>
          </w:tcPr>
          <w:p>
            <w:pPr>
              <w:spacing w:after="0"/>
              <w:rPr>
                <w:sz w:val="14"/>
                <w:szCs w:val="14"/>
                <w:color w:val="auto"/>
              </w:rPr>
            </w:pPr>
          </w:p>
        </w:tc>
        <w:tc>
          <w:tcPr>
            <w:tcW w:w="600" w:type="dxa"/>
            <w:vAlign w:val="bottom"/>
            <w:shd w:val="clear" w:color="auto" w:fill="DBE5F1"/>
          </w:tcPr>
          <w:p>
            <w:pPr>
              <w:spacing w:after="0"/>
              <w:rPr>
                <w:sz w:val="14"/>
                <w:szCs w:val="14"/>
                <w:color w:val="auto"/>
              </w:rPr>
            </w:pPr>
          </w:p>
        </w:tc>
      </w:tr>
      <w:tr>
        <w:trPr>
          <w:trHeight w:val="169"/>
        </w:trPr>
        <w:tc>
          <w:tcPr>
            <w:tcW w:w="3240" w:type="dxa"/>
            <w:vAlign w:val="bottom"/>
            <w:tcBorders>
              <w:bottom w:val="single" w:sz="8" w:color="4F81BD"/>
            </w:tcBorders>
            <w:shd w:val="clear" w:color="auto" w:fill="DBE5F1"/>
          </w:tcPr>
          <w:p>
            <w:pPr>
              <w:spacing w:after="0"/>
              <w:rPr>
                <w:sz w:val="20"/>
                <w:szCs w:val="20"/>
                <w:color w:val="auto"/>
              </w:rPr>
            </w:pPr>
            <w:r>
              <w:rPr>
                <w:rFonts w:ascii="Arial" w:cs="Arial" w:eastAsia="Arial" w:hAnsi="Arial"/>
                <w:sz w:val="14"/>
                <w:szCs w:val="14"/>
                <w:b w:val="1"/>
                <w:bCs w:val="1"/>
                <w:color w:val="auto"/>
              </w:rPr>
              <w:t>Name</w:t>
            </w:r>
          </w:p>
        </w:tc>
        <w:tc>
          <w:tcPr>
            <w:tcW w:w="580" w:type="dxa"/>
            <w:vAlign w:val="bottom"/>
            <w:tcBorders>
              <w:bottom w:val="single" w:sz="8" w:color="4A7EBB"/>
            </w:tcBorders>
            <w:shd w:val="clear" w:color="auto" w:fill="DBE5F1"/>
          </w:tcPr>
          <w:p>
            <w:pPr>
              <w:jc w:val="center"/>
              <w:ind w:left="68"/>
              <w:spacing w:after="0"/>
              <w:rPr>
                <w:sz w:val="20"/>
                <w:szCs w:val="20"/>
                <w:color w:val="auto"/>
              </w:rPr>
            </w:pPr>
            <w:r>
              <w:rPr>
                <w:rFonts w:ascii="Arial" w:cs="Arial" w:eastAsia="Arial" w:hAnsi="Arial"/>
                <w:sz w:val="14"/>
                <w:szCs w:val="14"/>
                <w:b w:val="1"/>
                <w:bCs w:val="1"/>
                <w:color w:val="auto"/>
              </w:rPr>
              <w:t>Year</w:t>
            </w:r>
          </w:p>
        </w:tc>
        <w:tc>
          <w:tcPr>
            <w:tcW w:w="160" w:type="dxa"/>
            <w:vAlign w:val="bottom"/>
            <w:tcBorders>
              <w:bottom w:val="single" w:sz="8" w:color="4A7EBB"/>
            </w:tcBorders>
            <w:shd w:val="clear" w:color="auto" w:fill="DBE5F1"/>
          </w:tcPr>
          <w:p>
            <w:pPr>
              <w:spacing w:after="0"/>
              <w:rPr>
                <w:sz w:val="14"/>
                <w:szCs w:val="14"/>
                <w:color w:val="auto"/>
              </w:rPr>
            </w:pPr>
          </w:p>
        </w:tc>
        <w:tc>
          <w:tcPr>
            <w:tcW w:w="980" w:type="dxa"/>
            <w:vAlign w:val="bottom"/>
            <w:tcBorders>
              <w:bottom w:val="single" w:sz="8" w:color="4F81BD"/>
            </w:tcBorders>
            <w:shd w:val="clear" w:color="auto" w:fill="DBE5F1"/>
          </w:tcPr>
          <w:p>
            <w:pPr>
              <w:jc w:val="center"/>
              <w:spacing w:after="0"/>
              <w:rPr>
                <w:sz w:val="20"/>
                <w:szCs w:val="20"/>
                <w:color w:val="auto"/>
              </w:rPr>
            </w:pPr>
            <w:r>
              <w:rPr>
                <w:rFonts w:ascii="Arial" w:cs="Arial" w:eastAsia="Arial" w:hAnsi="Arial"/>
                <w:sz w:val="14"/>
                <w:szCs w:val="14"/>
                <w:b w:val="1"/>
                <w:bCs w:val="1"/>
                <w:color w:val="auto"/>
              </w:rPr>
              <w:t>(a)</w:t>
            </w:r>
          </w:p>
        </w:tc>
        <w:tc>
          <w:tcPr>
            <w:tcW w:w="1240" w:type="dxa"/>
            <w:vAlign w:val="bottom"/>
            <w:tcBorders>
              <w:bottom w:val="single" w:sz="8" w:color="4A7EBB"/>
            </w:tcBorders>
            <w:shd w:val="clear" w:color="auto" w:fill="DBE5F1"/>
          </w:tcPr>
          <w:p>
            <w:pPr>
              <w:jc w:val="center"/>
              <w:ind w:left="68"/>
              <w:spacing w:after="0"/>
              <w:rPr>
                <w:sz w:val="20"/>
                <w:szCs w:val="20"/>
                <w:color w:val="auto"/>
              </w:rPr>
            </w:pPr>
            <w:r>
              <w:rPr>
                <w:rFonts w:ascii="Arial" w:cs="Arial" w:eastAsia="Arial" w:hAnsi="Arial"/>
                <w:sz w:val="14"/>
                <w:szCs w:val="14"/>
                <w:b w:val="1"/>
                <w:bCs w:val="1"/>
                <w:color w:val="auto"/>
              </w:rPr>
              <w:t>(b)</w:t>
            </w:r>
          </w:p>
        </w:tc>
        <w:tc>
          <w:tcPr>
            <w:tcW w:w="920" w:type="dxa"/>
            <w:vAlign w:val="bottom"/>
            <w:tcBorders>
              <w:bottom w:val="single" w:sz="8" w:color="4A7EBB"/>
            </w:tcBorders>
            <w:shd w:val="clear" w:color="auto" w:fill="DBE5F1"/>
          </w:tcPr>
          <w:p>
            <w:pPr>
              <w:jc w:val="right"/>
              <w:spacing w:after="0"/>
              <w:rPr>
                <w:sz w:val="20"/>
                <w:szCs w:val="20"/>
                <w:color w:val="auto"/>
              </w:rPr>
            </w:pPr>
            <w:r>
              <w:rPr>
                <w:rFonts w:ascii="Arial" w:cs="Arial" w:eastAsia="Arial" w:hAnsi="Arial"/>
                <w:sz w:val="14"/>
                <w:szCs w:val="14"/>
                <w:b w:val="1"/>
                <w:bCs w:val="1"/>
                <w:color w:val="auto"/>
              </w:rPr>
              <w:t>Perquisites</w:t>
            </w:r>
          </w:p>
        </w:tc>
        <w:tc>
          <w:tcPr>
            <w:tcW w:w="220" w:type="dxa"/>
            <w:vAlign w:val="bottom"/>
            <w:tcBorders>
              <w:bottom w:val="single" w:sz="8" w:color="4A7EBB"/>
            </w:tcBorders>
            <w:shd w:val="clear" w:color="auto" w:fill="DBE5F1"/>
          </w:tcPr>
          <w:p>
            <w:pPr>
              <w:spacing w:after="0"/>
              <w:rPr>
                <w:sz w:val="14"/>
                <w:szCs w:val="14"/>
                <w:color w:val="auto"/>
              </w:rPr>
            </w:pPr>
          </w:p>
        </w:tc>
        <w:tc>
          <w:tcPr>
            <w:tcW w:w="600" w:type="dxa"/>
            <w:vAlign w:val="bottom"/>
            <w:tcBorders>
              <w:bottom w:val="single" w:sz="8" w:color="4A7EBB"/>
            </w:tcBorders>
            <w:shd w:val="clear" w:color="auto" w:fill="DBE5F1"/>
          </w:tcPr>
          <w:p>
            <w:pPr>
              <w:jc w:val="right"/>
              <w:ind w:right="88"/>
              <w:spacing w:after="0"/>
              <w:rPr>
                <w:sz w:val="20"/>
                <w:szCs w:val="20"/>
                <w:color w:val="auto"/>
              </w:rPr>
            </w:pPr>
            <w:r>
              <w:rPr>
                <w:rFonts w:ascii="Arial" w:cs="Arial" w:eastAsia="Arial" w:hAnsi="Arial"/>
                <w:sz w:val="14"/>
                <w:szCs w:val="14"/>
                <w:b w:val="1"/>
                <w:bCs w:val="1"/>
                <w:color w:val="auto"/>
              </w:rPr>
              <w:t>Total</w:t>
            </w:r>
          </w:p>
        </w:tc>
      </w:tr>
      <w:tr>
        <w:trPr>
          <w:trHeight w:val="162"/>
        </w:trPr>
        <w:tc>
          <w:tcPr>
            <w:tcW w:w="3240" w:type="dxa"/>
            <w:vAlign w:val="bottom"/>
          </w:tcPr>
          <w:p>
            <w:pPr>
              <w:spacing w:after="0"/>
              <w:rPr>
                <w:sz w:val="20"/>
                <w:szCs w:val="20"/>
                <w:color w:val="auto"/>
              </w:rPr>
            </w:pPr>
            <w:r>
              <w:rPr>
                <w:rFonts w:ascii="Arial" w:cs="Arial" w:eastAsia="Arial" w:hAnsi="Arial"/>
                <w:sz w:val="14"/>
                <w:szCs w:val="14"/>
                <w:b w:val="1"/>
                <w:bCs w:val="1"/>
                <w:color w:val="auto"/>
              </w:rPr>
              <w:t>Morris Goldfarb</w:t>
            </w:r>
          </w:p>
        </w:tc>
        <w:tc>
          <w:tcPr>
            <w:tcW w:w="580" w:type="dxa"/>
            <w:vAlign w:val="bottom"/>
          </w:tcPr>
          <w:p>
            <w:pPr>
              <w:jc w:val="center"/>
              <w:ind w:left="68"/>
              <w:spacing w:after="0"/>
              <w:rPr>
                <w:sz w:val="20"/>
                <w:szCs w:val="20"/>
                <w:color w:val="auto"/>
              </w:rPr>
            </w:pPr>
            <w:r>
              <w:rPr>
                <w:rFonts w:ascii="Arial" w:cs="Arial" w:eastAsia="Arial" w:hAnsi="Arial"/>
                <w:sz w:val="14"/>
                <w:szCs w:val="14"/>
                <w:color w:val="auto"/>
              </w:rPr>
              <w:t>2026</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138,900</w:t>
            </w: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14,000</w:t>
            </w:r>
          </w:p>
        </w:tc>
        <w:tc>
          <w:tcPr>
            <w:tcW w:w="920" w:type="dxa"/>
            <w:vAlign w:val="bottom"/>
          </w:tcPr>
          <w:p>
            <w:pPr>
              <w:jc w:val="right"/>
              <w:spacing w:after="0"/>
              <w:rPr>
                <w:sz w:val="20"/>
                <w:szCs w:val="20"/>
                <w:color w:val="auto"/>
              </w:rPr>
            </w:pPr>
            <w:r>
              <w:rPr>
                <w:rFonts w:ascii="Arial" w:cs="Arial" w:eastAsia="Arial" w:hAnsi="Arial"/>
                <w:sz w:val="14"/>
                <w:szCs w:val="14"/>
                <w:color w:val="auto"/>
              </w:rPr>
              <w:t>136,454</w:t>
            </w:r>
          </w:p>
        </w:tc>
        <w:tc>
          <w:tcPr>
            <w:tcW w:w="220" w:type="dxa"/>
            <w:vAlign w:val="bottom"/>
          </w:tcPr>
          <w:p>
            <w:pPr>
              <w:spacing w:after="0"/>
              <w:rPr>
                <w:sz w:val="20"/>
                <w:szCs w:val="20"/>
                <w:color w:val="auto"/>
              </w:rPr>
            </w:pPr>
            <w:r>
              <w:rPr>
                <w:rFonts w:ascii="Arial" w:cs="Arial" w:eastAsia="Arial" w:hAnsi="Arial"/>
                <w:sz w:val="12"/>
                <w:szCs w:val="12"/>
                <w:color w:val="auto"/>
              </w:rPr>
              <w:t>(c)</w:t>
            </w:r>
          </w:p>
        </w:tc>
        <w:tc>
          <w:tcPr>
            <w:tcW w:w="600" w:type="dxa"/>
            <w:vAlign w:val="bottom"/>
          </w:tcPr>
          <w:p>
            <w:pPr>
              <w:jc w:val="right"/>
              <w:spacing w:after="0"/>
              <w:rPr>
                <w:sz w:val="20"/>
                <w:szCs w:val="20"/>
                <w:color w:val="auto"/>
              </w:rPr>
            </w:pPr>
            <w:r>
              <w:rPr>
                <w:rFonts w:ascii="Arial" w:cs="Arial" w:eastAsia="Arial" w:hAnsi="Arial"/>
                <w:sz w:val="14"/>
                <w:szCs w:val="14"/>
                <w:color w:val="auto"/>
              </w:rPr>
              <w:t>289,354</w:t>
            </w:r>
          </w:p>
        </w:tc>
      </w:tr>
      <w:tr>
        <w:trPr>
          <w:trHeight w:val="189"/>
        </w:trPr>
        <w:tc>
          <w:tcPr>
            <w:tcW w:w="3240" w:type="dxa"/>
            <w:vAlign w:val="bottom"/>
          </w:tcPr>
          <w:p>
            <w:pPr>
              <w:spacing w:after="0"/>
              <w:rPr>
                <w:sz w:val="16"/>
                <w:szCs w:val="16"/>
                <w:color w:val="auto"/>
              </w:rPr>
            </w:pPr>
          </w:p>
        </w:tc>
        <w:tc>
          <w:tcPr>
            <w:tcW w:w="580" w:type="dxa"/>
            <w:vAlign w:val="bottom"/>
          </w:tcPr>
          <w:p>
            <w:pPr>
              <w:jc w:val="center"/>
              <w:ind w:left="68"/>
              <w:spacing w:after="0"/>
              <w:rPr>
                <w:sz w:val="20"/>
                <w:szCs w:val="20"/>
                <w:color w:val="auto"/>
              </w:rPr>
            </w:pPr>
            <w:r>
              <w:rPr>
                <w:rFonts w:ascii="Arial" w:cs="Arial" w:eastAsia="Arial" w:hAnsi="Arial"/>
                <w:sz w:val="14"/>
                <w:szCs w:val="14"/>
                <w:color w:val="auto"/>
              </w:rPr>
              <w:t>2025</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138,900</w:t>
            </w: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13,800</w:t>
            </w:r>
          </w:p>
        </w:tc>
        <w:tc>
          <w:tcPr>
            <w:tcW w:w="920" w:type="dxa"/>
            <w:vAlign w:val="bottom"/>
          </w:tcPr>
          <w:p>
            <w:pPr>
              <w:jc w:val="right"/>
              <w:spacing w:after="0"/>
              <w:rPr>
                <w:sz w:val="20"/>
                <w:szCs w:val="20"/>
                <w:color w:val="auto"/>
              </w:rPr>
            </w:pPr>
            <w:r>
              <w:rPr>
                <w:rFonts w:ascii="Arial" w:cs="Arial" w:eastAsia="Arial" w:hAnsi="Arial"/>
                <w:sz w:val="14"/>
                <w:szCs w:val="14"/>
                <w:color w:val="auto"/>
              </w:rPr>
              <w:t>134,956</w:t>
            </w:r>
          </w:p>
        </w:tc>
        <w:tc>
          <w:tcPr>
            <w:tcW w:w="220" w:type="dxa"/>
            <w:vAlign w:val="bottom"/>
          </w:tcPr>
          <w:p>
            <w:pPr>
              <w:spacing w:after="0"/>
              <w:rPr>
                <w:sz w:val="20"/>
                <w:szCs w:val="20"/>
                <w:color w:val="auto"/>
              </w:rPr>
            </w:pPr>
            <w:r>
              <w:rPr>
                <w:rFonts w:ascii="Arial" w:cs="Arial" w:eastAsia="Arial" w:hAnsi="Arial"/>
                <w:sz w:val="12"/>
                <w:szCs w:val="12"/>
                <w:color w:val="auto"/>
              </w:rPr>
              <w:t>(d)</w:t>
            </w:r>
          </w:p>
        </w:tc>
        <w:tc>
          <w:tcPr>
            <w:tcW w:w="600" w:type="dxa"/>
            <w:vAlign w:val="bottom"/>
          </w:tcPr>
          <w:p>
            <w:pPr>
              <w:jc w:val="right"/>
              <w:spacing w:after="0"/>
              <w:rPr>
                <w:sz w:val="20"/>
                <w:szCs w:val="20"/>
                <w:color w:val="auto"/>
              </w:rPr>
            </w:pPr>
            <w:r>
              <w:rPr>
                <w:rFonts w:ascii="Arial" w:cs="Arial" w:eastAsia="Arial" w:hAnsi="Arial"/>
                <w:sz w:val="14"/>
                <w:szCs w:val="14"/>
                <w:color w:val="auto"/>
              </w:rPr>
              <w:t>287,656</w:t>
            </w:r>
          </w:p>
        </w:tc>
      </w:tr>
      <w:tr>
        <w:trPr>
          <w:trHeight w:val="216"/>
        </w:trPr>
        <w:tc>
          <w:tcPr>
            <w:tcW w:w="3240" w:type="dxa"/>
            <w:vAlign w:val="bottom"/>
            <w:tcBorders>
              <w:bottom w:val="single" w:sz="8" w:color="4A7EBB"/>
            </w:tcBorders>
          </w:tcPr>
          <w:p>
            <w:pPr>
              <w:spacing w:after="0"/>
              <w:rPr>
                <w:sz w:val="18"/>
                <w:szCs w:val="18"/>
                <w:color w:val="auto"/>
              </w:rPr>
            </w:pPr>
          </w:p>
        </w:tc>
        <w:tc>
          <w:tcPr>
            <w:tcW w:w="580" w:type="dxa"/>
            <w:vAlign w:val="bottom"/>
            <w:tcBorders>
              <w:bottom w:val="single" w:sz="8" w:color="4A7EBB"/>
            </w:tcBorders>
          </w:tcPr>
          <w:p>
            <w:pPr>
              <w:jc w:val="center"/>
              <w:ind w:left="68"/>
              <w:spacing w:after="0"/>
              <w:rPr>
                <w:sz w:val="20"/>
                <w:szCs w:val="20"/>
                <w:color w:val="auto"/>
              </w:rPr>
            </w:pPr>
            <w:r>
              <w:rPr>
                <w:rFonts w:ascii="Arial" w:cs="Arial" w:eastAsia="Arial" w:hAnsi="Arial"/>
                <w:sz w:val="14"/>
                <w:szCs w:val="14"/>
                <w:color w:val="auto"/>
              </w:rPr>
              <w:t>2024</w:t>
            </w:r>
          </w:p>
        </w:tc>
        <w:tc>
          <w:tcPr>
            <w:tcW w:w="1140" w:type="dxa"/>
            <w:vAlign w:val="bottom"/>
            <w:tcBorders>
              <w:bottom w:val="single" w:sz="8" w:color="4A7EBB"/>
            </w:tcBorders>
            <w:gridSpan w:val="2"/>
          </w:tcPr>
          <w:p>
            <w:pPr>
              <w:jc w:val="right"/>
              <w:spacing w:after="0"/>
              <w:rPr>
                <w:sz w:val="20"/>
                <w:szCs w:val="20"/>
                <w:color w:val="auto"/>
              </w:rPr>
            </w:pPr>
            <w:r>
              <w:rPr>
                <w:rFonts w:ascii="Arial" w:cs="Arial" w:eastAsia="Arial" w:hAnsi="Arial"/>
                <w:sz w:val="14"/>
                <w:szCs w:val="14"/>
                <w:color w:val="auto"/>
              </w:rPr>
              <w:t>138,900</w:t>
            </w:r>
          </w:p>
        </w:tc>
        <w:tc>
          <w:tcPr>
            <w:tcW w:w="1240" w:type="dxa"/>
            <w:vAlign w:val="bottom"/>
            <w:tcBorders>
              <w:bottom w:val="single" w:sz="8" w:color="4A7EBB"/>
            </w:tcBorders>
          </w:tcPr>
          <w:p>
            <w:pPr>
              <w:jc w:val="right"/>
              <w:ind w:right="8"/>
              <w:spacing w:after="0"/>
              <w:rPr>
                <w:sz w:val="20"/>
                <w:szCs w:val="20"/>
                <w:color w:val="auto"/>
              </w:rPr>
            </w:pPr>
            <w:r>
              <w:rPr>
                <w:rFonts w:ascii="Arial" w:cs="Arial" w:eastAsia="Arial" w:hAnsi="Arial"/>
                <w:sz w:val="14"/>
                <w:szCs w:val="14"/>
                <w:color w:val="auto"/>
              </w:rPr>
              <w:t>13,200</w:t>
            </w:r>
          </w:p>
        </w:tc>
        <w:tc>
          <w:tcPr>
            <w:tcW w:w="920" w:type="dxa"/>
            <w:vAlign w:val="bottom"/>
            <w:tcBorders>
              <w:bottom w:val="single" w:sz="8" w:color="4A7EBB"/>
            </w:tcBorders>
          </w:tcPr>
          <w:p>
            <w:pPr>
              <w:jc w:val="right"/>
              <w:spacing w:after="0"/>
              <w:rPr>
                <w:sz w:val="20"/>
                <w:szCs w:val="20"/>
                <w:color w:val="auto"/>
              </w:rPr>
            </w:pPr>
            <w:r>
              <w:rPr>
                <w:rFonts w:ascii="Arial" w:cs="Arial" w:eastAsia="Arial" w:hAnsi="Arial"/>
                <w:sz w:val="14"/>
                <w:szCs w:val="14"/>
                <w:color w:val="auto"/>
              </w:rPr>
              <w:t>36,864</w:t>
            </w:r>
          </w:p>
        </w:tc>
        <w:tc>
          <w:tcPr>
            <w:tcW w:w="220" w:type="dxa"/>
            <w:vAlign w:val="bottom"/>
            <w:tcBorders>
              <w:bottom w:val="single" w:sz="8" w:color="4A7EBB"/>
            </w:tcBorders>
          </w:tcPr>
          <w:p>
            <w:pPr>
              <w:spacing w:after="0"/>
              <w:rPr>
                <w:sz w:val="20"/>
                <w:szCs w:val="20"/>
                <w:color w:val="auto"/>
              </w:rPr>
            </w:pPr>
            <w:r>
              <w:rPr>
                <w:rFonts w:ascii="Arial" w:cs="Arial" w:eastAsia="Arial" w:hAnsi="Arial"/>
                <w:sz w:val="12"/>
                <w:szCs w:val="12"/>
                <w:color w:val="auto"/>
              </w:rPr>
              <w:t>(e)</w:t>
            </w:r>
          </w:p>
        </w:tc>
        <w:tc>
          <w:tcPr>
            <w:tcW w:w="600" w:type="dxa"/>
            <w:vAlign w:val="bottom"/>
            <w:tcBorders>
              <w:bottom w:val="single" w:sz="8" w:color="4A7EBB"/>
            </w:tcBorders>
          </w:tcPr>
          <w:p>
            <w:pPr>
              <w:jc w:val="right"/>
              <w:spacing w:after="0"/>
              <w:rPr>
                <w:sz w:val="20"/>
                <w:szCs w:val="20"/>
                <w:color w:val="auto"/>
              </w:rPr>
            </w:pPr>
            <w:r>
              <w:rPr>
                <w:rFonts w:ascii="Arial" w:cs="Arial" w:eastAsia="Arial" w:hAnsi="Arial"/>
                <w:sz w:val="14"/>
                <w:szCs w:val="14"/>
                <w:color w:val="auto"/>
              </w:rPr>
              <w:t>188,964</w:t>
            </w:r>
          </w:p>
        </w:tc>
      </w:tr>
      <w:tr>
        <w:trPr>
          <w:trHeight w:val="183"/>
        </w:trPr>
        <w:tc>
          <w:tcPr>
            <w:tcW w:w="3240" w:type="dxa"/>
            <w:vAlign w:val="bottom"/>
            <w:shd w:val="clear" w:color="auto" w:fill="F2F2F2"/>
          </w:tcPr>
          <w:p>
            <w:pPr>
              <w:spacing w:after="0"/>
              <w:rPr>
                <w:sz w:val="20"/>
                <w:szCs w:val="20"/>
                <w:color w:val="auto"/>
              </w:rPr>
            </w:pPr>
            <w:r>
              <w:rPr>
                <w:rFonts w:ascii="Arial" w:cs="Arial" w:eastAsia="Arial" w:hAnsi="Arial"/>
                <w:sz w:val="14"/>
                <w:szCs w:val="14"/>
                <w:b w:val="1"/>
                <w:bCs w:val="1"/>
                <w:color w:val="auto"/>
              </w:rPr>
              <w:t>Neal S. Nackman</w:t>
            </w:r>
          </w:p>
        </w:tc>
        <w:tc>
          <w:tcPr>
            <w:tcW w:w="580" w:type="dxa"/>
            <w:vAlign w:val="bottom"/>
            <w:shd w:val="clear" w:color="auto" w:fill="F2F2F2"/>
          </w:tcPr>
          <w:p>
            <w:pPr>
              <w:jc w:val="center"/>
              <w:ind w:left="68"/>
              <w:spacing w:after="0"/>
              <w:rPr>
                <w:sz w:val="20"/>
                <w:szCs w:val="20"/>
                <w:color w:val="auto"/>
              </w:rPr>
            </w:pPr>
            <w:r>
              <w:rPr>
                <w:rFonts w:ascii="Arial" w:cs="Arial" w:eastAsia="Arial" w:hAnsi="Arial"/>
                <w:sz w:val="14"/>
                <w:szCs w:val="14"/>
                <w:color w:val="auto"/>
              </w:rPr>
              <w:t>2026</w:t>
            </w:r>
          </w:p>
        </w:tc>
        <w:tc>
          <w:tcPr>
            <w:tcW w:w="1140" w:type="dxa"/>
            <w:vAlign w:val="bottom"/>
            <w:gridSpan w:val="2"/>
            <w:shd w:val="clear" w:color="auto" w:fill="F2F2F2"/>
          </w:tcPr>
          <w:p>
            <w:pPr>
              <w:jc w:val="right"/>
              <w:spacing w:after="0"/>
              <w:rPr>
                <w:sz w:val="20"/>
                <w:szCs w:val="20"/>
                <w:color w:val="auto"/>
              </w:rPr>
            </w:pPr>
            <w:r>
              <w:rPr>
                <w:rFonts w:ascii="Arial" w:cs="Arial" w:eastAsia="Arial" w:hAnsi="Arial"/>
                <w:sz w:val="14"/>
                <w:szCs w:val="14"/>
                <w:color w:val="auto"/>
              </w:rPr>
              <w:t>17,088</w:t>
            </w:r>
          </w:p>
        </w:tc>
        <w:tc>
          <w:tcPr>
            <w:tcW w:w="124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14,000</w:t>
            </w:r>
          </w:p>
        </w:tc>
        <w:tc>
          <w:tcPr>
            <w:tcW w:w="920" w:type="dxa"/>
            <w:vAlign w:val="bottom"/>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F2F2F2"/>
          </w:tcPr>
          <w:p>
            <w:pPr>
              <w:spacing w:after="0"/>
              <w:rPr>
                <w:sz w:val="15"/>
                <w:szCs w:val="15"/>
                <w:color w:val="auto"/>
              </w:rPr>
            </w:pPr>
          </w:p>
        </w:tc>
        <w:tc>
          <w:tcPr>
            <w:tcW w:w="6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31,088</w:t>
            </w:r>
          </w:p>
        </w:tc>
      </w:tr>
      <w:tr>
        <w:trPr>
          <w:trHeight w:val="189"/>
        </w:trPr>
        <w:tc>
          <w:tcPr>
            <w:tcW w:w="3240" w:type="dxa"/>
            <w:vAlign w:val="bottom"/>
            <w:shd w:val="clear" w:color="auto" w:fill="F2F2F2"/>
          </w:tcPr>
          <w:p>
            <w:pPr>
              <w:spacing w:after="0"/>
              <w:rPr>
                <w:sz w:val="16"/>
                <w:szCs w:val="16"/>
                <w:color w:val="auto"/>
              </w:rPr>
            </w:pPr>
          </w:p>
        </w:tc>
        <w:tc>
          <w:tcPr>
            <w:tcW w:w="580" w:type="dxa"/>
            <w:vAlign w:val="bottom"/>
            <w:shd w:val="clear" w:color="auto" w:fill="F2F2F2"/>
          </w:tcPr>
          <w:p>
            <w:pPr>
              <w:jc w:val="center"/>
              <w:ind w:left="68"/>
              <w:spacing w:after="0"/>
              <w:rPr>
                <w:sz w:val="20"/>
                <w:szCs w:val="20"/>
                <w:color w:val="auto"/>
              </w:rPr>
            </w:pPr>
            <w:r>
              <w:rPr>
                <w:rFonts w:ascii="Arial" w:cs="Arial" w:eastAsia="Arial" w:hAnsi="Arial"/>
                <w:sz w:val="14"/>
                <w:szCs w:val="14"/>
                <w:color w:val="auto"/>
              </w:rPr>
              <w:t>2025</w:t>
            </w:r>
          </w:p>
        </w:tc>
        <w:tc>
          <w:tcPr>
            <w:tcW w:w="1140" w:type="dxa"/>
            <w:vAlign w:val="bottom"/>
            <w:gridSpan w:val="2"/>
            <w:shd w:val="clear" w:color="auto" w:fill="F2F2F2"/>
          </w:tcPr>
          <w:p>
            <w:pPr>
              <w:jc w:val="right"/>
              <w:spacing w:after="0"/>
              <w:rPr>
                <w:sz w:val="20"/>
                <w:szCs w:val="20"/>
                <w:color w:val="auto"/>
              </w:rPr>
            </w:pPr>
            <w:r>
              <w:rPr>
                <w:rFonts w:ascii="Arial" w:cs="Arial" w:eastAsia="Arial" w:hAnsi="Arial"/>
                <w:sz w:val="14"/>
                <w:szCs w:val="14"/>
                <w:color w:val="auto"/>
              </w:rPr>
              <w:t>16,776</w:t>
            </w:r>
          </w:p>
        </w:tc>
        <w:tc>
          <w:tcPr>
            <w:tcW w:w="124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13,800</w:t>
            </w:r>
          </w:p>
        </w:tc>
        <w:tc>
          <w:tcPr>
            <w:tcW w:w="920" w:type="dxa"/>
            <w:vAlign w:val="bottom"/>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F2F2F2"/>
          </w:tcPr>
          <w:p>
            <w:pPr>
              <w:spacing w:after="0"/>
              <w:rPr>
                <w:sz w:val="16"/>
                <w:szCs w:val="16"/>
                <w:color w:val="auto"/>
              </w:rPr>
            </w:pPr>
          </w:p>
        </w:tc>
        <w:tc>
          <w:tcPr>
            <w:tcW w:w="6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30,576</w:t>
            </w:r>
          </w:p>
        </w:tc>
      </w:tr>
      <w:tr>
        <w:trPr>
          <w:trHeight w:val="189"/>
        </w:trPr>
        <w:tc>
          <w:tcPr>
            <w:tcW w:w="3240" w:type="dxa"/>
            <w:vAlign w:val="bottom"/>
            <w:tcBorders>
              <w:bottom w:val="single" w:sz="8" w:color="4A7EBB"/>
            </w:tcBorders>
            <w:shd w:val="clear" w:color="auto" w:fill="F2F2F2"/>
          </w:tcPr>
          <w:p>
            <w:pPr>
              <w:spacing w:after="0"/>
              <w:rPr>
                <w:sz w:val="16"/>
                <w:szCs w:val="16"/>
                <w:color w:val="auto"/>
              </w:rPr>
            </w:pPr>
          </w:p>
        </w:tc>
        <w:tc>
          <w:tcPr>
            <w:tcW w:w="580" w:type="dxa"/>
            <w:vAlign w:val="bottom"/>
            <w:tcBorders>
              <w:bottom w:val="single" w:sz="8" w:color="4A7EBB"/>
            </w:tcBorders>
            <w:shd w:val="clear" w:color="auto" w:fill="F2F2F2"/>
          </w:tcPr>
          <w:p>
            <w:pPr>
              <w:jc w:val="center"/>
              <w:ind w:left="68"/>
              <w:spacing w:after="0"/>
              <w:rPr>
                <w:sz w:val="20"/>
                <w:szCs w:val="20"/>
                <w:color w:val="auto"/>
              </w:rPr>
            </w:pPr>
            <w:r>
              <w:rPr>
                <w:rFonts w:ascii="Arial" w:cs="Arial" w:eastAsia="Arial" w:hAnsi="Arial"/>
                <w:sz w:val="14"/>
                <w:szCs w:val="14"/>
                <w:color w:val="auto"/>
              </w:rPr>
              <w:t>2024</w:t>
            </w:r>
          </w:p>
        </w:tc>
        <w:tc>
          <w:tcPr>
            <w:tcW w:w="1140" w:type="dxa"/>
            <w:vAlign w:val="bottom"/>
            <w:tcBorders>
              <w:bottom w:val="single" w:sz="8" w:color="4A7EBB"/>
            </w:tcBorders>
            <w:gridSpan w:val="2"/>
            <w:shd w:val="clear" w:color="auto" w:fill="F2F2F2"/>
          </w:tcPr>
          <w:p>
            <w:pPr>
              <w:jc w:val="right"/>
              <w:spacing w:after="0"/>
              <w:rPr>
                <w:sz w:val="20"/>
                <w:szCs w:val="20"/>
                <w:color w:val="auto"/>
              </w:rPr>
            </w:pPr>
            <w:r>
              <w:rPr>
                <w:rFonts w:ascii="Arial" w:cs="Arial" w:eastAsia="Arial" w:hAnsi="Arial"/>
                <w:sz w:val="14"/>
                <w:szCs w:val="14"/>
                <w:color w:val="auto"/>
              </w:rPr>
              <w:t>13,152</w:t>
            </w:r>
          </w:p>
        </w:tc>
        <w:tc>
          <w:tcPr>
            <w:tcW w:w="1240" w:type="dxa"/>
            <w:vAlign w:val="bottom"/>
            <w:tcBorders>
              <w:bottom w:val="single" w:sz="8" w:color="4A7EBB"/>
            </w:tcBorders>
            <w:shd w:val="clear" w:color="auto" w:fill="F2F2F2"/>
          </w:tcPr>
          <w:p>
            <w:pPr>
              <w:jc w:val="right"/>
              <w:ind w:right="8"/>
              <w:spacing w:after="0"/>
              <w:rPr>
                <w:sz w:val="20"/>
                <w:szCs w:val="20"/>
                <w:color w:val="auto"/>
              </w:rPr>
            </w:pPr>
            <w:r>
              <w:rPr>
                <w:rFonts w:ascii="Arial" w:cs="Arial" w:eastAsia="Arial" w:hAnsi="Arial"/>
                <w:sz w:val="14"/>
                <w:szCs w:val="14"/>
                <w:color w:val="auto"/>
              </w:rPr>
              <w:t>13,200</w:t>
            </w:r>
          </w:p>
        </w:tc>
        <w:tc>
          <w:tcPr>
            <w:tcW w:w="920" w:type="dxa"/>
            <w:vAlign w:val="bottom"/>
            <w:tcBorders>
              <w:bottom w:val="single" w:sz="8" w:color="4A7EBB"/>
            </w:tcBorders>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A7EBB"/>
            </w:tcBorders>
            <w:shd w:val="clear" w:color="auto" w:fill="F2F2F2"/>
          </w:tcPr>
          <w:p>
            <w:pPr>
              <w:spacing w:after="0"/>
              <w:rPr>
                <w:sz w:val="16"/>
                <w:szCs w:val="16"/>
                <w:color w:val="auto"/>
              </w:rPr>
            </w:pPr>
          </w:p>
        </w:tc>
        <w:tc>
          <w:tcPr>
            <w:tcW w:w="600" w:type="dxa"/>
            <w:vAlign w:val="bottom"/>
            <w:tcBorders>
              <w:bottom w:val="single" w:sz="8" w:color="4A7EBB"/>
            </w:tcBorders>
            <w:shd w:val="clear" w:color="auto" w:fill="F2F2F2"/>
          </w:tcPr>
          <w:p>
            <w:pPr>
              <w:jc w:val="right"/>
              <w:spacing w:after="0"/>
              <w:rPr>
                <w:sz w:val="20"/>
                <w:szCs w:val="20"/>
                <w:color w:val="auto"/>
              </w:rPr>
            </w:pPr>
            <w:r>
              <w:rPr>
                <w:rFonts w:ascii="Arial" w:cs="Arial" w:eastAsia="Arial" w:hAnsi="Arial"/>
                <w:sz w:val="14"/>
                <w:szCs w:val="14"/>
                <w:color w:val="auto"/>
              </w:rPr>
              <w:t>26,352</w:t>
            </w:r>
          </w:p>
        </w:tc>
      </w:tr>
      <w:tr>
        <w:trPr>
          <w:trHeight w:val="155"/>
        </w:trPr>
        <w:tc>
          <w:tcPr>
            <w:tcW w:w="3240" w:type="dxa"/>
            <w:vAlign w:val="bottom"/>
          </w:tcPr>
          <w:p>
            <w:pPr>
              <w:spacing w:after="0" w:line="155" w:lineRule="exact"/>
              <w:rPr>
                <w:sz w:val="20"/>
                <w:szCs w:val="20"/>
                <w:color w:val="auto"/>
              </w:rPr>
            </w:pPr>
            <w:r>
              <w:rPr>
                <w:rFonts w:ascii="Arial" w:cs="Arial" w:eastAsia="Arial" w:hAnsi="Arial"/>
                <w:sz w:val="14"/>
                <w:szCs w:val="14"/>
                <w:b w:val="1"/>
                <w:bCs w:val="1"/>
                <w:color w:val="auto"/>
              </w:rPr>
              <w:t>Sammy Aaron</w:t>
            </w:r>
          </w:p>
        </w:tc>
        <w:tc>
          <w:tcPr>
            <w:tcW w:w="580" w:type="dxa"/>
            <w:vAlign w:val="bottom"/>
          </w:tcPr>
          <w:p>
            <w:pPr>
              <w:jc w:val="center"/>
              <w:ind w:left="68"/>
              <w:spacing w:after="0" w:line="155" w:lineRule="exact"/>
              <w:rPr>
                <w:sz w:val="20"/>
                <w:szCs w:val="20"/>
                <w:color w:val="auto"/>
              </w:rPr>
            </w:pPr>
            <w:r>
              <w:rPr>
                <w:rFonts w:ascii="Arial" w:cs="Arial" w:eastAsia="Arial" w:hAnsi="Arial"/>
                <w:sz w:val="14"/>
                <w:szCs w:val="14"/>
                <w:color w:val="auto"/>
              </w:rPr>
              <w:t>2026</w:t>
            </w:r>
          </w:p>
        </w:tc>
        <w:tc>
          <w:tcPr>
            <w:tcW w:w="11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22,633</w:t>
            </w:r>
          </w:p>
        </w:tc>
        <w:tc>
          <w:tcPr>
            <w:tcW w:w="1240" w:type="dxa"/>
            <w:vAlign w:val="bottom"/>
          </w:tcPr>
          <w:p>
            <w:pPr>
              <w:jc w:val="right"/>
              <w:ind w:right="8"/>
              <w:spacing w:after="0" w:line="155" w:lineRule="exact"/>
              <w:rPr>
                <w:sz w:val="20"/>
                <w:szCs w:val="20"/>
                <w:color w:val="auto"/>
              </w:rPr>
            </w:pPr>
            <w:r>
              <w:rPr>
                <w:rFonts w:ascii="Arial" w:cs="Arial" w:eastAsia="Arial" w:hAnsi="Arial"/>
                <w:sz w:val="14"/>
                <w:szCs w:val="14"/>
                <w:color w:val="auto"/>
              </w:rPr>
              <w:t>14,000</w:t>
            </w: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11,538</w:t>
            </w:r>
          </w:p>
        </w:tc>
        <w:tc>
          <w:tcPr>
            <w:tcW w:w="220" w:type="dxa"/>
            <w:vAlign w:val="bottom"/>
          </w:tcPr>
          <w:p>
            <w:pPr>
              <w:spacing w:after="0"/>
              <w:rPr>
                <w:sz w:val="20"/>
                <w:szCs w:val="20"/>
                <w:color w:val="auto"/>
              </w:rPr>
            </w:pPr>
            <w:r>
              <w:rPr>
                <w:rFonts w:ascii="Arial" w:cs="Arial" w:eastAsia="Arial" w:hAnsi="Arial"/>
                <w:sz w:val="12"/>
                <w:szCs w:val="12"/>
                <w:color w:val="auto"/>
              </w:rPr>
              <w:t>(f)</w:t>
            </w: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48,171</w:t>
            </w:r>
          </w:p>
        </w:tc>
      </w:tr>
      <w:tr>
        <w:trPr>
          <w:trHeight w:val="189"/>
        </w:trPr>
        <w:tc>
          <w:tcPr>
            <w:tcW w:w="3240" w:type="dxa"/>
            <w:vAlign w:val="bottom"/>
          </w:tcPr>
          <w:p>
            <w:pPr>
              <w:spacing w:after="0"/>
              <w:rPr>
                <w:sz w:val="16"/>
                <w:szCs w:val="16"/>
                <w:color w:val="auto"/>
              </w:rPr>
            </w:pPr>
          </w:p>
        </w:tc>
        <w:tc>
          <w:tcPr>
            <w:tcW w:w="580" w:type="dxa"/>
            <w:vAlign w:val="bottom"/>
          </w:tcPr>
          <w:p>
            <w:pPr>
              <w:jc w:val="center"/>
              <w:ind w:left="68"/>
              <w:spacing w:after="0"/>
              <w:rPr>
                <w:sz w:val="20"/>
                <w:szCs w:val="20"/>
                <w:color w:val="auto"/>
              </w:rPr>
            </w:pPr>
            <w:r>
              <w:rPr>
                <w:rFonts w:ascii="Arial" w:cs="Arial" w:eastAsia="Arial" w:hAnsi="Arial"/>
                <w:sz w:val="14"/>
                <w:szCs w:val="14"/>
                <w:color w:val="auto"/>
              </w:rPr>
              <w:t>2025</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22,860</w:t>
            </w: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13,800</w:t>
            </w:r>
          </w:p>
        </w:tc>
        <w:tc>
          <w:tcPr>
            <w:tcW w:w="920" w:type="dxa"/>
            <w:vAlign w:val="bottom"/>
          </w:tcPr>
          <w:p>
            <w:pPr>
              <w:jc w:val="right"/>
              <w:spacing w:after="0"/>
              <w:rPr>
                <w:sz w:val="20"/>
                <w:szCs w:val="20"/>
                <w:color w:val="auto"/>
              </w:rPr>
            </w:pPr>
            <w:r>
              <w:rPr>
                <w:rFonts w:ascii="Arial" w:cs="Arial" w:eastAsia="Arial" w:hAnsi="Arial"/>
                <w:sz w:val="14"/>
                <w:szCs w:val="14"/>
                <w:color w:val="auto"/>
              </w:rPr>
              <w:t>12,864</w:t>
            </w:r>
          </w:p>
        </w:tc>
        <w:tc>
          <w:tcPr>
            <w:tcW w:w="220" w:type="dxa"/>
            <w:vAlign w:val="bottom"/>
          </w:tcPr>
          <w:p>
            <w:pPr>
              <w:spacing w:after="0"/>
              <w:rPr>
                <w:sz w:val="20"/>
                <w:szCs w:val="20"/>
                <w:color w:val="auto"/>
              </w:rPr>
            </w:pPr>
            <w:r>
              <w:rPr>
                <w:rFonts w:ascii="Arial" w:cs="Arial" w:eastAsia="Arial" w:hAnsi="Arial"/>
                <w:sz w:val="12"/>
                <w:szCs w:val="12"/>
                <w:color w:val="auto"/>
              </w:rPr>
              <w:t>(f)</w:t>
            </w:r>
          </w:p>
        </w:tc>
        <w:tc>
          <w:tcPr>
            <w:tcW w:w="600" w:type="dxa"/>
            <w:vAlign w:val="bottom"/>
          </w:tcPr>
          <w:p>
            <w:pPr>
              <w:jc w:val="right"/>
              <w:spacing w:after="0"/>
              <w:rPr>
                <w:sz w:val="20"/>
                <w:szCs w:val="20"/>
                <w:color w:val="auto"/>
              </w:rPr>
            </w:pPr>
            <w:r>
              <w:rPr>
                <w:rFonts w:ascii="Arial" w:cs="Arial" w:eastAsia="Arial" w:hAnsi="Arial"/>
                <w:sz w:val="14"/>
                <w:szCs w:val="14"/>
                <w:color w:val="auto"/>
              </w:rPr>
              <w:t>49,524</w:t>
            </w:r>
          </w:p>
        </w:tc>
      </w:tr>
      <w:tr>
        <w:trPr>
          <w:trHeight w:val="216"/>
        </w:trPr>
        <w:tc>
          <w:tcPr>
            <w:tcW w:w="3240" w:type="dxa"/>
            <w:vAlign w:val="bottom"/>
            <w:tcBorders>
              <w:bottom w:val="single" w:sz="8" w:color="4A7EBB"/>
            </w:tcBorders>
          </w:tcPr>
          <w:p>
            <w:pPr>
              <w:spacing w:after="0"/>
              <w:rPr>
                <w:sz w:val="18"/>
                <w:szCs w:val="18"/>
                <w:color w:val="auto"/>
              </w:rPr>
            </w:pPr>
          </w:p>
        </w:tc>
        <w:tc>
          <w:tcPr>
            <w:tcW w:w="580" w:type="dxa"/>
            <w:vAlign w:val="bottom"/>
            <w:tcBorders>
              <w:bottom w:val="single" w:sz="8" w:color="4A7EBB"/>
            </w:tcBorders>
          </w:tcPr>
          <w:p>
            <w:pPr>
              <w:jc w:val="center"/>
              <w:ind w:left="68"/>
              <w:spacing w:after="0"/>
              <w:rPr>
                <w:sz w:val="20"/>
                <w:szCs w:val="20"/>
                <w:color w:val="auto"/>
              </w:rPr>
            </w:pPr>
            <w:r>
              <w:rPr>
                <w:rFonts w:ascii="Arial" w:cs="Arial" w:eastAsia="Arial" w:hAnsi="Arial"/>
                <w:sz w:val="14"/>
                <w:szCs w:val="14"/>
                <w:color w:val="auto"/>
              </w:rPr>
              <w:t>2024</w:t>
            </w:r>
          </w:p>
        </w:tc>
        <w:tc>
          <w:tcPr>
            <w:tcW w:w="1140" w:type="dxa"/>
            <w:vAlign w:val="bottom"/>
            <w:tcBorders>
              <w:bottom w:val="single" w:sz="8" w:color="4A7EBB"/>
            </w:tcBorders>
            <w:gridSpan w:val="2"/>
          </w:tcPr>
          <w:p>
            <w:pPr>
              <w:jc w:val="right"/>
              <w:spacing w:after="0"/>
              <w:rPr>
                <w:sz w:val="20"/>
                <w:szCs w:val="20"/>
                <w:color w:val="auto"/>
              </w:rPr>
            </w:pPr>
            <w:r>
              <w:rPr>
                <w:rFonts w:ascii="Arial" w:cs="Arial" w:eastAsia="Arial" w:hAnsi="Arial"/>
                <w:sz w:val="14"/>
                <w:szCs w:val="14"/>
                <w:color w:val="auto"/>
              </w:rPr>
              <w:t>32,935</w:t>
            </w:r>
          </w:p>
        </w:tc>
        <w:tc>
          <w:tcPr>
            <w:tcW w:w="1240" w:type="dxa"/>
            <w:vAlign w:val="bottom"/>
            <w:tcBorders>
              <w:bottom w:val="single" w:sz="8" w:color="4A7EBB"/>
            </w:tcBorders>
          </w:tcPr>
          <w:p>
            <w:pPr>
              <w:jc w:val="right"/>
              <w:ind w:right="8"/>
              <w:spacing w:after="0"/>
              <w:rPr>
                <w:sz w:val="20"/>
                <w:szCs w:val="20"/>
                <w:color w:val="auto"/>
              </w:rPr>
            </w:pPr>
            <w:r>
              <w:rPr>
                <w:rFonts w:ascii="Arial" w:cs="Arial" w:eastAsia="Arial" w:hAnsi="Arial"/>
                <w:sz w:val="14"/>
                <w:szCs w:val="14"/>
                <w:color w:val="auto"/>
              </w:rPr>
              <w:t>13,200</w:t>
            </w:r>
          </w:p>
        </w:tc>
        <w:tc>
          <w:tcPr>
            <w:tcW w:w="920" w:type="dxa"/>
            <w:vAlign w:val="bottom"/>
            <w:tcBorders>
              <w:bottom w:val="single" w:sz="8" w:color="4A7EBB"/>
            </w:tcBorders>
          </w:tcPr>
          <w:p>
            <w:pPr>
              <w:jc w:val="right"/>
              <w:spacing w:after="0"/>
              <w:rPr>
                <w:sz w:val="20"/>
                <w:szCs w:val="20"/>
                <w:color w:val="auto"/>
              </w:rPr>
            </w:pPr>
            <w:r>
              <w:rPr>
                <w:rFonts w:ascii="Arial" w:cs="Arial" w:eastAsia="Arial" w:hAnsi="Arial"/>
                <w:sz w:val="14"/>
                <w:szCs w:val="14"/>
                <w:color w:val="auto"/>
              </w:rPr>
              <w:t>13,172</w:t>
            </w:r>
          </w:p>
        </w:tc>
        <w:tc>
          <w:tcPr>
            <w:tcW w:w="220" w:type="dxa"/>
            <w:vAlign w:val="bottom"/>
            <w:tcBorders>
              <w:bottom w:val="single" w:sz="8" w:color="4A7EBB"/>
            </w:tcBorders>
          </w:tcPr>
          <w:p>
            <w:pPr>
              <w:spacing w:after="0"/>
              <w:rPr>
                <w:sz w:val="20"/>
                <w:szCs w:val="20"/>
                <w:color w:val="auto"/>
              </w:rPr>
            </w:pPr>
            <w:r>
              <w:rPr>
                <w:rFonts w:ascii="Arial" w:cs="Arial" w:eastAsia="Arial" w:hAnsi="Arial"/>
                <w:sz w:val="12"/>
                <w:szCs w:val="12"/>
                <w:color w:val="auto"/>
              </w:rPr>
              <w:t>(f)</w:t>
            </w:r>
          </w:p>
        </w:tc>
        <w:tc>
          <w:tcPr>
            <w:tcW w:w="600" w:type="dxa"/>
            <w:vAlign w:val="bottom"/>
            <w:tcBorders>
              <w:bottom w:val="single" w:sz="8" w:color="4A7EBB"/>
            </w:tcBorders>
          </w:tcPr>
          <w:p>
            <w:pPr>
              <w:jc w:val="right"/>
              <w:spacing w:after="0"/>
              <w:rPr>
                <w:sz w:val="20"/>
                <w:szCs w:val="20"/>
                <w:color w:val="auto"/>
              </w:rPr>
            </w:pPr>
            <w:r>
              <w:rPr>
                <w:rFonts w:ascii="Arial" w:cs="Arial" w:eastAsia="Arial" w:hAnsi="Arial"/>
                <w:sz w:val="14"/>
                <w:szCs w:val="14"/>
                <w:color w:val="auto"/>
              </w:rPr>
              <w:t>59,307</w:t>
            </w:r>
          </w:p>
        </w:tc>
      </w:tr>
      <w:tr>
        <w:trPr>
          <w:trHeight w:val="155"/>
        </w:trPr>
        <w:tc>
          <w:tcPr>
            <w:tcW w:w="3240" w:type="dxa"/>
            <w:vAlign w:val="bottom"/>
            <w:shd w:val="clear" w:color="auto" w:fill="F2F2F2"/>
          </w:tcPr>
          <w:p>
            <w:pPr>
              <w:spacing w:after="0" w:line="155" w:lineRule="exact"/>
              <w:rPr>
                <w:sz w:val="20"/>
                <w:szCs w:val="20"/>
                <w:color w:val="auto"/>
              </w:rPr>
            </w:pPr>
            <w:r>
              <w:rPr>
                <w:rFonts w:ascii="Arial" w:cs="Arial" w:eastAsia="Arial" w:hAnsi="Arial"/>
                <w:sz w:val="14"/>
                <w:szCs w:val="14"/>
                <w:b w:val="1"/>
                <w:bCs w:val="1"/>
                <w:color w:val="auto"/>
              </w:rPr>
              <w:t>Jeffrey Goldfarb</w:t>
            </w:r>
          </w:p>
        </w:tc>
        <w:tc>
          <w:tcPr>
            <w:tcW w:w="580" w:type="dxa"/>
            <w:vAlign w:val="bottom"/>
            <w:shd w:val="clear" w:color="auto" w:fill="F2F2F2"/>
          </w:tcPr>
          <w:p>
            <w:pPr>
              <w:jc w:val="center"/>
              <w:ind w:left="68"/>
              <w:spacing w:after="0" w:line="155" w:lineRule="exact"/>
              <w:rPr>
                <w:sz w:val="20"/>
                <w:szCs w:val="20"/>
                <w:color w:val="auto"/>
              </w:rPr>
            </w:pPr>
            <w:r>
              <w:rPr>
                <w:rFonts w:ascii="Arial" w:cs="Arial" w:eastAsia="Arial" w:hAnsi="Arial"/>
                <w:sz w:val="14"/>
                <w:szCs w:val="14"/>
                <w:color w:val="auto"/>
              </w:rPr>
              <w:t>2026</w:t>
            </w:r>
          </w:p>
        </w:tc>
        <w:tc>
          <w:tcPr>
            <w:tcW w:w="1140" w:type="dxa"/>
            <w:vAlign w:val="bottom"/>
            <w:gridSpan w:val="2"/>
            <w:shd w:val="clear" w:color="auto" w:fill="F2F2F2"/>
          </w:tcPr>
          <w:p>
            <w:pPr>
              <w:jc w:val="right"/>
              <w:spacing w:after="0" w:line="155" w:lineRule="exact"/>
              <w:rPr>
                <w:sz w:val="20"/>
                <w:szCs w:val="20"/>
                <w:color w:val="auto"/>
              </w:rPr>
            </w:pPr>
            <w:r>
              <w:rPr>
                <w:rFonts w:ascii="Arial" w:cs="Arial" w:eastAsia="Arial" w:hAnsi="Arial"/>
                <w:sz w:val="14"/>
                <w:szCs w:val="14"/>
                <w:color w:val="auto"/>
              </w:rPr>
              <w:t>3,500</w:t>
            </w:r>
          </w:p>
        </w:tc>
        <w:tc>
          <w:tcPr>
            <w:tcW w:w="1240" w:type="dxa"/>
            <w:vAlign w:val="bottom"/>
            <w:shd w:val="clear" w:color="auto" w:fill="F2F2F2"/>
          </w:tcPr>
          <w:p>
            <w:pPr>
              <w:jc w:val="right"/>
              <w:ind w:right="8"/>
              <w:spacing w:after="0" w:line="155" w:lineRule="exact"/>
              <w:rPr>
                <w:sz w:val="20"/>
                <w:szCs w:val="20"/>
                <w:color w:val="auto"/>
              </w:rPr>
            </w:pPr>
            <w:r>
              <w:rPr>
                <w:rFonts w:ascii="Arial" w:cs="Arial" w:eastAsia="Arial" w:hAnsi="Arial"/>
                <w:sz w:val="14"/>
                <w:szCs w:val="14"/>
                <w:color w:val="auto"/>
              </w:rPr>
              <w:t>14,000</w:t>
            </w:r>
          </w:p>
        </w:tc>
        <w:tc>
          <w:tcPr>
            <w:tcW w:w="920" w:type="dxa"/>
            <w:vAlign w:val="bottom"/>
            <w:shd w:val="clear" w:color="auto" w:fill="F2F2F2"/>
          </w:tcPr>
          <w:p>
            <w:pPr>
              <w:jc w:val="right"/>
              <w:spacing w:after="0" w:line="155" w:lineRule="exact"/>
              <w:rPr>
                <w:sz w:val="20"/>
                <w:szCs w:val="20"/>
                <w:color w:val="auto"/>
              </w:rPr>
            </w:pPr>
            <w:r>
              <w:rPr>
                <w:rFonts w:ascii="Arial" w:cs="Arial" w:eastAsia="Arial" w:hAnsi="Arial"/>
                <w:sz w:val="14"/>
                <w:szCs w:val="14"/>
                <w:color w:val="auto"/>
              </w:rPr>
              <w:t>18,303</w:t>
            </w:r>
          </w:p>
        </w:tc>
        <w:tc>
          <w:tcPr>
            <w:tcW w:w="220" w:type="dxa"/>
            <w:vAlign w:val="bottom"/>
            <w:shd w:val="clear" w:color="auto" w:fill="F2F2F2"/>
          </w:tcPr>
          <w:p>
            <w:pPr>
              <w:spacing w:after="0"/>
              <w:rPr>
                <w:sz w:val="20"/>
                <w:szCs w:val="20"/>
                <w:color w:val="auto"/>
              </w:rPr>
            </w:pPr>
            <w:r>
              <w:rPr>
                <w:rFonts w:ascii="Arial" w:cs="Arial" w:eastAsia="Arial" w:hAnsi="Arial"/>
                <w:sz w:val="12"/>
                <w:szCs w:val="12"/>
                <w:color w:val="auto"/>
              </w:rPr>
              <w:t>(g)</w:t>
            </w:r>
          </w:p>
        </w:tc>
        <w:tc>
          <w:tcPr>
            <w:tcW w:w="600" w:type="dxa"/>
            <w:vAlign w:val="bottom"/>
            <w:shd w:val="clear" w:color="auto" w:fill="F2F2F2"/>
          </w:tcPr>
          <w:p>
            <w:pPr>
              <w:jc w:val="right"/>
              <w:spacing w:after="0" w:line="155" w:lineRule="exact"/>
              <w:rPr>
                <w:sz w:val="20"/>
                <w:szCs w:val="20"/>
                <w:color w:val="auto"/>
              </w:rPr>
            </w:pPr>
            <w:r>
              <w:rPr>
                <w:rFonts w:ascii="Arial" w:cs="Arial" w:eastAsia="Arial" w:hAnsi="Arial"/>
                <w:sz w:val="14"/>
                <w:szCs w:val="14"/>
                <w:color w:val="auto"/>
              </w:rPr>
              <w:t>35,803</w:t>
            </w:r>
          </w:p>
        </w:tc>
      </w:tr>
      <w:tr>
        <w:trPr>
          <w:trHeight w:val="189"/>
        </w:trPr>
        <w:tc>
          <w:tcPr>
            <w:tcW w:w="3240" w:type="dxa"/>
            <w:vAlign w:val="bottom"/>
            <w:shd w:val="clear" w:color="auto" w:fill="F2F2F2"/>
          </w:tcPr>
          <w:p>
            <w:pPr>
              <w:spacing w:after="0"/>
              <w:rPr>
                <w:sz w:val="16"/>
                <w:szCs w:val="16"/>
                <w:color w:val="auto"/>
              </w:rPr>
            </w:pPr>
          </w:p>
        </w:tc>
        <w:tc>
          <w:tcPr>
            <w:tcW w:w="580" w:type="dxa"/>
            <w:vAlign w:val="bottom"/>
            <w:shd w:val="clear" w:color="auto" w:fill="F2F2F2"/>
          </w:tcPr>
          <w:p>
            <w:pPr>
              <w:jc w:val="center"/>
              <w:ind w:left="68"/>
              <w:spacing w:after="0"/>
              <w:rPr>
                <w:sz w:val="20"/>
                <w:szCs w:val="20"/>
                <w:color w:val="auto"/>
              </w:rPr>
            </w:pPr>
            <w:r>
              <w:rPr>
                <w:rFonts w:ascii="Arial" w:cs="Arial" w:eastAsia="Arial" w:hAnsi="Arial"/>
                <w:sz w:val="14"/>
                <w:szCs w:val="14"/>
                <w:color w:val="auto"/>
              </w:rPr>
              <w:t>2025</w:t>
            </w:r>
          </w:p>
        </w:tc>
        <w:tc>
          <w:tcPr>
            <w:tcW w:w="1140" w:type="dxa"/>
            <w:vAlign w:val="bottom"/>
            <w:gridSpan w:val="2"/>
            <w:shd w:val="clear" w:color="auto" w:fill="F2F2F2"/>
          </w:tcPr>
          <w:p>
            <w:pPr>
              <w:jc w:val="right"/>
              <w:spacing w:after="0"/>
              <w:rPr>
                <w:sz w:val="20"/>
                <w:szCs w:val="20"/>
                <w:color w:val="auto"/>
              </w:rPr>
            </w:pPr>
            <w:r>
              <w:rPr>
                <w:rFonts w:ascii="Arial" w:cs="Arial" w:eastAsia="Arial" w:hAnsi="Arial"/>
                <w:sz w:val="14"/>
                <w:szCs w:val="14"/>
                <w:color w:val="auto"/>
              </w:rPr>
              <w:t>3,500</w:t>
            </w:r>
          </w:p>
        </w:tc>
        <w:tc>
          <w:tcPr>
            <w:tcW w:w="124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13,800</w:t>
            </w:r>
          </w:p>
        </w:tc>
        <w:tc>
          <w:tcPr>
            <w:tcW w:w="920" w:type="dxa"/>
            <w:vAlign w:val="bottom"/>
            <w:shd w:val="clear" w:color="auto" w:fill="F2F2F2"/>
          </w:tcPr>
          <w:p>
            <w:pPr>
              <w:jc w:val="right"/>
              <w:spacing w:after="0"/>
              <w:rPr>
                <w:sz w:val="20"/>
                <w:szCs w:val="20"/>
                <w:color w:val="auto"/>
              </w:rPr>
            </w:pPr>
            <w:r>
              <w:rPr>
                <w:rFonts w:ascii="Arial" w:cs="Arial" w:eastAsia="Arial" w:hAnsi="Arial"/>
                <w:sz w:val="14"/>
                <w:szCs w:val="14"/>
                <w:color w:val="auto"/>
              </w:rPr>
              <w:t>20,908</w:t>
            </w:r>
          </w:p>
        </w:tc>
        <w:tc>
          <w:tcPr>
            <w:tcW w:w="220" w:type="dxa"/>
            <w:vAlign w:val="bottom"/>
            <w:shd w:val="clear" w:color="auto" w:fill="F2F2F2"/>
          </w:tcPr>
          <w:p>
            <w:pPr>
              <w:spacing w:after="0"/>
              <w:rPr>
                <w:sz w:val="20"/>
                <w:szCs w:val="20"/>
                <w:color w:val="auto"/>
              </w:rPr>
            </w:pPr>
            <w:r>
              <w:rPr>
                <w:rFonts w:ascii="Arial" w:cs="Arial" w:eastAsia="Arial" w:hAnsi="Arial"/>
                <w:sz w:val="12"/>
                <w:szCs w:val="12"/>
                <w:color w:val="auto"/>
              </w:rPr>
              <w:t>(g)</w:t>
            </w:r>
          </w:p>
        </w:tc>
        <w:tc>
          <w:tcPr>
            <w:tcW w:w="6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38,208</w:t>
            </w:r>
          </w:p>
        </w:tc>
      </w:tr>
      <w:tr>
        <w:trPr>
          <w:trHeight w:val="216"/>
        </w:trPr>
        <w:tc>
          <w:tcPr>
            <w:tcW w:w="3240" w:type="dxa"/>
            <w:vAlign w:val="bottom"/>
            <w:tcBorders>
              <w:bottom w:val="single" w:sz="8" w:color="4A7EBB"/>
            </w:tcBorders>
            <w:shd w:val="clear" w:color="auto" w:fill="F2F2F2"/>
          </w:tcPr>
          <w:p>
            <w:pPr>
              <w:spacing w:after="0"/>
              <w:rPr>
                <w:sz w:val="18"/>
                <w:szCs w:val="18"/>
                <w:color w:val="auto"/>
              </w:rPr>
            </w:pPr>
          </w:p>
        </w:tc>
        <w:tc>
          <w:tcPr>
            <w:tcW w:w="580" w:type="dxa"/>
            <w:vAlign w:val="bottom"/>
            <w:tcBorders>
              <w:bottom w:val="single" w:sz="8" w:color="4A7EBB"/>
            </w:tcBorders>
            <w:shd w:val="clear" w:color="auto" w:fill="F2F2F2"/>
          </w:tcPr>
          <w:p>
            <w:pPr>
              <w:jc w:val="center"/>
              <w:ind w:left="68"/>
              <w:spacing w:after="0"/>
              <w:rPr>
                <w:sz w:val="20"/>
                <w:szCs w:val="20"/>
                <w:color w:val="auto"/>
              </w:rPr>
            </w:pPr>
            <w:r>
              <w:rPr>
                <w:rFonts w:ascii="Arial" w:cs="Arial" w:eastAsia="Arial" w:hAnsi="Arial"/>
                <w:sz w:val="14"/>
                <w:szCs w:val="14"/>
                <w:color w:val="auto"/>
              </w:rPr>
              <w:t>2024</w:t>
            </w:r>
          </w:p>
        </w:tc>
        <w:tc>
          <w:tcPr>
            <w:tcW w:w="1140" w:type="dxa"/>
            <w:vAlign w:val="bottom"/>
            <w:tcBorders>
              <w:bottom w:val="single" w:sz="8" w:color="4A7EBB"/>
            </w:tcBorders>
            <w:gridSpan w:val="2"/>
            <w:shd w:val="clear" w:color="auto" w:fill="F2F2F2"/>
          </w:tcPr>
          <w:p>
            <w:pPr>
              <w:jc w:val="right"/>
              <w:spacing w:after="0"/>
              <w:rPr>
                <w:sz w:val="20"/>
                <w:szCs w:val="20"/>
                <w:color w:val="auto"/>
              </w:rPr>
            </w:pPr>
            <w:r>
              <w:rPr>
                <w:rFonts w:ascii="Arial" w:cs="Arial" w:eastAsia="Arial" w:hAnsi="Arial"/>
                <w:sz w:val="14"/>
                <w:szCs w:val="14"/>
                <w:color w:val="auto"/>
              </w:rPr>
              <w:t>3,500</w:t>
            </w:r>
          </w:p>
        </w:tc>
        <w:tc>
          <w:tcPr>
            <w:tcW w:w="1240" w:type="dxa"/>
            <w:vAlign w:val="bottom"/>
            <w:tcBorders>
              <w:bottom w:val="single" w:sz="8" w:color="4A7EBB"/>
            </w:tcBorders>
            <w:shd w:val="clear" w:color="auto" w:fill="F2F2F2"/>
          </w:tcPr>
          <w:p>
            <w:pPr>
              <w:jc w:val="right"/>
              <w:ind w:right="8"/>
              <w:spacing w:after="0"/>
              <w:rPr>
                <w:sz w:val="20"/>
                <w:szCs w:val="20"/>
                <w:color w:val="auto"/>
              </w:rPr>
            </w:pPr>
            <w:r>
              <w:rPr>
                <w:rFonts w:ascii="Arial" w:cs="Arial" w:eastAsia="Arial" w:hAnsi="Arial"/>
                <w:sz w:val="14"/>
                <w:szCs w:val="14"/>
                <w:color w:val="auto"/>
              </w:rPr>
              <w:t>13,200</w:t>
            </w:r>
          </w:p>
        </w:tc>
        <w:tc>
          <w:tcPr>
            <w:tcW w:w="920" w:type="dxa"/>
            <w:vAlign w:val="bottom"/>
            <w:tcBorders>
              <w:bottom w:val="single" w:sz="8" w:color="4A7EBB"/>
            </w:tcBorders>
            <w:shd w:val="clear" w:color="auto" w:fill="F2F2F2"/>
          </w:tcPr>
          <w:p>
            <w:pPr>
              <w:jc w:val="right"/>
              <w:spacing w:after="0"/>
              <w:rPr>
                <w:sz w:val="20"/>
                <w:szCs w:val="20"/>
                <w:color w:val="auto"/>
              </w:rPr>
            </w:pPr>
            <w:r>
              <w:rPr>
                <w:rFonts w:ascii="Arial" w:cs="Arial" w:eastAsia="Arial" w:hAnsi="Arial"/>
                <w:sz w:val="14"/>
                <w:szCs w:val="14"/>
                <w:color w:val="auto"/>
              </w:rPr>
              <w:t>19,838</w:t>
            </w:r>
          </w:p>
        </w:tc>
        <w:tc>
          <w:tcPr>
            <w:tcW w:w="220" w:type="dxa"/>
            <w:vAlign w:val="bottom"/>
            <w:tcBorders>
              <w:bottom w:val="single" w:sz="8" w:color="4A7EBB"/>
            </w:tcBorders>
            <w:shd w:val="clear" w:color="auto" w:fill="F2F2F2"/>
          </w:tcPr>
          <w:p>
            <w:pPr>
              <w:spacing w:after="0"/>
              <w:rPr>
                <w:sz w:val="20"/>
                <w:szCs w:val="20"/>
                <w:color w:val="auto"/>
              </w:rPr>
            </w:pPr>
            <w:r>
              <w:rPr>
                <w:rFonts w:ascii="Arial" w:cs="Arial" w:eastAsia="Arial" w:hAnsi="Arial"/>
                <w:sz w:val="12"/>
                <w:szCs w:val="12"/>
                <w:color w:val="auto"/>
              </w:rPr>
              <w:t>(g)</w:t>
            </w:r>
          </w:p>
        </w:tc>
        <w:tc>
          <w:tcPr>
            <w:tcW w:w="600" w:type="dxa"/>
            <w:vAlign w:val="bottom"/>
            <w:tcBorders>
              <w:bottom w:val="single" w:sz="8" w:color="4A7EBB"/>
            </w:tcBorders>
            <w:shd w:val="clear" w:color="auto" w:fill="F2F2F2"/>
          </w:tcPr>
          <w:p>
            <w:pPr>
              <w:jc w:val="right"/>
              <w:spacing w:after="0"/>
              <w:rPr>
                <w:sz w:val="20"/>
                <w:szCs w:val="20"/>
                <w:color w:val="auto"/>
              </w:rPr>
            </w:pPr>
            <w:r>
              <w:rPr>
                <w:rFonts w:ascii="Arial" w:cs="Arial" w:eastAsia="Arial" w:hAnsi="Arial"/>
                <w:sz w:val="14"/>
                <w:szCs w:val="14"/>
                <w:color w:val="auto"/>
              </w:rPr>
              <w:t>36,538</w:t>
            </w:r>
          </w:p>
        </w:tc>
      </w:tr>
      <w:tr>
        <w:trPr>
          <w:trHeight w:val="200"/>
        </w:trPr>
        <w:tc>
          <w:tcPr>
            <w:tcW w:w="3240" w:type="dxa"/>
            <w:vAlign w:val="bottom"/>
          </w:tcPr>
          <w:p>
            <w:pPr>
              <w:spacing w:after="0"/>
              <w:rPr>
                <w:sz w:val="20"/>
                <w:szCs w:val="20"/>
                <w:color w:val="auto"/>
              </w:rPr>
            </w:pPr>
            <w:r>
              <w:rPr>
                <w:rFonts w:ascii="Arial" w:cs="Arial" w:eastAsia="Arial" w:hAnsi="Arial"/>
                <w:sz w:val="14"/>
                <w:szCs w:val="14"/>
                <w:b w:val="1"/>
                <w:bCs w:val="1"/>
                <w:color w:val="auto"/>
              </w:rPr>
              <w:t>Dana Perlman</w:t>
            </w:r>
          </w:p>
        </w:tc>
        <w:tc>
          <w:tcPr>
            <w:tcW w:w="580" w:type="dxa"/>
            <w:vAlign w:val="bottom"/>
          </w:tcPr>
          <w:p>
            <w:pPr>
              <w:jc w:val="center"/>
              <w:ind w:left="68"/>
              <w:spacing w:after="0"/>
              <w:rPr>
                <w:sz w:val="20"/>
                <w:szCs w:val="20"/>
                <w:color w:val="auto"/>
              </w:rPr>
            </w:pPr>
            <w:r>
              <w:rPr>
                <w:rFonts w:ascii="Arial" w:cs="Arial" w:eastAsia="Arial" w:hAnsi="Arial"/>
                <w:sz w:val="14"/>
                <w:szCs w:val="14"/>
                <w:color w:val="auto"/>
              </w:rPr>
              <w:t>2026</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14,000</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14,000</w:t>
            </w:r>
          </w:p>
        </w:tc>
      </w:tr>
      <w:tr>
        <w:trPr>
          <w:trHeight w:val="189"/>
        </w:trPr>
        <w:tc>
          <w:tcPr>
            <w:tcW w:w="3240" w:type="dxa"/>
            <w:vAlign w:val="bottom"/>
          </w:tcPr>
          <w:p>
            <w:pPr>
              <w:spacing w:after="0"/>
              <w:rPr>
                <w:sz w:val="16"/>
                <w:szCs w:val="16"/>
                <w:color w:val="auto"/>
              </w:rPr>
            </w:pPr>
          </w:p>
        </w:tc>
        <w:tc>
          <w:tcPr>
            <w:tcW w:w="580" w:type="dxa"/>
            <w:vAlign w:val="bottom"/>
          </w:tcPr>
          <w:p>
            <w:pPr>
              <w:jc w:val="center"/>
              <w:ind w:left="68"/>
              <w:spacing w:after="0"/>
              <w:rPr>
                <w:sz w:val="20"/>
                <w:szCs w:val="20"/>
                <w:color w:val="auto"/>
              </w:rPr>
            </w:pPr>
            <w:r>
              <w:rPr>
                <w:rFonts w:ascii="Arial" w:cs="Arial" w:eastAsia="Arial" w:hAnsi="Arial"/>
                <w:sz w:val="14"/>
                <w:szCs w:val="14"/>
                <w:color w:val="auto"/>
              </w:rPr>
              <w:t>2025</w:t>
            </w: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9,231</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9,231</w:t>
            </w:r>
          </w:p>
        </w:tc>
      </w:tr>
      <w:tr>
        <w:trPr>
          <w:trHeight w:val="171"/>
        </w:trPr>
        <w:tc>
          <w:tcPr>
            <w:tcW w:w="3240" w:type="dxa"/>
            <w:vAlign w:val="bottom"/>
            <w:tcBorders>
              <w:bottom w:val="single" w:sz="8" w:color="4A7EBB"/>
            </w:tcBorders>
          </w:tcPr>
          <w:p>
            <w:pPr>
              <w:spacing w:after="0"/>
              <w:rPr>
                <w:sz w:val="14"/>
                <w:szCs w:val="14"/>
                <w:color w:val="auto"/>
              </w:rPr>
            </w:pPr>
          </w:p>
        </w:tc>
        <w:tc>
          <w:tcPr>
            <w:tcW w:w="580" w:type="dxa"/>
            <w:vAlign w:val="bottom"/>
            <w:tcBorders>
              <w:bottom w:val="single" w:sz="8" w:color="4A7EBB"/>
            </w:tcBorders>
          </w:tcPr>
          <w:p>
            <w:pPr>
              <w:jc w:val="center"/>
              <w:ind w:left="68"/>
              <w:spacing w:after="0"/>
              <w:rPr>
                <w:sz w:val="20"/>
                <w:szCs w:val="20"/>
                <w:color w:val="auto"/>
              </w:rPr>
            </w:pPr>
            <w:r>
              <w:rPr>
                <w:rFonts w:ascii="Arial" w:cs="Arial" w:eastAsia="Arial" w:hAnsi="Arial"/>
                <w:sz w:val="14"/>
                <w:szCs w:val="14"/>
                <w:color w:val="auto"/>
              </w:rPr>
              <w:t>2024</w:t>
            </w:r>
          </w:p>
        </w:tc>
        <w:tc>
          <w:tcPr>
            <w:tcW w:w="160" w:type="dxa"/>
            <w:vAlign w:val="bottom"/>
            <w:tcBorders>
              <w:bottom w:val="single" w:sz="8" w:color="4A7EBB"/>
            </w:tcBorders>
          </w:tcPr>
          <w:p>
            <w:pPr>
              <w:spacing w:after="0"/>
              <w:rPr>
                <w:sz w:val="14"/>
                <w:szCs w:val="14"/>
                <w:color w:val="auto"/>
              </w:rPr>
            </w:pPr>
          </w:p>
        </w:tc>
        <w:tc>
          <w:tcPr>
            <w:tcW w:w="980" w:type="dxa"/>
            <w:vAlign w:val="bottom"/>
            <w:tcBorders>
              <w:bottom w:val="single" w:sz="8" w:color="4A7EBB"/>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4A7EBB"/>
            </w:tcBorders>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4A7EBB"/>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A7EBB"/>
            </w:tcBorders>
          </w:tcPr>
          <w:p>
            <w:pPr>
              <w:spacing w:after="0"/>
              <w:rPr>
                <w:sz w:val="14"/>
                <w:szCs w:val="14"/>
                <w:color w:val="auto"/>
              </w:rPr>
            </w:pPr>
          </w:p>
        </w:tc>
        <w:tc>
          <w:tcPr>
            <w:tcW w:w="600" w:type="dxa"/>
            <w:vAlign w:val="bottom"/>
            <w:tcBorders>
              <w:bottom w:val="single" w:sz="8" w:color="4A7EBB"/>
            </w:tcBorders>
          </w:tcPr>
          <w:p>
            <w:pPr>
              <w:jc w:val="right"/>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419735</wp:posOffset>
            </wp:positionV>
            <wp:extent cx="629221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2026 PROXY STATEMENT </w:t>
      </w:r>
      <w:r>
        <w:rPr>
          <w:rFonts w:ascii="Arial" w:cs="Arial" w:eastAsia="Arial" w:hAnsi="Arial"/>
          <w:sz w:val="19"/>
          <w:szCs w:val="19"/>
          <w:color w:val="808080"/>
        </w:rPr>
        <w:t>/</w:t>
      </w:r>
      <w:r>
        <w:rPr>
          <w:rFonts w:ascii="Arial" w:cs="Arial" w:eastAsia="Arial" w:hAnsi="Arial"/>
          <w:sz w:val="16"/>
          <w:szCs w:val="16"/>
          <w:color w:val="auto"/>
        </w:rPr>
        <w:t xml:space="preserve"> </w:t>
      </w:r>
      <w:r>
        <w:rPr>
          <w:rFonts w:ascii="Arial" w:cs="Arial" w:eastAsia="Arial" w:hAnsi="Arial"/>
          <w:sz w:val="19"/>
          <w:szCs w:val="19"/>
          <w:b w:val="1"/>
          <w:bCs w:val="1"/>
          <w:color w:val="4A7EBB"/>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356235</wp:posOffset>
            </wp:positionV>
            <wp:extent cx="6292215" cy="254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17780</wp:posOffset>
            </wp:positionV>
            <wp:extent cx="624903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249035" cy="8255"/>
                    </a:xfrm>
                    <a:prstGeom prst="rect">
                      <a:avLst/>
                    </a:prstGeom>
                    <a:noFill/>
                  </pic:spPr>
                </pic:pic>
              </a:graphicData>
            </a:graphic>
          </wp:anchor>
        </w:drawing>
      </w:r>
    </w:p>
    <w:p>
      <w:pPr>
        <w:spacing w:after="0" w:line="223" w:lineRule="exact"/>
        <w:rPr>
          <w:sz w:val="20"/>
          <w:szCs w:val="20"/>
          <w:color w:val="auto"/>
        </w:rPr>
      </w:pPr>
    </w:p>
    <w:p>
      <w:pPr>
        <w:ind w:left="680" w:hanging="321"/>
        <w:spacing w:after="0"/>
        <w:tabs>
          <w:tab w:leader="none" w:pos="6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full amount of all premiums paid by G-III for life insurance coverage.</w:t>
      </w:r>
    </w:p>
    <w:p>
      <w:pPr>
        <w:spacing w:after="0" w:line="167" w:lineRule="exact"/>
        <w:rPr>
          <w:rFonts w:ascii="Arial" w:cs="Arial" w:eastAsia="Arial" w:hAnsi="Arial"/>
          <w:sz w:val="16"/>
          <w:szCs w:val="16"/>
          <w:color w:val="auto"/>
        </w:rPr>
      </w:pPr>
    </w:p>
    <w:p>
      <w:pPr>
        <w:jc w:val="both"/>
        <w:ind w:left="680" w:hanging="321"/>
        <w:spacing w:after="0" w:line="266" w:lineRule="auto"/>
        <w:tabs>
          <w:tab w:leader="none" w:pos="6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full amount of our matching contributions under our 401(k) Plan (which are equal to 100% of the participant’s contribution for the first 3% of salary plus 50% of the participant’s contribution for the next 2% of salary, subject to limitations under the IRS regulations).</w:t>
      </w:r>
    </w:p>
    <w:p>
      <w:pPr>
        <w:spacing w:after="0" w:line="117" w:lineRule="exact"/>
        <w:rPr>
          <w:rFonts w:ascii="Arial" w:cs="Arial" w:eastAsia="Arial" w:hAnsi="Arial"/>
          <w:sz w:val="16"/>
          <w:szCs w:val="16"/>
          <w:color w:val="auto"/>
        </w:rPr>
      </w:pPr>
    </w:p>
    <w:p>
      <w:pPr>
        <w:ind w:left="680" w:hanging="321"/>
        <w:spacing w:after="0" w:line="286" w:lineRule="auto"/>
        <w:tabs>
          <w:tab w:leader="none" w:pos="6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Includes our contribution of $100,000 to Morris Goldfarb’s supplemental executive retirement plan account, $20,000 for tax services paid by us for Morris Goldfarb and $16,454 for the reimbursement of Morris Goldfarb’s parking expenses.</w:t>
      </w:r>
    </w:p>
    <w:p>
      <w:pPr>
        <w:spacing w:after="0" w:line="101" w:lineRule="exact"/>
        <w:rPr>
          <w:rFonts w:ascii="Arial" w:cs="Arial" w:eastAsia="Arial" w:hAnsi="Arial"/>
          <w:sz w:val="16"/>
          <w:szCs w:val="16"/>
          <w:color w:val="auto"/>
        </w:rPr>
      </w:pPr>
    </w:p>
    <w:p>
      <w:pPr>
        <w:ind w:left="680" w:hanging="321"/>
        <w:spacing w:after="0" w:line="286" w:lineRule="auto"/>
        <w:tabs>
          <w:tab w:leader="none" w:pos="6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Includes our contribution of $100,000 to Morris Goldfarb’s supplemental executive retirement plan account, $20,000 for tax services paid by us for Morris Goldfarb and $14,956 for the reimbursement of Morris Goldfarb’s parking expenses.</w:t>
      </w:r>
    </w:p>
    <w:p>
      <w:pPr>
        <w:spacing w:after="0" w:line="101" w:lineRule="exact"/>
        <w:rPr>
          <w:rFonts w:ascii="Arial" w:cs="Arial" w:eastAsia="Arial" w:hAnsi="Arial"/>
          <w:sz w:val="16"/>
          <w:szCs w:val="16"/>
          <w:color w:val="auto"/>
        </w:rPr>
      </w:pPr>
    </w:p>
    <w:p>
      <w:pPr>
        <w:ind w:left="680" w:right="20" w:hanging="321"/>
        <w:spacing w:after="0" w:line="286" w:lineRule="auto"/>
        <w:tabs>
          <w:tab w:leader="none" w:pos="6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Includes $20,000 for tax services paid by us for Morris Goldfarb and $16,864 for the reimbursement of Morris Goldfarb’s parking expenses.</w:t>
      </w:r>
    </w:p>
    <w:p>
      <w:pPr>
        <w:spacing w:after="0" w:line="101" w:lineRule="exact"/>
        <w:rPr>
          <w:rFonts w:ascii="Arial" w:cs="Arial" w:eastAsia="Arial" w:hAnsi="Arial"/>
          <w:sz w:val="16"/>
          <w:szCs w:val="16"/>
          <w:color w:val="auto"/>
        </w:rPr>
      </w:pPr>
    </w:p>
    <w:p>
      <w:pPr>
        <w:ind w:left="680" w:hanging="321"/>
        <w:spacing w:after="0"/>
        <w:tabs>
          <w:tab w:leader="none" w:pos="6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full amount paid by us on Sammy Aaron’s behalf for personal use of his automobile and parking.</w:t>
      </w:r>
    </w:p>
    <w:p>
      <w:pPr>
        <w:spacing w:after="0" w:line="167" w:lineRule="exact"/>
        <w:rPr>
          <w:rFonts w:ascii="Arial" w:cs="Arial" w:eastAsia="Arial" w:hAnsi="Arial"/>
          <w:sz w:val="16"/>
          <w:szCs w:val="16"/>
          <w:color w:val="auto"/>
        </w:rPr>
      </w:pPr>
    </w:p>
    <w:p>
      <w:pPr>
        <w:ind w:left="680" w:hanging="321"/>
        <w:spacing w:after="0"/>
        <w:tabs>
          <w:tab w:leader="none" w:pos="6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full amount paid by us for the reimbursement of Jeffrey Goldfarb’s personal use of automobile and parking.</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595959"/>
        </w:rPr>
        <w:t>MORRIS GOLDFARB EMPLOYMENT AGREEMENT</w:t>
      </w:r>
    </w:p>
    <w:p>
      <w:pPr>
        <w:spacing w:after="0" w:line="20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Morris Goldfarb has an employment agreement with us that is effective through January 31, 2026 with automatic renewal of the term for one-year periods on each January 31st, beginning on January 31, 2026, unless either Morris Goldfarb or the Company gives notice of non-renewal to the other party by August 1st of the prior year, commencing August 1, 2025. The agreement provided for an initial annual base salary of $1,350,000, which was increased to $1,450,000 during fiscal 2026. For information with respect to the annual cash incentive payable to Morris Goldfarb, see “Compensation Discussion and Analysis—Annual Cash Incentives for our Named Executive Officers” above.</w:t>
      </w:r>
    </w:p>
    <w:p>
      <w:pPr>
        <w:spacing w:after="0" w:line="17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Morris Goldfarb is entitled to an annual contribution of $100,000 per year to a supplemental pension trust for each year he is employed by us. Morris Goldfarb is also entitled to a $5,000,000 life insurance policy, which names his wife as beneficiary.</w:t>
      </w:r>
    </w:p>
    <w:p>
      <w:pPr>
        <w:spacing w:after="0" w:line="15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additional information concerning Morris Goldfarb’s post-termination and change in control benefits, see “Potential Payments Upon Termination or Change-in-Control—Severance and Change in Control Arrangements with Morris Goldfarb” below.</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595959"/>
        </w:rPr>
        <w:t>SAMMY AARON EMPLOYMENT AGREEMENT</w:t>
      </w:r>
    </w:p>
    <w:p>
      <w:pPr>
        <w:spacing w:after="0" w:line="22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Sammy Aaron has an employment agreement with us that is effective through January 31, 2026. The agreement provides for automatic renewal of the term for one-year periods on each August 1st prior to the end of the then employment term, commencing with August 1, 2024, unless prior to such August 1st either party shall have given written notice to the other of non-renewal. The agreement provides for an annual base salary of $1,000,000. For information with respect to the annual cash incentive payable to Sammy Aaron, see “Compensation Discussion and Analysis—Annual Cash Incentives of our Named Executive Officers” above.</w:t>
      </w:r>
    </w:p>
    <w:p>
      <w:pPr>
        <w:spacing w:after="0" w:line="17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additional information concerning Sammy Aaron’s post-termination and change in control benefits, see “Potential Payments Upon Termination or Change-in-Control—Severance and Change in Control Arrangements with Sammy Aaron” below.</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595959"/>
        </w:rPr>
        <w:t>JEFFREY GOLDFARB EMPLOYMENT AGREEMENT</w:t>
      </w:r>
    </w:p>
    <w:p>
      <w:pPr>
        <w:spacing w:after="0" w:line="20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Jeffrey Goldfarb’s has an employment agreement with us that is effective through January 31, 2027, with automatic renewal of the term for one-year periods on each December 1st prior to the end of the then employment term, commencing with December 1, 2026, unless prior to such December 1st either party shall have given written notice to the other of non-renewal. The agreement provides for an annual base salary of $950,000. For information with respect to the annual cash incentive payable to Jeffrey Goldfarb, see “Compensation Discussion and Analysis—Annual Cash Incentives for our Named Executive Officers”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280035</wp:posOffset>
            </wp:positionV>
            <wp:extent cx="629221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288925</wp:posOffset>
            </wp:positionH>
            <wp:positionV relativeFrom="paragraph">
              <wp:posOffset>331470</wp:posOffset>
            </wp:positionV>
            <wp:extent cx="265430" cy="15430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65430" cy="154305"/>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20"/>
          <w:szCs w:val="20"/>
          <w:b w:val="1"/>
          <w:bCs w:val="1"/>
          <w:color w:val="4A7EBB"/>
        </w:rPr>
        <w:t xml:space="preserve">40 </w:t>
      </w:r>
      <w:r>
        <w:rPr>
          <w:rFonts w:ascii="Arial" w:cs="Arial" w:eastAsia="Arial" w:hAnsi="Arial"/>
          <w:sz w:val="20"/>
          <w:szCs w:val="20"/>
          <w:color w:val="80808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17780</wp:posOffset>
            </wp:positionV>
            <wp:extent cx="629221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1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For additional information concerning Jeffrey Goldfarb’s post-termination and change in control benefits, see “Potential Payments Upon Termination or Change-in-Control—Severance and Change in Control Arrangements with Jeffrey Goldfarb” below and for additional information with respect to other aspects of Jeffrey Goldfarb’s employment agreement, see “Compensation Discussion and Analysis-Long-Term Incentives.”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595959"/>
        </w:rPr>
        <w:t>DANA PERLMAN EMPLOYMENT AGREEMENT</w:t>
      </w:r>
    </w:p>
    <w:p>
      <w:pPr>
        <w:spacing w:after="0" w:line="209"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Dana Perlman has an employment agreement with us effective January 8, 2024 (the “Effective Date”). The agreement provided for an initial annual base salary of $750,000, which was increased to $850,000 during fiscal 2026. For information with respect to the annual cash incentive payable to Dana Perlman, see “Compensation Discussion and Analysis—Annual Cash Incentives for our Named Executive Officers” above.</w:t>
      </w:r>
    </w:p>
    <w:p>
      <w:pPr>
        <w:spacing w:after="0" w:line="17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For additional information concerning Dana Perlman’s post-termination and change in control benefits, see “Potential Payments Upon Termination or Change-in-Control—Severance and Change in Control Arrangements with Dana Perlman” below and for additional information with respect to other aspects of Dana Perlman’s employment agreement, see “Compensation Discussion and Analysis-Long-Term Incentives.”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542290</wp:posOffset>
            </wp:positionV>
            <wp:extent cx="629221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7560"/>
        <w:spacing w:after="0"/>
        <w:rPr>
          <w:sz w:val="20"/>
          <w:szCs w:val="20"/>
          <w:color w:val="auto"/>
        </w:rPr>
      </w:pPr>
      <w:r>
        <w:rPr>
          <w:rFonts w:ascii="Arial" w:cs="Arial" w:eastAsia="Arial" w:hAnsi="Arial"/>
          <w:sz w:val="16"/>
          <w:szCs w:val="16"/>
          <w:color w:val="auto"/>
        </w:rPr>
        <w:t xml:space="preserve">2026 PROXY STATEMENT </w:t>
      </w:r>
      <w:r>
        <w:rPr>
          <w:rFonts w:ascii="Arial" w:cs="Arial" w:eastAsia="Arial" w:hAnsi="Arial"/>
          <w:sz w:val="19"/>
          <w:szCs w:val="19"/>
          <w:color w:val="808080"/>
        </w:rPr>
        <w:t>/</w:t>
      </w:r>
      <w:r>
        <w:rPr>
          <w:rFonts w:ascii="Arial" w:cs="Arial" w:eastAsia="Arial" w:hAnsi="Arial"/>
          <w:sz w:val="16"/>
          <w:szCs w:val="16"/>
          <w:color w:val="auto"/>
        </w:rPr>
        <w:t xml:space="preserve"> </w:t>
      </w:r>
      <w:r>
        <w:rPr>
          <w:rFonts w:ascii="Arial" w:cs="Arial" w:eastAsia="Arial" w:hAnsi="Arial"/>
          <w:sz w:val="19"/>
          <w:szCs w:val="19"/>
          <w:b w:val="1"/>
          <w:bCs w:val="1"/>
          <w:color w:val="4A7EBB"/>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356235</wp:posOffset>
            </wp:positionV>
            <wp:extent cx="6292215" cy="254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17780</wp:posOffset>
            </wp:positionV>
            <wp:extent cx="624903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24903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4A7EBB"/>
        </w:rPr>
        <w:t>FISCAL 2026 GRANTS OF PLAN-BASED AWARDS</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March 2025, the Compensation Committee of our Board of Directors granted PSUs and RSUs with three year or five year cliff vesting to each of our Named Executive Officers. The following table summarizes the non-equity incentive and stock awards for the 2026 fiscal year for each of our Named Executive Officers.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220" w:type="dxa"/>
            <w:vAlign w:val="bottom"/>
            <w:tcBorders>
              <w:top w:val="single" w:sz="8" w:color="4A7EBB"/>
            </w:tcBorders>
            <w:shd w:val="clear" w:color="auto" w:fill="DBE5F1"/>
          </w:tcPr>
          <w:p>
            <w:pPr>
              <w:spacing w:after="0"/>
              <w:rPr>
                <w:sz w:val="14"/>
                <w:szCs w:val="14"/>
                <w:color w:val="auto"/>
              </w:rPr>
            </w:pPr>
          </w:p>
        </w:tc>
        <w:tc>
          <w:tcPr>
            <w:tcW w:w="1100" w:type="dxa"/>
            <w:vAlign w:val="bottom"/>
            <w:tcBorders>
              <w:top w:val="single" w:sz="8" w:color="4A7EBB"/>
            </w:tcBorders>
            <w:shd w:val="clear" w:color="auto" w:fill="DBE5F1"/>
          </w:tcPr>
          <w:p>
            <w:pPr>
              <w:spacing w:after="0"/>
              <w:rPr>
                <w:sz w:val="14"/>
                <w:szCs w:val="14"/>
                <w:color w:val="auto"/>
              </w:rPr>
            </w:pPr>
          </w:p>
        </w:tc>
        <w:tc>
          <w:tcPr>
            <w:tcW w:w="1320" w:type="dxa"/>
            <w:vAlign w:val="bottom"/>
            <w:tcBorders>
              <w:top w:val="single" w:sz="8" w:color="4A7EBB"/>
            </w:tcBorders>
            <w:shd w:val="clear" w:color="auto" w:fill="DBE5F1"/>
          </w:tcPr>
          <w:p>
            <w:pPr>
              <w:spacing w:after="0"/>
              <w:rPr>
                <w:sz w:val="14"/>
                <w:szCs w:val="14"/>
                <w:color w:val="auto"/>
              </w:rPr>
            </w:pPr>
          </w:p>
        </w:tc>
        <w:tc>
          <w:tcPr>
            <w:tcW w:w="140" w:type="dxa"/>
            <w:vAlign w:val="bottom"/>
            <w:tcBorders>
              <w:top w:val="single" w:sz="8" w:color="4A7EBB"/>
            </w:tcBorders>
            <w:shd w:val="clear" w:color="auto" w:fill="DBE5F1"/>
          </w:tcPr>
          <w:p>
            <w:pPr>
              <w:spacing w:after="0"/>
              <w:rPr>
                <w:sz w:val="14"/>
                <w:szCs w:val="14"/>
                <w:color w:val="auto"/>
              </w:rPr>
            </w:pPr>
          </w:p>
        </w:tc>
        <w:tc>
          <w:tcPr>
            <w:tcW w:w="2140" w:type="dxa"/>
            <w:vAlign w:val="bottom"/>
            <w:tcBorders>
              <w:top w:val="single" w:sz="8" w:color="4A7EBB"/>
            </w:tcBorders>
            <w:gridSpan w:val="3"/>
            <w:shd w:val="clear" w:color="auto" w:fill="DBE5F1"/>
          </w:tcPr>
          <w:p>
            <w:pPr>
              <w:jc w:val="center"/>
              <w:spacing w:after="0"/>
              <w:rPr>
                <w:sz w:val="20"/>
                <w:szCs w:val="20"/>
                <w:color w:val="auto"/>
              </w:rPr>
            </w:pPr>
            <w:r>
              <w:rPr>
                <w:rFonts w:ascii="Arial" w:cs="Arial" w:eastAsia="Arial" w:hAnsi="Arial"/>
                <w:sz w:val="14"/>
                <w:szCs w:val="14"/>
                <w:b w:val="1"/>
                <w:bCs w:val="1"/>
                <w:color w:val="auto"/>
              </w:rPr>
              <w:t>Estimated Possible Payouts</w:t>
            </w:r>
          </w:p>
        </w:tc>
        <w:tc>
          <w:tcPr>
            <w:tcW w:w="1920" w:type="dxa"/>
            <w:vAlign w:val="bottom"/>
            <w:tcBorders>
              <w:top w:val="single" w:sz="8" w:color="4A7EBB"/>
            </w:tcBorders>
            <w:gridSpan w:val="3"/>
            <w:shd w:val="clear" w:color="auto" w:fill="DBE5F1"/>
          </w:tcPr>
          <w:p>
            <w:pPr>
              <w:jc w:val="center"/>
              <w:spacing w:after="0"/>
              <w:rPr>
                <w:sz w:val="20"/>
                <w:szCs w:val="20"/>
                <w:color w:val="auto"/>
              </w:rPr>
            </w:pPr>
            <w:r>
              <w:rPr>
                <w:rFonts w:ascii="Arial" w:cs="Arial" w:eastAsia="Arial" w:hAnsi="Arial"/>
                <w:sz w:val="14"/>
                <w:szCs w:val="14"/>
                <w:b w:val="1"/>
                <w:bCs w:val="1"/>
                <w:color w:val="auto"/>
              </w:rPr>
              <w:t>Estimated Future Payouts</w:t>
            </w:r>
          </w:p>
        </w:tc>
        <w:tc>
          <w:tcPr>
            <w:tcW w:w="560" w:type="dxa"/>
            <w:vAlign w:val="bottom"/>
            <w:tcBorders>
              <w:top w:val="single" w:sz="8" w:color="4A7EBB"/>
            </w:tcBorders>
            <w:shd w:val="clear" w:color="auto" w:fill="DBE5F1"/>
          </w:tcPr>
          <w:p>
            <w:pPr>
              <w:spacing w:after="0"/>
              <w:rPr>
                <w:sz w:val="14"/>
                <w:szCs w:val="14"/>
                <w:color w:val="auto"/>
              </w:rPr>
            </w:pPr>
          </w:p>
        </w:tc>
        <w:tc>
          <w:tcPr>
            <w:tcW w:w="180" w:type="dxa"/>
            <w:vAlign w:val="bottom"/>
            <w:tcBorders>
              <w:top w:val="single" w:sz="8" w:color="4A7EBB"/>
            </w:tcBorders>
            <w:shd w:val="clear" w:color="auto" w:fill="DBE5F1"/>
          </w:tcPr>
          <w:p>
            <w:pPr>
              <w:spacing w:after="0"/>
              <w:rPr>
                <w:sz w:val="14"/>
                <w:szCs w:val="14"/>
                <w:color w:val="auto"/>
              </w:rPr>
            </w:pPr>
          </w:p>
        </w:tc>
        <w:tc>
          <w:tcPr>
            <w:tcW w:w="1340" w:type="dxa"/>
            <w:vAlign w:val="bottom"/>
            <w:tcBorders>
              <w:top w:val="single" w:sz="8" w:color="4A7EBB"/>
            </w:tcBorders>
            <w:shd w:val="clear" w:color="auto" w:fill="DBE5F1"/>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220" w:type="dxa"/>
            <w:vAlign w:val="bottom"/>
            <w:shd w:val="clear" w:color="auto" w:fill="DBE5F1"/>
          </w:tcPr>
          <w:p>
            <w:pPr>
              <w:spacing w:after="0"/>
              <w:rPr>
                <w:sz w:val="12"/>
                <w:szCs w:val="12"/>
                <w:color w:val="auto"/>
              </w:rPr>
            </w:pPr>
          </w:p>
        </w:tc>
        <w:tc>
          <w:tcPr>
            <w:tcW w:w="1100" w:type="dxa"/>
            <w:vAlign w:val="bottom"/>
            <w:shd w:val="clear" w:color="auto" w:fill="DBE5F1"/>
          </w:tcPr>
          <w:p>
            <w:pPr>
              <w:spacing w:after="0"/>
              <w:rPr>
                <w:sz w:val="12"/>
                <w:szCs w:val="12"/>
                <w:color w:val="auto"/>
              </w:rPr>
            </w:pPr>
          </w:p>
        </w:tc>
        <w:tc>
          <w:tcPr>
            <w:tcW w:w="1320" w:type="dxa"/>
            <w:vAlign w:val="bottom"/>
            <w:shd w:val="clear" w:color="auto" w:fill="DBE5F1"/>
          </w:tcPr>
          <w:p>
            <w:pPr>
              <w:spacing w:after="0"/>
              <w:rPr>
                <w:sz w:val="12"/>
                <w:szCs w:val="12"/>
                <w:color w:val="auto"/>
              </w:rPr>
            </w:pPr>
          </w:p>
        </w:tc>
        <w:tc>
          <w:tcPr>
            <w:tcW w:w="140" w:type="dxa"/>
            <w:vAlign w:val="bottom"/>
            <w:shd w:val="clear" w:color="auto" w:fill="DBE5F1"/>
          </w:tcPr>
          <w:p>
            <w:pPr>
              <w:spacing w:after="0"/>
              <w:rPr>
                <w:sz w:val="12"/>
                <w:szCs w:val="12"/>
                <w:color w:val="auto"/>
              </w:rPr>
            </w:pPr>
          </w:p>
        </w:tc>
        <w:tc>
          <w:tcPr>
            <w:tcW w:w="2140" w:type="dxa"/>
            <w:vAlign w:val="bottom"/>
            <w:gridSpan w:val="3"/>
            <w:shd w:val="clear" w:color="auto" w:fill="DBE5F1"/>
          </w:tcPr>
          <w:p>
            <w:pPr>
              <w:jc w:val="center"/>
              <w:spacing w:after="0" w:line="145" w:lineRule="exact"/>
              <w:rPr>
                <w:sz w:val="20"/>
                <w:szCs w:val="20"/>
                <w:color w:val="auto"/>
              </w:rPr>
            </w:pPr>
            <w:r>
              <w:rPr>
                <w:rFonts w:ascii="Arial" w:cs="Arial" w:eastAsia="Arial" w:hAnsi="Arial"/>
                <w:sz w:val="14"/>
                <w:szCs w:val="14"/>
                <w:b w:val="1"/>
                <w:bCs w:val="1"/>
                <w:color w:val="auto"/>
              </w:rPr>
              <w:t>Under Non-Equity Incentive</w:t>
            </w:r>
          </w:p>
        </w:tc>
        <w:tc>
          <w:tcPr>
            <w:tcW w:w="1920" w:type="dxa"/>
            <w:vAlign w:val="bottom"/>
            <w:gridSpan w:val="3"/>
            <w:shd w:val="clear" w:color="auto" w:fill="DBE5F1"/>
          </w:tcPr>
          <w:p>
            <w:pPr>
              <w:jc w:val="center"/>
              <w:spacing w:after="0" w:line="145" w:lineRule="exact"/>
              <w:rPr>
                <w:sz w:val="20"/>
                <w:szCs w:val="20"/>
                <w:color w:val="auto"/>
              </w:rPr>
            </w:pPr>
            <w:r>
              <w:rPr>
                <w:rFonts w:ascii="Arial" w:cs="Arial" w:eastAsia="Arial" w:hAnsi="Arial"/>
                <w:sz w:val="14"/>
                <w:szCs w:val="14"/>
                <w:b w:val="1"/>
                <w:bCs w:val="1"/>
                <w:color w:val="auto"/>
              </w:rPr>
              <w:t>Under Equity Incentive</w:t>
            </w:r>
          </w:p>
        </w:tc>
        <w:tc>
          <w:tcPr>
            <w:tcW w:w="560" w:type="dxa"/>
            <w:vAlign w:val="bottom"/>
            <w:shd w:val="clear" w:color="auto" w:fill="DBE5F1"/>
          </w:tcPr>
          <w:p>
            <w:pPr>
              <w:spacing w:after="0"/>
              <w:rPr>
                <w:sz w:val="12"/>
                <w:szCs w:val="12"/>
                <w:color w:val="auto"/>
              </w:rPr>
            </w:pPr>
          </w:p>
        </w:tc>
        <w:tc>
          <w:tcPr>
            <w:tcW w:w="180" w:type="dxa"/>
            <w:vAlign w:val="bottom"/>
            <w:shd w:val="clear" w:color="auto" w:fill="DBE5F1"/>
          </w:tcPr>
          <w:p>
            <w:pPr>
              <w:spacing w:after="0"/>
              <w:rPr>
                <w:sz w:val="12"/>
                <w:szCs w:val="12"/>
                <w:color w:val="auto"/>
              </w:rPr>
            </w:pPr>
          </w:p>
        </w:tc>
        <w:tc>
          <w:tcPr>
            <w:tcW w:w="1340" w:type="dxa"/>
            <w:vAlign w:val="bottom"/>
            <w:shd w:val="clear" w:color="auto" w:fill="DBE5F1"/>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220" w:type="dxa"/>
            <w:vAlign w:val="bottom"/>
            <w:shd w:val="clear" w:color="auto" w:fill="DBE5F1"/>
          </w:tcPr>
          <w:p>
            <w:pPr>
              <w:spacing w:after="0"/>
              <w:rPr>
                <w:sz w:val="16"/>
                <w:szCs w:val="16"/>
                <w:color w:val="auto"/>
              </w:rPr>
            </w:pPr>
          </w:p>
        </w:tc>
        <w:tc>
          <w:tcPr>
            <w:tcW w:w="1100" w:type="dxa"/>
            <w:vAlign w:val="bottom"/>
            <w:shd w:val="clear" w:color="auto" w:fill="DBE5F1"/>
          </w:tcPr>
          <w:p>
            <w:pPr>
              <w:ind w:left="560"/>
              <w:spacing w:after="0"/>
              <w:rPr>
                <w:sz w:val="20"/>
                <w:szCs w:val="20"/>
                <w:color w:val="auto"/>
              </w:rPr>
            </w:pPr>
            <w:r>
              <w:rPr>
                <w:rFonts w:ascii="Arial" w:cs="Arial" w:eastAsia="Arial" w:hAnsi="Arial"/>
                <w:sz w:val="14"/>
                <w:szCs w:val="14"/>
                <w:b w:val="1"/>
                <w:bCs w:val="1"/>
                <w:color w:val="auto"/>
              </w:rPr>
              <w:t>​​​</w:t>
            </w:r>
          </w:p>
        </w:tc>
        <w:tc>
          <w:tcPr>
            <w:tcW w:w="1320" w:type="dxa"/>
            <w:vAlign w:val="bottom"/>
            <w:shd w:val="clear" w:color="auto" w:fill="DBE5F1"/>
          </w:tcPr>
          <w:p>
            <w:pPr>
              <w:spacing w:after="0"/>
              <w:rPr>
                <w:sz w:val="16"/>
                <w:szCs w:val="16"/>
                <w:color w:val="auto"/>
              </w:rPr>
            </w:pPr>
          </w:p>
        </w:tc>
        <w:tc>
          <w:tcPr>
            <w:tcW w:w="820" w:type="dxa"/>
            <w:vAlign w:val="bottom"/>
            <w:gridSpan w:val="2"/>
            <w:shd w:val="clear" w:color="auto" w:fill="DBE5F1"/>
          </w:tcPr>
          <w:p>
            <w:pPr>
              <w:jc w:val="right"/>
              <w:ind w:right="568"/>
              <w:spacing w:after="0"/>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DBE5F1"/>
          </w:tcPr>
          <w:p>
            <w:pPr>
              <w:jc w:val="center"/>
              <w:spacing w:after="0" w:line="189" w:lineRule="exact"/>
              <w:rPr>
                <w:sz w:val="20"/>
                <w:szCs w:val="20"/>
                <w:color w:val="auto"/>
              </w:rPr>
            </w:pPr>
            <w:r>
              <w:rPr>
                <w:rFonts w:ascii="Arial" w:cs="Arial" w:eastAsia="Arial" w:hAnsi="Arial"/>
                <w:sz w:val="13"/>
                <w:szCs w:val="13"/>
                <w:b w:val="1"/>
                <w:bCs w:val="1"/>
                <w:color w:val="auto"/>
              </w:rPr>
              <w:t xml:space="preserve">Awards </w:t>
            </w:r>
            <w:r>
              <w:rPr>
                <w:rFonts w:ascii="Arial" w:cs="Arial" w:eastAsia="Arial" w:hAnsi="Arial"/>
                <w:sz w:val="21"/>
                <w:szCs w:val="21"/>
                <w:b w:val="1"/>
                <w:bCs w:val="1"/>
                <w:color w:val="auto"/>
                <w:vertAlign w:val="superscript"/>
              </w:rPr>
              <w:t>(1)</w:t>
            </w:r>
          </w:p>
        </w:tc>
        <w:tc>
          <w:tcPr>
            <w:tcW w:w="740" w:type="dxa"/>
            <w:vAlign w:val="bottom"/>
            <w:shd w:val="clear" w:color="auto" w:fill="DBE5F1"/>
          </w:tcPr>
          <w:p>
            <w:pPr>
              <w:spacing w:after="0"/>
              <w:rPr>
                <w:sz w:val="16"/>
                <w:szCs w:val="16"/>
                <w:color w:val="auto"/>
              </w:rPr>
            </w:pPr>
          </w:p>
        </w:tc>
        <w:tc>
          <w:tcPr>
            <w:tcW w:w="640" w:type="dxa"/>
            <w:vAlign w:val="bottom"/>
            <w:shd w:val="clear" w:color="auto" w:fill="DBE5F1"/>
          </w:tcPr>
          <w:p>
            <w:pPr>
              <w:spacing w:after="0"/>
              <w:rPr>
                <w:sz w:val="16"/>
                <w:szCs w:val="16"/>
                <w:color w:val="auto"/>
              </w:rPr>
            </w:pPr>
          </w:p>
        </w:tc>
        <w:tc>
          <w:tcPr>
            <w:tcW w:w="640" w:type="dxa"/>
            <w:vAlign w:val="bottom"/>
            <w:shd w:val="clear" w:color="auto" w:fill="DBE5F1"/>
          </w:tcPr>
          <w:p>
            <w:pPr>
              <w:jc w:val="center"/>
              <w:spacing w:after="0"/>
              <w:rPr>
                <w:sz w:val="20"/>
                <w:szCs w:val="20"/>
                <w:color w:val="auto"/>
              </w:rPr>
            </w:pPr>
            <w:r>
              <w:rPr>
                <w:rFonts w:ascii="Arial" w:cs="Arial" w:eastAsia="Arial" w:hAnsi="Arial"/>
                <w:sz w:val="14"/>
                <w:szCs w:val="14"/>
                <w:b w:val="1"/>
                <w:bCs w:val="1"/>
                <w:color w:val="auto"/>
              </w:rPr>
              <w:t>Awards</w:t>
            </w:r>
          </w:p>
        </w:tc>
        <w:tc>
          <w:tcPr>
            <w:tcW w:w="640" w:type="dxa"/>
            <w:vAlign w:val="bottom"/>
            <w:shd w:val="clear" w:color="auto" w:fill="DBE5F1"/>
          </w:tcPr>
          <w:p>
            <w:pPr>
              <w:spacing w:after="0"/>
              <w:rPr>
                <w:sz w:val="16"/>
                <w:szCs w:val="16"/>
                <w:color w:val="auto"/>
              </w:rPr>
            </w:pPr>
          </w:p>
        </w:tc>
        <w:tc>
          <w:tcPr>
            <w:tcW w:w="560" w:type="dxa"/>
            <w:vAlign w:val="bottom"/>
            <w:vMerge w:val="restart"/>
            <w:shd w:val="clear" w:color="auto" w:fill="DBE5F1"/>
          </w:tcPr>
          <w:p>
            <w:pPr>
              <w:jc w:val="center"/>
              <w:spacing w:after="0"/>
              <w:rPr>
                <w:sz w:val="20"/>
                <w:szCs w:val="20"/>
                <w:color w:val="auto"/>
              </w:rPr>
            </w:pPr>
            <w:r>
              <w:rPr>
                <w:rFonts w:ascii="Arial" w:cs="Arial" w:eastAsia="Arial" w:hAnsi="Arial"/>
                <w:sz w:val="14"/>
                <w:szCs w:val="14"/>
                <w:b w:val="1"/>
                <w:bCs w:val="1"/>
                <w:color w:val="auto"/>
              </w:rPr>
              <w:t>All</w:t>
            </w:r>
          </w:p>
        </w:tc>
        <w:tc>
          <w:tcPr>
            <w:tcW w:w="180" w:type="dxa"/>
            <w:vAlign w:val="bottom"/>
            <w:shd w:val="clear" w:color="auto" w:fill="DBE5F1"/>
          </w:tcPr>
          <w:p>
            <w:pPr>
              <w:spacing w:after="0"/>
              <w:rPr>
                <w:sz w:val="16"/>
                <w:szCs w:val="16"/>
                <w:color w:val="auto"/>
              </w:rPr>
            </w:pPr>
          </w:p>
        </w:tc>
        <w:tc>
          <w:tcPr>
            <w:tcW w:w="1340" w:type="dxa"/>
            <w:vAlign w:val="bottom"/>
            <w:shd w:val="clear" w:color="auto" w:fill="DBE5F1"/>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220" w:type="dxa"/>
            <w:vAlign w:val="bottom"/>
            <w:tcBorders>
              <w:top w:val="single" w:sz="8" w:color="DBE5F1"/>
            </w:tcBorders>
            <w:shd w:val="clear" w:color="auto" w:fill="DBE5F1"/>
          </w:tcPr>
          <w:p>
            <w:pPr>
              <w:spacing w:after="0"/>
              <w:rPr>
                <w:sz w:val="11"/>
                <w:szCs w:val="11"/>
                <w:color w:val="auto"/>
              </w:rPr>
            </w:pPr>
          </w:p>
        </w:tc>
        <w:tc>
          <w:tcPr>
            <w:tcW w:w="1100" w:type="dxa"/>
            <w:vAlign w:val="bottom"/>
            <w:tcBorders>
              <w:top w:val="single" w:sz="8" w:color="DBE5F1"/>
            </w:tcBorders>
            <w:shd w:val="clear" w:color="auto" w:fill="DBE5F1"/>
          </w:tcPr>
          <w:p>
            <w:pPr>
              <w:spacing w:after="0"/>
              <w:rPr>
                <w:sz w:val="11"/>
                <w:szCs w:val="11"/>
                <w:color w:val="auto"/>
              </w:rPr>
            </w:pPr>
          </w:p>
        </w:tc>
        <w:tc>
          <w:tcPr>
            <w:tcW w:w="1320" w:type="dxa"/>
            <w:vAlign w:val="bottom"/>
            <w:tcBorders>
              <w:top w:val="single" w:sz="8" w:color="DBE5F1"/>
            </w:tcBorders>
            <w:shd w:val="clear" w:color="auto" w:fill="DBE5F1"/>
          </w:tcPr>
          <w:p>
            <w:pPr>
              <w:spacing w:after="0"/>
              <w:rPr>
                <w:sz w:val="11"/>
                <w:szCs w:val="11"/>
                <w:color w:val="auto"/>
              </w:rPr>
            </w:pPr>
          </w:p>
        </w:tc>
        <w:tc>
          <w:tcPr>
            <w:tcW w:w="140" w:type="dxa"/>
            <w:vAlign w:val="bottom"/>
            <w:tcBorders>
              <w:top w:val="single" w:sz="8" w:color="DBE5F1"/>
            </w:tcBorders>
            <w:shd w:val="clear" w:color="auto" w:fill="DBE5F1"/>
          </w:tcPr>
          <w:p>
            <w:pPr>
              <w:spacing w:after="0"/>
              <w:rPr>
                <w:sz w:val="11"/>
                <w:szCs w:val="11"/>
                <w:color w:val="auto"/>
              </w:rPr>
            </w:pPr>
          </w:p>
        </w:tc>
        <w:tc>
          <w:tcPr>
            <w:tcW w:w="680" w:type="dxa"/>
            <w:vAlign w:val="bottom"/>
            <w:tcBorders>
              <w:top w:val="single" w:sz="8" w:color="auto"/>
            </w:tcBorders>
            <w:shd w:val="clear" w:color="auto" w:fill="DBE5F1"/>
          </w:tcPr>
          <w:p>
            <w:pPr>
              <w:spacing w:after="0"/>
              <w:rPr>
                <w:sz w:val="11"/>
                <w:szCs w:val="11"/>
                <w:color w:val="auto"/>
              </w:rPr>
            </w:pPr>
          </w:p>
        </w:tc>
        <w:tc>
          <w:tcPr>
            <w:tcW w:w="720" w:type="dxa"/>
            <w:vAlign w:val="bottom"/>
            <w:tcBorders>
              <w:top w:val="single" w:sz="8" w:color="auto"/>
            </w:tcBorders>
            <w:shd w:val="clear" w:color="auto" w:fill="DBE5F1"/>
          </w:tcPr>
          <w:p>
            <w:pPr>
              <w:spacing w:after="0"/>
              <w:rPr>
                <w:sz w:val="11"/>
                <w:szCs w:val="11"/>
                <w:color w:val="auto"/>
              </w:rPr>
            </w:pPr>
          </w:p>
        </w:tc>
        <w:tc>
          <w:tcPr>
            <w:tcW w:w="740" w:type="dxa"/>
            <w:vAlign w:val="bottom"/>
            <w:tcBorders>
              <w:top w:val="single" w:sz="8" w:color="auto"/>
            </w:tcBorders>
            <w:shd w:val="clear" w:color="auto" w:fill="DBE5F1"/>
          </w:tcPr>
          <w:p>
            <w:pPr>
              <w:spacing w:after="0"/>
              <w:rPr>
                <w:sz w:val="11"/>
                <w:szCs w:val="11"/>
                <w:color w:val="auto"/>
              </w:rPr>
            </w:pPr>
          </w:p>
        </w:tc>
        <w:tc>
          <w:tcPr>
            <w:tcW w:w="640" w:type="dxa"/>
            <w:vAlign w:val="bottom"/>
            <w:tcBorders>
              <w:top w:val="single" w:sz="8" w:color="auto"/>
            </w:tcBorders>
            <w:shd w:val="clear" w:color="auto" w:fill="DBE5F1"/>
          </w:tcPr>
          <w:p>
            <w:pPr>
              <w:spacing w:after="0"/>
              <w:rPr>
                <w:sz w:val="11"/>
                <w:szCs w:val="11"/>
                <w:color w:val="auto"/>
              </w:rPr>
            </w:pPr>
          </w:p>
        </w:tc>
        <w:tc>
          <w:tcPr>
            <w:tcW w:w="640" w:type="dxa"/>
            <w:vAlign w:val="bottom"/>
            <w:tcBorders>
              <w:top w:val="single" w:sz="8" w:color="auto"/>
            </w:tcBorders>
            <w:shd w:val="clear" w:color="auto" w:fill="DBE5F1"/>
          </w:tcPr>
          <w:p>
            <w:pPr>
              <w:spacing w:after="0"/>
              <w:rPr>
                <w:sz w:val="11"/>
                <w:szCs w:val="11"/>
                <w:color w:val="auto"/>
              </w:rPr>
            </w:pPr>
          </w:p>
        </w:tc>
        <w:tc>
          <w:tcPr>
            <w:tcW w:w="640" w:type="dxa"/>
            <w:vAlign w:val="bottom"/>
            <w:tcBorders>
              <w:top w:val="single" w:sz="8" w:color="auto"/>
            </w:tcBorders>
            <w:shd w:val="clear" w:color="auto" w:fill="DBE5F1"/>
          </w:tcPr>
          <w:p>
            <w:pPr>
              <w:spacing w:after="0"/>
              <w:rPr>
                <w:sz w:val="11"/>
                <w:szCs w:val="11"/>
                <w:color w:val="auto"/>
              </w:rPr>
            </w:pPr>
          </w:p>
        </w:tc>
        <w:tc>
          <w:tcPr>
            <w:tcW w:w="560" w:type="dxa"/>
            <w:vAlign w:val="bottom"/>
            <w:tcBorders>
              <w:top w:val="single" w:sz="8" w:color="DBE5F1"/>
            </w:tcBorders>
            <w:vMerge w:val="continue"/>
            <w:shd w:val="clear" w:color="auto" w:fill="DBE5F1"/>
          </w:tcPr>
          <w:p>
            <w:pPr>
              <w:spacing w:after="0"/>
              <w:rPr>
                <w:sz w:val="11"/>
                <w:szCs w:val="11"/>
                <w:color w:val="auto"/>
              </w:rPr>
            </w:pPr>
          </w:p>
        </w:tc>
        <w:tc>
          <w:tcPr>
            <w:tcW w:w="180" w:type="dxa"/>
            <w:vAlign w:val="bottom"/>
            <w:tcBorders>
              <w:top w:val="single" w:sz="8" w:color="DBE5F1"/>
            </w:tcBorders>
            <w:shd w:val="clear" w:color="auto" w:fill="DBE5F1"/>
          </w:tcPr>
          <w:p>
            <w:pPr>
              <w:spacing w:after="0"/>
              <w:rPr>
                <w:sz w:val="11"/>
                <w:szCs w:val="11"/>
                <w:color w:val="auto"/>
              </w:rPr>
            </w:pPr>
          </w:p>
        </w:tc>
        <w:tc>
          <w:tcPr>
            <w:tcW w:w="1340" w:type="dxa"/>
            <w:vAlign w:val="bottom"/>
            <w:tcBorders>
              <w:top w:val="single" w:sz="8" w:color="DBE5F1"/>
            </w:tcBorders>
            <w:shd w:val="clear" w:color="auto" w:fill="DBE5F1"/>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220" w:type="dxa"/>
            <w:vAlign w:val="bottom"/>
            <w:shd w:val="clear" w:color="auto" w:fill="DBE5F1"/>
          </w:tcPr>
          <w:p>
            <w:pPr>
              <w:spacing w:after="0"/>
              <w:rPr>
                <w:sz w:val="14"/>
                <w:szCs w:val="14"/>
                <w:color w:val="auto"/>
              </w:rPr>
            </w:pPr>
          </w:p>
        </w:tc>
        <w:tc>
          <w:tcPr>
            <w:tcW w:w="1100" w:type="dxa"/>
            <w:vAlign w:val="bottom"/>
            <w:shd w:val="clear" w:color="auto" w:fill="DBE5F1"/>
          </w:tcPr>
          <w:p>
            <w:pPr>
              <w:spacing w:after="0"/>
              <w:rPr>
                <w:sz w:val="14"/>
                <w:szCs w:val="14"/>
                <w:color w:val="auto"/>
              </w:rPr>
            </w:pPr>
          </w:p>
        </w:tc>
        <w:tc>
          <w:tcPr>
            <w:tcW w:w="1320" w:type="dxa"/>
            <w:vAlign w:val="bottom"/>
            <w:shd w:val="clear" w:color="auto" w:fill="DBE5F1"/>
          </w:tcPr>
          <w:p>
            <w:pPr>
              <w:spacing w:after="0"/>
              <w:rPr>
                <w:sz w:val="14"/>
                <w:szCs w:val="14"/>
                <w:color w:val="auto"/>
              </w:rPr>
            </w:pPr>
          </w:p>
        </w:tc>
        <w:tc>
          <w:tcPr>
            <w:tcW w:w="140" w:type="dxa"/>
            <w:vAlign w:val="bottom"/>
            <w:shd w:val="clear" w:color="auto" w:fill="DBE5F1"/>
          </w:tcPr>
          <w:p>
            <w:pPr>
              <w:spacing w:after="0"/>
              <w:rPr>
                <w:sz w:val="14"/>
                <w:szCs w:val="14"/>
                <w:color w:val="auto"/>
              </w:rPr>
            </w:pPr>
          </w:p>
        </w:tc>
        <w:tc>
          <w:tcPr>
            <w:tcW w:w="680" w:type="dxa"/>
            <w:vAlign w:val="bottom"/>
            <w:shd w:val="clear" w:color="auto" w:fill="DBE5F1"/>
          </w:tcPr>
          <w:p>
            <w:pPr>
              <w:spacing w:after="0"/>
              <w:rPr>
                <w:sz w:val="14"/>
                <w:szCs w:val="14"/>
                <w:color w:val="auto"/>
              </w:rPr>
            </w:pPr>
          </w:p>
        </w:tc>
        <w:tc>
          <w:tcPr>
            <w:tcW w:w="720" w:type="dxa"/>
            <w:vAlign w:val="bottom"/>
            <w:shd w:val="clear" w:color="auto" w:fill="DBE5F1"/>
          </w:tcPr>
          <w:p>
            <w:pPr>
              <w:spacing w:after="0"/>
              <w:rPr>
                <w:sz w:val="14"/>
                <w:szCs w:val="14"/>
                <w:color w:val="auto"/>
              </w:rPr>
            </w:pPr>
          </w:p>
        </w:tc>
        <w:tc>
          <w:tcPr>
            <w:tcW w:w="740" w:type="dxa"/>
            <w:vAlign w:val="bottom"/>
            <w:shd w:val="clear" w:color="auto" w:fill="DBE5F1"/>
          </w:tcPr>
          <w:p>
            <w:pPr>
              <w:spacing w:after="0"/>
              <w:rPr>
                <w:sz w:val="14"/>
                <w:szCs w:val="14"/>
                <w:color w:val="auto"/>
              </w:rPr>
            </w:pPr>
          </w:p>
        </w:tc>
        <w:tc>
          <w:tcPr>
            <w:tcW w:w="640" w:type="dxa"/>
            <w:vAlign w:val="bottom"/>
            <w:shd w:val="clear" w:color="auto" w:fill="DBE5F1"/>
          </w:tcPr>
          <w:p>
            <w:pPr>
              <w:spacing w:after="0"/>
              <w:rPr>
                <w:sz w:val="14"/>
                <w:szCs w:val="14"/>
                <w:color w:val="auto"/>
              </w:rPr>
            </w:pPr>
          </w:p>
        </w:tc>
        <w:tc>
          <w:tcPr>
            <w:tcW w:w="640" w:type="dxa"/>
            <w:vAlign w:val="bottom"/>
            <w:shd w:val="clear" w:color="auto" w:fill="DBE5F1"/>
          </w:tcPr>
          <w:p>
            <w:pPr>
              <w:spacing w:after="0"/>
              <w:rPr>
                <w:sz w:val="14"/>
                <w:szCs w:val="14"/>
                <w:color w:val="auto"/>
              </w:rPr>
            </w:pPr>
          </w:p>
        </w:tc>
        <w:tc>
          <w:tcPr>
            <w:tcW w:w="640" w:type="dxa"/>
            <w:vAlign w:val="bottom"/>
            <w:shd w:val="clear" w:color="auto" w:fill="DBE5F1"/>
          </w:tcPr>
          <w:p>
            <w:pPr>
              <w:spacing w:after="0"/>
              <w:rPr>
                <w:sz w:val="14"/>
                <w:szCs w:val="14"/>
                <w:color w:val="auto"/>
              </w:rPr>
            </w:pPr>
          </w:p>
        </w:tc>
        <w:tc>
          <w:tcPr>
            <w:tcW w:w="560" w:type="dxa"/>
            <w:vAlign w:val="bottom"/>
            <w:shd w:val="clear" w:color="auto" w:fill="DBE5F1"/>
          </w:tcPr>
          <w:p>
            <w:pPr>
              <w:jc w:val="center"/>
              <w:spacing w:after="0"/>
              <w:rPr>
                <w:sz w:val="20"/>
                <w:szCs w:val="20"/>
                <w:color w:val="auto"/>
              </w:rPr>
            </w:pPr>
            <w:r>
              <w:rPr>
                <w:rFonts w:ascii="Arial" w:cs="Arial" w:eastAsia="Arial" w:hAnsi="Arial"/>
                <w:sz w:val="14"/>
                <w:szCs w:val="14"/>
                <w:b w:val="1"/>
                <w:bCs w:val="1"/>
                <w:color w:val="auto"/>
              </w:rPr>
              <w:t>Other</w:t>
            </w:r>
          </w:p>
        </w:tc>
        <w:tc>
          <w:tcPr>
            <w:tcW w:w="180" w:type="dxa"/>
            <w:vAlign w:val="bottom"/>
            <w:shd w:val="clear" w:color="auto" w:fill="DBE5F1"/>
          </w:tcPr>
          <w:p>
            <w:pPr>
              <w:spacing w:after="0"/>
              <w:rPr>
                <w:sz w:val="14"/>
                <w:szCs w:val="14"/>
                <w:color w:val="auto"/>
              </w:rPr>
            </w:pPr>
          </w:p>
        </w:tc>
        <w:tc>
          <w:tcPr>
            <w:tcW w:w="1340" w:type="dxa"/>
            <w:vAlign w:val="bottom"/>
            <w:shd w:val="clear" w:color="auto" w:fill="DBE5F1"/>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20" w:type="dxa"/>
            <w:vAlign w:val="bottom"/>
            <w:shd w:val="clear" w:color="auto" w:fill="DBE5F1"/>
          </w:tcPr>
          <w:p>
            <w:pPr>
              <w:spacing w:after="0"/>
              <w:rPr>
                <w:sz w:val="14"/>
                <w:szCs w:val="14"/>
                <w:color w:val="auto"/>
              </w:rPr>
            </w:pPr>
          </w:p>
        </w:tc>
        <w:tc>
          <w:tcPr>
            <w:tcW w:w="1100" w:type="dxa"/>
            <w:vAlign w:val="bottom"/>
            <w:shd w:val="clear" w:color="auto" w:fill="DBE5F1"/>
          </w:tcPr>
          <w:p>
            <w:pPr>
              <w:spacing w:after="0"/>
              <w:rPr>
                <w:sz w:val="14"/>
                <w:szCs w:val="14"/>
                <w:color w:val="auto"/>
              </w:rPr>
            </w:pPr>
          </w:p>
        </w:tc>
        <w:tc>
          <w:tcPr>
            <w:tcW w:w="1320" w:type="dxa"/>
            <w:vAlign w:val="bottom"/>
            <w:shd w:val="clear" w:color="auto" w:fill="DBE5F1"/>
          </w:tcPr>
          <w:p>
            <w:pPr>
              <w:spacing w:after="0"/>
              <w:rPr>
                <w:sz w:val="14"/>
                <w:szCs w:val="14"/>
                <w:color w:val="auto"/>
              </w:rPr>
            </w:pPr>
          </w:p>
        </w:tc>
        <w:tc>
          <w:tcPr>
            <w:tcW w:w="140" w:type="dxa"/>
            <w:vAlign w:val="bottom"/>
            <w:shd w:val="clear" w:color="auto" w:fill="DBE5F1"/>
          </w:tcPr>
          <w:p>
            <w:pPr>
              <w:spacing w:after="0"/>
              <w:rPr>
                <w:sz w:val="14"/>
                <w:szCs w:val="14"/>
                <w:color w:val="auto"/>
              </w:rPr>
            </w:pPr>
          </w:p>
        </w:tc>
        <w:tc>
          <w:tcPr>
            <w:tcW w:w="680" w:type="dxa"/>
            <w:vAlign w:val="bottom"/>
            <w:shd w:val="clear" w:color="auto" w:fill="DBE5F1"/>
          </w:tcPr>
          <w:p>
            <w:pPr>
              <w:spacing w:after="0"/>
              <w:rPr>
                <w:sz w:val="14"/>
                <w:szCs w:val="14"/>
                <w:color w:val="auto"/>
              </w:rPr>
            </w:pPr>
          </w:p>
        </w:tc>
        <w:tc>
          <w:tcPr>
            <w:tcW w:w="720" w:type="dxa"/>
            <w:vAlign w:val="bottom"/>
            <w:shd w:val="clear" w:color="auto" w:fill="DBE5F1"/>
          </w:tcPr>
          <w:p>
            <w:pPr>
              <w:spacing w:after="0"/>
              <w:rPr>
                <w:sz w:val="14"/>
                <w:szCs w:val="14"/>
                <w:color w:val="auto"/>
              </w:rPr>
            </w:pPr>
          </w:p>
        </w:tc>
        <w:tc>
          <w:tcPr>
            <w:tcW w:w="740" w:type="dxa"/>
            <w:vAlign w:val="bottom"/>
            <w:shd w:val="clear" w:color="auto" w:fill="DBE5F1"/>
          </w:tcPr>
          <w:p>
            <w:pPr>
              <w:spacing w:after="0"/>
              <w:rPr>
                <w:sz w:val="14"/>
                <w:szCs w:val="14"/>
                <w:color w:val="auto"/>
              </w:rPr>
            </w:pPr>
          </w:p>
        </w:tc>
        <w:tc>
          <w:tcPr>
            <w:tcW w:w="640" w:type="dxa"/>
            <w:vAlign w:val="bottom"/>
            <w:shd w:val="clear" w:color="auto" w:fill="DBE5F1"/>
          </w:tcPr>
          <w:p>
            <w:pPr>
              <w:spacing w:after="0"/>
              <w:rPr>
                <w:sz w:val="14"/>
                <w:szCs w:val="14"/>
                <w:color w:val="auto"/>
              </w:rPr>
            </w:pPr>
          </w:p>
        </w:tc>
        <w:tc>
          <w:tcPr>
            <w:tcW w:w="640" w:type="dxa"/>
            <w:vAlign w:val="bottom"/>
            <w:shd w:val="clear" w:color="auto" w:fill="DBE5F1"/>
          </w:tcPr>
          <w:p>
            <w:pPr>
              <w:spacing w:after="0"/>
              <w:rPr>
                <w:sz w:val="14"/>
                <w:szCs w:val="14"/>
                <w:color w:val="auto"/>
              </w:rPr>
            </w:pPr>
          </w:p>
        </w:tc>
        <w:tc>
          <w:tcPr>
            <w:tcW w:w="640" w:type="dxa"/>
            <w:vAlign w:val="bottom"/>
            <w:shd w:val="clear" w:color="auto" w:fill="DBE5F1"/>
          </w:tcPr>
          <w:p>
            <w:pPr>
              <w:spacing w:after="0"/>
              <w:rPr>
                <w:sz w:val="14"/>
                <w:szCs w:val="14"/>
                <w:color w:val="auto"/>
              </w:rPr>
            </w:pPr>
          </w:p>
        </w:tc>
        <w:tc>
          <w:tcPr>
            <w:tcW w:w="560" w:type="dxa"/>
            <w:vAlign w:val="bottom"/>
            <w:shd w:val="clear" w:color="auto" w:fill="DBE5F1"/>
          </w:tcPr>
          <w:p>
            <w:pPr>
              <w:jc w:val="center"/>
              <w:spacing w:after="0"/>
              <w:rPr>
                <w:sz w:val="20"/>
                <w:szCs w:val="20"/>
                <w:color w:val="auto"/>
              </w:rPr>
            </w:pPr>
            <w:r>
              <w:rPr>
                <w:rFonts w:ascii="Arial" w:cs="Arial" w:eastAsia="Arial" w:hAnsi="Arial"/>
                <w:sz w:val="14"/>
                <w:szCs w:val="14"/>
                <w:b w:val="1"/>
                <w:bCs w:val="1"/>
                <w:color w:val="auto"/>
                <w:w w:val="99"/>
              </w:rPr>
              <w:t>Stock</w:t>
            </w:r>
          </w:p>
        </w:tc>
        <w:tc>
          <w:tcPr>
            <w:tcW w:w="180" w:type="dxa"/>
            <w:vAlign w:val="bottom"/>
            <w:shd w:val="clear" w:color="auto" w:fill="DBE5F1"/>
          </w:tcPr>
          <w:p>
            <w:pPr>
              <w:spacing w:after="0"/>
              <w:rPr>
                <w:sz w:val="14"/>
                <w:szCs w:val="14"/>
                <w:color w:val="auto"/>
              </w:rPr>
            </w:pPr>
          </w:p>
        </w:tc>
        <w:tc>
          <w:tcPr>
            <w:tcW w:w="1340" w:type="dxa"/>
            <w:vAlign w:val="bottom"/>
            <w:shd w:val="clear" w:color="auto" w:fill="DBE5F1"/>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20" w:type="dxa"/>
            <w:vAlign w:val="bottom"/>
            <w:shd w:val="clear" w:color="auto" w:fill="DBE5F1"/>
          </w:tcPr>
          <w:p>
            <w:pPr>
              <w:spacing w:after="0"/>
              <w:rPr>
                <w:sz w:val="14"/>
                <w:szCs w:val="14"/>
                <w:color w:val="auto"/>
              </w:rPr>
            </w:pPr>
          </w:p>
        </w:tc>
        <w:tc>
          <w:tcPr>
            <w:tcW w:w="1100" w:type="dxa"/>
            <w:vAlign w:val="bottom"/>
            <w:shd w:val="clear" w:color="auto" w:fill="DBE5F1"/>
          </w:tcPr>
          <w:p>
            <w:pPr>
              <w:spacing w:after="0"/>
              <w:rPr>
                <w:sz w:val="14"/>
                <w:szCs w:val="14"/>
                <w:color w:val="auto"/>
              </w:rPr>
            </w:pPr>
          </w:p>
        </w:tc>
        <w:tc>
          <w:tcPr>
            <w:tcW w:w="1320" w:type="dxa"/>
            <w:vAlign w:val="bottom"/>
            <w:shd w:val="clear" w:color="auto" w:fill="DBE5F1"/>
          </w:tcPr>
          <w:p>
            <w:pPr>
              <w:spacing w:after="0"/>
              <w:rPr>
                <w:sz w:val="14"/>
                <w:szCs w:val="14"/>
                <w:color w:val="auto"/>
              </w:rPr>
            </w:pPr>
          </w:p>
        </w:tc>
        <w:tc>
          <w:tcPr>
            <w:tcW w:w="140" w:type="dxa"/>
            <w:vAlign w:val="bottom"/>
            <w:shd w:val="clear" w:color="auto" w:fill="DBE5F1"/>
          </w:tcPr>
          <w:p>
            <w:pPr>
              <w:spacing w:after="0"/>
              <w:rPr>
                <w:sz w:val="14"/>
                <w:szCs w:val="14"/>
                <w:color w:val="auto"/>
              </w:rPr>
            </w:pPr>
          </w:p>
        </w:tc>
        <w:tc>
          <w:tcPr>
            <w:tcW w:w="680" w:type="dxa"/>
            <w:vAlign w:val="bottom"/>
            <w:shd w:val="clear" w:color="auto" w:fill="DBE5F1"/>
          </w:tcPr>
          <w:p>
            <w:pPr>
              <w:spacing w:after="0"/>
              <w:rPr>
                <w:sz w:val="14"/>
                <w:szCs w:val="14"/>
                <w:color w:val="auto"/>
              </w:rPr>
            </w:pPr>
          </w:p>
        </w:tc>
        <w:tc>
          <w:tcPr>
            <w:tcW w:w="720" w:type="dxa"/>
            <w:vAlign w:val="bottom"/>
            <w:shd w:val="clear" w:color="auto" w:fill="DBE5F1"/>
          </w:tcPr>
          <w:p>
            <w:pPr>
              <w:spacing w:after="0"/>
              <w:rPr>
                <w:sz w:val="14"/>
                <w:szCs w:val="14"/>
                <w:color w:val="auto"/>
              </w:rPr>
            </w:pPr>
          </w:p>
        </w:tc>
        <w:tc>
          <w:tcPr>
            <w:tcW w:w="740" w:type="dxa"/>
            <w:vAlign w:val="bottom"/>
            <w:shd w:val="clear" w:color="auto" w:fill="DBE5F1"/>
          </w:tcPr>
          <w:p>
            <w:pPr>
              <w:spacing w:after="0"/>
              <w:rPr>
                <w:sz w:val="14"/>
                <w:szCs w:val="14"/>
                <w:color w:val="auto"/>
              </w:rPr>
            </w:pPr>
          </w:p>
        </w:tc>
        <w:tc>
          <w:tcPr>
            <w:tcW w:w="640" w:type="dxa"/>
            <w:vAlign w:val="bottom"/>
            <w:shd w:val="clear" w:color="auto" w:fill="DBE5F1"/>
          </w:tcPr>
          <w:p>
            <w:pPr>
              <w:spacing w:after="0"/>
              <w:rPr>
                <w:sz w:val="14"/>
                <w:szCs w:val="14"/>
                <w:color w:val="auto"/>
              </w:rPr>
            </w:pPr>
          </w:p>
        </w:tc>
        <w:tc>
          <w:tcPr>
            <w:tcW w:w="640" w:type="dxa"/>
            <w:vAlign w:val="bottom"/>
            <w:shd w:val="clear" w:color="auto" w:fill="DBE5F1"/>
          </w:tcPr>
          <w:p>
            <w:pPr>
              <w:spacing w:after="0"/>
              <w:rPr>
                <w:sz w:val="14"/>
                <w:szCs w:val="14"/>
                <w:color w:val="auto"/>
              </w:rPr>
            </w:pPr>
          </w:p>
        </w:tc>
        <w:tc>
          <w:tcPr>
            <w:tcW w:w="640" w:type="dxa"/>
            <w:vAlign w:val="bottom"/>
            <w:shd w:val="clear" w:color="auto" w:fill="DBE5F1"/>
          </w:tcPr>
          <w:p>
            <w:pPr>
              <w:spacing w:after="0"/>
              <w:rPr>
                <w:sz w:val="14"/>
                <w:szCs w:val="14"/>
                <w:color w:val="auto"/>
              </w:rPr>
            </w:pPr>
          </w:p>
        </w:tc>
        <w:tc>
          <w:tcPr>
            <w:tcW w:w="740" w:type="dxa"/>
            <w:vAlign w:val="bottom"/>
            <w:gridSpan w:val="2"/>
            <w:shd w:val="clear" w:color="auto" w:fill="DBE5F1"/>
          </w:tcPr>
          <w:p>
            <w:pPr>
              <w:jc w:val="center"/>
              <w:ind w:right="99"/>
              <w:spacing w:after="0"/>
              <w:rPr>
                <w:sz w:val="20"/>
                <w:szCs w:val="20"/>
                <w:color w:val="auto"/>
              </w:rPr>
            </w:pPr>
            <w:r>
              <w:rPr>
                <w:rFonts w:ascii="Arial" w:cs="Arial" w:eastAsia="Arial" w:hAnsi="Arial"/>
                <w:sz w:val="14"/>
                <w:szCs w:val="14"/>
                <w:b w:val="1"/>
                <w:bCs w:val="1"/>
                <w:color w:val="auto"/>
              </w:rPr>
              <w:t>Awards:</w:t>
            </w:r>
          </w:p>
        </w:tc>
        <w:tc>
          <w:tcPr>
            <w:tcW w:w="1340" w:type="dxa"/>
            <w:vAlign w:val="bottom"/>
            <w:shd w:val="clear" w:color="auto" w:fill="DBE5F1"/>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20" w:type="dxa"/>
            <w:vAlign w:val="bottom"/>
            <w:shd w:val="clear" w:color="auto" w:fill="DBE5F1"/>
          </w:tcPr>
          <w:p>
            <w:pPr>
              <w:spacing w:after="0"/>
              <w:rPr>
                <w:sz w:val="14"/>
                <w:szCs w:val="14"/>
                <w:color w:val="auto"/>
              </w:rPr>
            </w:pPr>
          </w:p>
        </w:tc>
        <w:tc>
          <w:tcPr>
            <w:tcW w:w="1100" w:type="dxa"/>
            <w:vAlign w:val="bottom"/>
            <w:shd w:val="clear" w:color="auto" w:fill="DBE5F1"/>
          </w:tcPr>
          <w:p>
            <w:pPr>
              <w:spacing w:after="0"/>
              <w:rPr>
                <w:sz w:val="14"/>
                <w:szCs w:val="14"/>
                <w:color w:val="auto"/>
              </w:rPr>
            </w:pPr>
          </w:p>
        </w:tc>
        <w:tc>
          <w:tcPr>
            <w:tcW w:w="1320" w:type="dxa"/>
            <w:vAlign w:val="bottom"/>
            <w:shd w:val="clear" w:color="auto" w:fill="DBE5F1"/>
          </w:tcPr>
          <w:p>
            <w:pPr>
              <w:spacing w:after="0"/>
              <w:rPr>
                <w:sz w:val="14"/>
                <w:szCs w:val="14"/>
                <w:color w:val="auto"/>
              </w:rPr>
            </w:pPr>
          </w:p>
        </w:tc>
        <w:tc>
          <w:tcPr>
            <w:tcW w:w="140" w:type="dxa"/>
            <w:vAlign w:val="bottom"/>
            <w:shd w:val="clear" w:color="auto" w:fill="DBE5F1"/>
          </w:tcPr>
          <w:p>
            <w:pPr>
              <w:spacing w:after="0"/>
              <w:rPr>
                <w:sz w:val="14"/>
                <w:szCs w:val="14"/>
                <w:color w:val="auto"/>
              </w:rPr>
            </w:pPr>
          </w:p>
        </w:tc>
        <w:tc>
          <w:tcPr>
            <w:tcW w:w="680" w:type="dxa"/>
            <w:vAlign w:val="bottom"/>
            <w:shd w:val="clear" w:color="auto" w:fill="DBE5F1"/>
          </w:tcPr>
          <w:p>
            <w:pPr>
              <w:spacing w:after="0"/>
              <w:rPr>
                <w:sz w:val="14"/>
                <w:szCs w:val="14"/>
                <w:color w:val="auto"/>
              </w:rPr>
            </w:pPr>
          </w:p>
        </w:tc>
        <w:tc>
          <w:tcPr>
            <w:tcW w:w="720" w:type="dxa"/>
            <w:vAlign w:val="bottom"/>
            <w:shd w:val="clear" w:color="auto" w:fill="DBE5F1"/>
          </w:tcPr>
          <w:p>
            <w:pPr>
              <w:spacing w:after="0"/>
              <w:rPr>
                <w:sz w:val="14"/>
                <w:szCs w:val="14"/>
                <w:color w:val="auto"/>
              </w:rPr>
            </w:pPr>
          </w:p>
        </w:tc>
        <w:tc>
          <w:tcPr>
            <w:tcW w:w="740" w:type="dxa"/>
            <w:vAlign w:val="bottom"/>
            <w:shd w:val="clear" w:color="auto" w:fill="DBE5F1"/>
          </w:tcPr>
          <w:p>
            <w:pPr>
              <w:spacing w:after="0"/>
              <w:rPr>
                <w:sz w:val="14"/>
                <w:szCs w:val="14"/>
                <w:color w:val="auto"/>
              </w:rPr>
            </w:pPr>
          </w:p>
        </w:tc>
        <w:tc>
          <w:tcPr>
            <w:tcW w:w="640" w:type="dxa"/>
            <w:vAlign w:val="bottom"/>
            <w:shd w:val="clear" w:color="auto" w:fill="DBE5F1"/>
          </w:tcPr>
          <w:p>
            <w:pPr>
              <w:spacing w:after="0"/>
              <w:rPr>
                <w:sz w:val="14"/>
                <w:szCs w:val="14"/>
                <w:color w:val="auto"/>
              </w:rPr>
            </w:pPr>
          </w:p>
        </w:tc>
        <w:tc>
          <w:tcPr>
            <w:tcW w:w="640" w:type="dxa"/>
            <w:vAlign w:val="bottom"/>
            <w:shd w:val="clear" w:color="auto" w:fill="DBE5F1"/>
          </w:tcPr>
          <w:p>
            <w:pPr>
              <w:spacing w:after="0"/>
              <w:rPr>
                <w:sz w:val="14"/>
                <w:szCs w:val="14"/>
                <w:color w:val="auto"/>
              </w:rPr>
            </w:pPr>
          </w:p>
        </w:tc>
        <w:tc>
          <w:tcPr>
            <w:tcW w:w="640" w:type="dxa"/>
            <w:vAlign w:val="bottom"/>
            <w:shd w:val="clear" w:color="auto" w:fill="DBE5F1"/>
          </w:tcPr>
          <w:p>
            <w:pPr>
              <w:spacing w:after="0"/>
              <w:rPr>
                <w:sz w:val="14"/>
                <w:szCs w:val="14"/>
                <w:color w:val="auto"/>
              </w:rPr>
            </w:pPr>
          </w:p>
        </w:tc>
        <w:tc>
          <w:tcPr>
            <w:tcW w:w="560" w:type="dxa"/>
            <w:vAlign w:val="bottom"/>
            <w:shd w:val="clear" w:color="auto" w:fill="DBE5F1"/>
          </w:tcPr>
          <w:p>
            <w:pPr>
              <w:jc w:val="center"/>
              <w:spacing w:after="0"/>
              <w:rPr>
                <w:sz w:val="20"/>
                <w:szCs w:val="20"/>
                <w:color w:val="auto"/>
              </w:rPr>
            </w:pPr>
            <w:r>
              <w:rPr>
                <w:rFonts w:ascii="Arial" w:cs="Arial" w:eastAsia="Arial" w:hAnsi="Arial"/>
                <w:sz w:val="14"/>
                <w:szCs w:val="14"/>
                <w:b w:val="1"/>
                <w:bCs w:val="1"/>
                <w:color w:val="auto"/>
              </w:rPr>
              <w:t>Number</w:t>
            </w:r>
          </w:p>
        </w:tc>
        <w:tc>
          <w:tcPr>
            <w:tcW w:w="180" w:type="dxa"/>
            <w:vAlign w:val="bottom"/>
            <w:shd w:val="clear" w:color="auto" w:fill="DBE5F1"/>
          </w:tcPr>
          <w:p>
            <w:pPr>
              <w:spacing w:after="0"/>
              <w:rPr>
                <w:sz w:val="14"/>
                <w:szCs w:val="14"/>
                <w:color w:val="auto"/>
              </w:rPr>
            </w:pPr>
          </w:p>
        </w:tc>
        <w:tc>
          <w:tcPr>
            <w:tcW w:w="1340" w:type="dxa"/>
            <w:vAlign w:val="bottom"/>
            <w:shd w:val="clear" w:color="auto" w:fill="DBE5F1"/>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20" w:type="dxa"/>
            <w:vAlign w:val="bottom"/>
            <w:shd w:val="clear" w:color="auto" w:fill="DBE5F1"/>
          </w:tcPr>
          <w:p>
            <w:pPr>
              <w:spacing w:after="0"/>
              <w:rPr>
                <w:sz w:val="14"/>
                <w:szCs w:val="14"/>
                <w:color w:val="auto"/>
              </w:rPr>
            </w:pPr>
          </w:p>
        </w:tc>
        <w:tc>
          <w:tcPr>
            <w:tcW w:w="1100" w:type="dxa"/>
            <w:vAlign w:val="bottom"/>
            <w:shd w:val="clear" w:color="auto" w:fill="DBE5F1"/>
          </w:tcPr>
          <w:p>
            <w:pPr>
              <w:spacing w:after="0"/>
              <w:rPr>
                <w:sz w:val="14"/>
                <w:szCs w:val="14"/>
                <w:color w:val="auto"/>
              </w:rPr>
            </w:pPr>
          </w:p>
        </w:tc>
        <w:tc>
          <w:tcPr>
            <w:tcW w:w="1320" w:type="dxa"/>
            <w:vAlign w:val="bottom"/>
            <w:shd w:val="clear" w:color="auto" w:fill="DBE5F1"/>
          </w:tcPr>
          <w:p>
            <w:pPr>
              <w:spacing w:after="0"/>
              <w:rPr>
                <w:sz w:val="14"/>
                <w:szCs w:val="14"/>
                <w:color w:val="auto"/>
              </w:rPr>
            </w:pPr>
          </w:p>
        </w:tc>
        <w:tc>
          <w:tcPr>
            <w:tcW w:w="140" w:type="dxa"/>
            <w:vAlign w:val="bottom"/>
            <w:shd w:val="clear" w:color="auto" w:fill="DBE5F1"/>
          </w:tcPr>
          <w:p>
            <w:pPr>
              <w:spacing w:after="0"/>
              <w:rPr>
                <w:sz w:val="14"/>
                <w:szCs w:val="14"/>
                <w:color w:val="auto"/>
              </w:rPr>
            </w:pPr>
          </w:p>
        </w:tc>
        <w:tc>
          <w:tcPr>
            <w:tcW w:w="680" w:type="dxa"/>
            <w:vAlign w:val="bottom"/>
            <w:shd w:val="clear" w:color="auto" w:fill="DBE5F1"/>
          </w:tcPr>
          <w:p>
            <w:pPr>
              <w:spacing w:after="0"/>
              <w:rPr>
                <w:sz w:val="14"/>
                <w:szCs w:val="14"/>
                <w:color w:val="auto"/>
              </w:rPr>
            </w:pPr>
          </w:p>
        </w:tc>
        <w:tc>
          <w:tcPr>
            <w:tcW w:w="720" w:type="dxa"/>
            <w:vAlign w:val="bottom"/>
            <w:shd w:val="clear" w:color="auto" w:fill="DBE5F1"/>
          </w:tcPr>
          <w:p>
            <w:pPr>
              <w:spacing w:after="0"/>
              <w:rPr>
                <w:sz w:val="14"/>
                <w:szCs w:val="14"/>
                <w:color w:val="auto"/>
              </w:rPr>
            </w:pPr>
          </w:p>
        </w:tc>
        <w:tc>
          <w:tcPr>
            <w:tcW w:w="740" w:type="dxa"/>
            <w:vAlign w:val="bottom"/>
            <w:shd w:val="clear" w:color="auto" w:fill="DBE5F1"/>
          </w:tcPr>
          <w:p>
            <w:pPr>
              <w:spacing w:after="0"/>
              <w:rPr>
                <w:sz w:val="14"/>
                <w:szCs w:val="14"/>
                <w:color w:val="auto"/>
              </w:rPr>
            </w:pPr>
          </w:p>
        </w:tc>
        <w:tc>
          <w:tcPr>
            <w:tcW w:w="640" w:type="dxa"/>
            <w:vAlign w:val="bottom"/>
            <w:shd w:val="clear" w:color="auto" w:fill="DBE5F1"/>
          </w:tcPr>
          <w:p>
            <w:pPr>
              <w:spacing w:after="0"/>
              <w:rPr>
                <w:sz w:val="14"/>
                <w:szCs w:val="14"/>
                <w:color w:val="auto"/>
              </w:rPr>
            </w:pPr>
          </w:p>
        </w:tc>
        <w:tc>
          <w:tcPr>
            <w:tcW w:w="640" w:type="dxa"/>
            <w:vAlign w:val="bottom"/>
            <w:shd w:val="clear" w:color="auto" w:fill="DBE5F1"/>
          </w:tcPr>
          <w:p>
            <w:pPr>
              <w:spacing w:after="0"/>
              <w:rPr>
                <w:sz w:val="14"/>
                <w:szCs w:val="14"/>
                <w:color w:val="auto"/>
              </w:rPr>
            </w:pPr>
          </w:p>
        </w:tc>
        <w:tc>
          <w:tcPr>
            <w:tcW w:w="640" w:type="dxa"/>
            <w:vAlign w:val="bottom"/>
            <w:shd w:val="clear" w:color="auto" w:fill="DBE5F1"/>
          </w:tcPr>
          <w:p>
            <w:pPr>
              <w:spacing w:after="0"/>
              <w:rPr>
                <w:sz w:val="14"/>
                <w:szCs w:val="14"/>
                <w:color w:val="auto"/>
              </w:rPr>
            </w:pPr>
          </w:p>
        </w:tc>
        <w:tc>
          <w:tcPr>
            <w:tcW w:w="560" w:type="dxa"/>
            <w:vAlign w:val="bottom"/>
            <w:shd w:val="clear" w:color="auto" w:fill="DBE5F1"/>
          </w:tcPr>
          <w:p>
            <w:pPr>
              <w:jc w:val="center"/>
              <w:spacing w:after="0"/>
              <w:rPr>
                <w:sz w:val="20"/>
                <w:szCs w:val="20"/>
                <w:color w:val="auto"/>
              </w:rPr>
            </w:pPr>
            <w:r>
              <w:rPr>
                <w:rFonts w:ascii="Arial" w:cs="Arial" w:eastAsia="Arial" w:hAnsi="Arial"/>
                <w:sz w:val="14"/>
                <w:szCs w:val="14"/>
                <w:b w:val="1"/>
                <w:bCs w:val="1"/>
                <w:color w:val="auto"/>
              </w:rPr>
              <w:t>of</w:t>
            </w:r>
          </w:p>
        </w:tc>
        <w:tc>
          <w:tcPr>
            <w:tcW w:w="180" w:type="dxa"/>
            <w:vAlign w:val="bottom"/>
            <w:shd w:val="clear" w:color="auto" w:fill="DBE5F1"/>
          </w:tcPr>
          <w:p>
            <w:pPr>
              <w:spacing w:after="0"/>
              <w:rPr>
                <w:sz w:val="14"/>
                <w:szCs w:val="14"/>
                <w:color w:val="auto"/>
              </w:rPr>
            </w:pPr>
          </w:p>
        </w:tc>
        <w:tc>
          <w:tcPr>
            <w:tcW w:w="1340" w:type="dxa"/>
            <w:vAlign w:val="bottom"/>
            <w:shd w:val="clear" w:color="auto" w:fill="DBE5F1"/>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20" w:type="dxa"/>
            <w:vAlign w:val="bottom"/>
            <w:shd w:val="clear" w:color="auto" w:fill="DBE5F1"/>
          </w:tcPr>
          <w:p>
            <w:pPr>
              <w:spacing w:after="0"/>
              <w:rPr>
                <w:sz w:val="14"/>
                <w:szCs w:val="14"/>
                <w:color w:val="auto"/>
              </w:rPr>
            </w:pPr>
          </w:p>
        </w:tc>
        <w:tc>
          <w:tcPr>
            <w:tcW w:w="1100" w:type="dxa"/>
            <w:vAlign w:val="bottom"/>
            <w:shd w:val="clear" w:color="auto" w:fill="DBE5F1"/>
          </w:tcPr>
          <w:p>
            <w:pPr>
              <w:spacing w:after="0"/>
              <w:rPr>
                <w:sz w:val="14"/>
                <w:szCs w:val="14"/>
                <w:color w:val="auto"/>
              </w:rPr>
            </w:pPr>
          </w:p>
        </w:tc>
        <w:tc>
          <w:tcPr>
            <w:tcW w:w="1320" w:type="dxa"/>
            <w:vAlign w:val="bottom"/>
            <w:shd w:val="clear" w:color="auto" w:fill="DBE5F1"/>
          </w:tcPr>
          <w:p>
            <w:pPr>
              <w:spacing w:after="0"/>
              <w:rPr>
                <w:sz w:val="14"/>
                <w:szCs w:val="14"/>
                <w:color w:val="auto"/>
              </w:rPr>
            </w:pPr>
          </w:p>
        </w:tc>
        <w:tc>
          <w:tcPr>
            <w:tcW w:w="140" w:type="dxa"/>
            <w:vAlign w:val="bottom"/>
            <w:shd w:val="clear" w:color="auto" w:fill="DBE5F1"/>
          </w:tcPr>
          <w:p>
            <w:pPr>
              <w:spacing w:after="0"/>
              <w:rPr>
                <w:sz w:val="14"/>
                <w:szCs w:val="14"/>
                <w:color w:val="auto"/>
              </w:rPr>
            </w:pPr>
          </w:p>
        </w:tc>
        <w:tc>
          <w:tcPr>
            <w:tcW w:w="680" w:type="dxa"/>
            <w:vAlign w:val="bottom"/>
            <w:shd w:val="clear" w:color="auto" w:fill="DBE5F1"/>
          </w:tcPr>
          <w:p>
            <w:pPr>
              <w:spacing w:after="0"/>
              <w:rPr>
                <w:sz w:val="14"/>
                <w:szCs w:val="14"/>
                <w:color w:val="auto"/>
              </w:rPr>
            </w:pPr>
          </w:p>
        </w:tc>
        <w:tc>
          <w:tcPr>
            <w:tcW w:w="720" w:type="dxa"/>
            <w:vAlign w:val="bottom"/>
            <w:shd w:val="clear" w:color="auto" w:fill="DBE5F1"/>
          </w:tcPr>
          <w:p>
            <w:pPr>
              <w:spacing w:after="0"/>
              <w:rPr>
                <w:sz w:val="14"/>
                <w:szCs w:val="14"/>
                <w:color w:val="auto"/>
              </w:rPr>
            </w:pPr>
          </w:p>
        </w:tc>
        <w:tc>
          <w:tcPr>
            <w:tcW w:w="740" w:type="dxa"/>
            <w:vAlign w:val="bottom"/>
            <w:shd w:val="clear" w:color="auto" w:fill="DBE5F1"/>
          </w:tcPr>
          <w:p>
            <w:pPr>
              <w:spacing w:after="0"/>
              <w:rPr>
                <w:sz w:val="14"/>
                <w:szCs w:val="14"/>
                <w:color w:val="auto"/>
              </w:rPr>
            </w:pPr>
          </w:p>
        </w:tc>
        <w:tc>
          <w:tcPr>
            <w:tcW w:w="640" w:type="dxa"/>
            <w:vAlign w:val="bottom"/>
            <w:shd w:val="clear" w:color="auto" w:fill="DBE5F1"/>
          </w:tcPr>
          <w:p>
            <w:pPr>
              <w:spacing w:after="0"/>
              <w:rPr>
                <w:sz w:val="14"/>
                <w:szCs w:val="14"/>
                <w:color w:val="auto"/>
              </w:rPr>
            </w:pPr>
          </w:p>
        </w:tc>
        <w:tc>
          <w:tcPr>
            <w:tcW w:w="640" w:type="dxa"/>
            <w:vAlign w:val="bottom"/>
            <w:shd w:val="clear" w:color="auto" w:fill="DBE5F1"/>
          </w:tcPr>
          <w:p>
            <w:pPr>
              <w:spacing w:after="0"/>
              <w:rPr>
                <w:sz w:val="14"/>
                <w:szCs w:val="14"/>
                <w:color w:val="auto"/>
              </w:rPr>
            </w:pPr>
          </w:p>
        </w:tc>
        <w:tc>
          <w:tcPr>
            <w:tcW w:w="640" w:type="dxa"/>
            <w:vAlign w:val="bottom"/>
            <w:shd w:val="clear" w:color="auto" w:fill="DBE5F1"/>
          </w:tcPr>
          <w:p>
            <w:pPr>
              <w:spacing w:after="0"/>
              <w:rPr>
                <w:sz w:val="14"/>
                <w:szCs w:val="14"/>
                <w:color w:val="auto"/>
              </w:rPr>
            </w:pPr>
          </w:p>
        </w:tc>
        <w:tc>
          <w:tcPr>
            <w:tcW w:w="560" w:type="dxa"/>
            <w:vAlign w:val="bottom"/>
            <w:shd w:val="clear" w:color="auto" w:fill="DBE5F1"/>
          </w:tcPr>
          <w:p>
            <w:pPr>
              <w:jc w:val="center"/>
              <w:spacing w:after="0"/>
              <w:rPr>
                <w:sz w:val="20"/>
                <w:szCs w:val="20"/>
                <w:color w:val="auto"/>
              </w:rPr>
            </w:pPr>
            <w:r>
              <w:rPr>
                <w:rFonts w:ascii="Arial" w:cs="Arial" w:eastAsia="Arial" w:hAnsi="Arial"/>
                <w:sz w:val="14"/>
                <w:szCs w:val="14"/>
                <w:b w:val="1"/>
                <w:bCs w:val="1"/>
                <w:color w:val="auto"/>
              </w:rPr>
              <w:t>Shares</w:t>
            </w:r>
          </w:p>
        </w:tc>
        <w:tc>
          <w:tcPr>
            <w:tcW w:w="180" w:type="dxa"/>
            <w:vAlign w:val="bottom"/>
            <w:shd w:val="clear" w:color="auto" w:fill="DBE5F1"/>
          </w:tcPr>
          <w:p>
            <w:pPr>
              <w:spacing w:after="0"/>
              <w:rPr>
                <w:sz w:val="14"/>
                <w:szCs w:val="14"/>
                <w:color w:val="auto"/>
              </w:rPr>
            </w:pPr>
          </w:p>
        </w:tc>
        <w:tc>
          <w:tcPr>
            <w:tcW w:w="1340" w:type="dxa"/>
            <w:vAlign w:val="bottom"/>
            <w:shd w:val="clear" w:color="auto" w:fill="DBE5F1"/>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20" w:type="dxa"/>
            <w:vAlign w:val="bottom"/>
            <w:shd w:val="clear" w:color="auto" w:fill="DBE5F1"/>
          </w:tcPr>
          <w:p>
            <w:pPr>
              <w:spacing w:after="0"/>
              <w:rPr>
                <w:sz w:val="14"/>
                <w:szCs w:val="14"/>
                <w:color w:val="auto"/>
              </w:rPr>
            </w:pPr>
          </w:p>
        </w:tc>
        <w:tc>
          <w:tcPr>
            <w:tcW w:w="1100" w:type="dxa"/>
            <w:vAlign w:val="bottom"/>
            <w:shd w:val="clear" w:color="auto" w:fill="DBE5F1"/>
          </w:tcPr>
          <w:p>
            <w:pPr>
              <w:spacing w:after="0"/>
              <w:rPr>
                <w:sz w:val="14"/>
                <w:szCs w:val="14"/>
                <w:color w:val="auto"/>
              </w:rPr>
            </w:pPr>
          </w:p>
        </w:tc>
        <w:tc>
          <w:tcPr>
            <w:tcW w:w="1320" w:type="dxa"/>
            <w:vAlign w:val="bottom"/>
            <w:shd w:val="clear" w:color="auto" w:fill="DBE5F1"/>
          </w:tcPr>
          <w:p>
            <w:pPr>
              <w:spacing w:after="0"/>
              <w:rPr>
                <w:sz w:val="14"/>
                <w:szCs w:val="14"/>
                <w:color w:val="auto"/>
              </w:rPr>
            </w:pPr>
          </w:p>
        </w:tc>
        <w:tc>
          <w:tcPr>
            <w:tcW w:w="140" w:type="dxa"/>
            <w:vAlign w:val="bottom"/>
            <w:shd w:val="clear" w:color="auto" w:fill="DBE5F1"/>
          </w:tcPr>
          <w:p>
            <w:pPr>
              <w:spacing w:after="0"/>
              <w:rPr>
                <w:sz w:val="14"/>
                <w:szCs w:val="14"/>
                <w:color w:val="auto"/>
              </w:rPr>
            </w:pPr>
          </w:p>
        </w:tc>
        <w:tc>
          <w:tcPr>
            <w:tcW w:w="680" w:type="dxa"/>
            <w:vAlign w:val="bottom"/>
            <w:shd w:val="clear" w:color="auto" w:fill="DBE5F1"/>
          </w:tcPr>
          <w:p>
            <w:pPr>
              <w:spacing w:after="0"/>
              <w:rPr>
                <w:sz w:val="14"/>
                <w:szCs w:val="14"/>
                <w:color w:val="auto"/>
              </w:rPr>
            </w:pPr>
          </w:p>
        </w:tc>
        <w:tc>
          <w:tcPr>
            <w:tcW w:w="720" w:type="dxa"/>
            <w:vAlign w:val="bottom"/>
            <w:shd w:val="clear" w:color="auto" w:fill="DBE5F1"/>
          </w:tcPr>
          <w:p>
            <w:pPr>
              <w:spacing w:after="0"/>
              <w:rPr>
                <w:sz w:val="14"/>
                <w:szCs w:val="14"/>
                <w:color w:val="auto"/>
              </w:rPr>
            </w:pPr>
          </w:p>
        </w:tc>
        <w:tc>
          <w:tcPr>
            <w:tcW w:w="740" w:type="dxa"/>
            <w:vAlign w:val="bottom"/>
            <w:shd w:val="clear" w:color="auto" w:fill="DBE5F1"/>
          </w:tcPr>
          <w:p>
            <w:pPr>
              <w:spacing w:after="0"/>
              <w:rPr>
                <w:sz w:val="14"/>
                <w:szCs w:val="14"/>
                <w:color w:val="auto"/>
              </w:rPr>
            </w:pPr>
          </w:p>
        </w:tc>
        <w:tc>
          <w:tcPr>
            <w:tcW w:w="640" w:type="dxa"/>
            <w:vAlign w:val="bottom"/>
            <w:shd w:val="clear" w:color="auto" w:fill="DBE5F1"/>
          </w:tcPr>
          <w:p>
            <w:pPr>
              <w:spacing w:after="0"/>
              <w:rPr>
                <w:sz w:val="14"/>
                <w:szCs w:val="14"/>
                <w:color w:val="auto"/>
              </w:rPr>
            </w:pPr>
          </w:p>
        </w:tc>
        <w:tc>
          <w:tcPr>
            <w:tcW w:w="640" w:type="dxa"/>
            <w:vAlign w:val="bottom"/>
            <w:shd w:val="clear" w:color="auto" w:fill="DBE5F1"/>
          </w:tcPr>
          <w:p>
            <w:pPr>
              <w:spacing w:after="0"/>
              <w:rPr>
                <w:sz w:val="14"/>
                <w:szCs w:val="14"/>
                <w:color w:val="auto"/>
              </w:rPr>
            </w:pPr>
          </w:p>
        </w:tc>
        <w:tc>
          <w:tcPr>
            <w:tcW w:w="640" w:type="dxa"/>
            <w:vAlign w:val="bottom"/>
            <w:shd w:val="clear" w:color="auto" w:fill="DBE5F1"/>
          </w:tcPr>
          <w:p>
            <w:pPr>
              <w:spacing w:after="0"/>
              <w:rPr>
                <w:sz w:val="14"/>
                <w:szCs w:val="14"/>
                <w:color w:val="auto"/>
              </w:rPr>
            </w:pPr>
          </w:p>
        </w:tc>
        <w:tc>
          <w:tcPr>
            <w:tcW w:w="740" w:type="dxa"/>
            <w:vAlign w:val="bottom"/>
            <w:gridSpan w:val="2"/>
            <w:shd w:val="clear" w:color="auto" w:fill="DBE5F1"/>
          </w:tcPr>
          <w:p>
            <w:pPr>
              <w:jc w:val="center"/>
              <w:ind w:right="99"/>
              <w:spacing w:after="0"/>
              <w:rPr>
                <w:sz w:val="20"/>
                <w:szCs w:val="20"/>
                <w:color w:val="auto"/>
              </w:rPr>
            </w:pPr>
            <w:r>
              <w:rPr>
                <w:rFonts w:ascii="Arial" w:cs="Arial" w:eastAsia="Arial" w:hAnsi="Arial"/>
                <w:sz w:val="14"/>
                <w:szCs w:val="14"/>
                <w:b w:val="1"/>
                <w:bCs w:val="1"/>
                <w:color w:val="auto"/>
              </w:rPr>
              <w:t>of Stock</w:t>
            </w:r>
          </w:p>
        </w:tc>
        <w:tc>
          <w:tcPr>
            <w:tcW w:w="1340" w:type="dxa"/>
            <w:vAlign w:val="bottom"/>
            <w:shd w:val="clear" w:color="auto" w:fill="DBE5F1"/>
          </w:tcPr>
          <w:p>
            <w:pPr>
              <w:jc w:val="center"/>
              <w:spacing w:after="0"/>
              <w:rPr>
                <w:sz w:val="20"/>
                <w:szCs w:val="20"/>
                <w:color w:val="auto"/>
              </w:rPr>
            </w:pPr>
            <w:r>
              <w:rPr>
                <w:rFonts w:ascii="Arial" w:cs="Arial" w:eastAsia="Arial" w:hAnsi="Arial"/>
                <w:sz w:val="14"/>
                <w:szCs w:val="14"/>
                <w:b w:val="1"/>
                <w:bCs w:val="1"/>
                <w:color w:val="auto"/>
              </w:rPr>
              <w:t>Grant Date Fair</w:t>
            </w:r>
          </w:p>
        </w:tc>
        <w:tc>
          <w:tcPr>
            <w:tcW w:w="0" w:type="dxa"/>
            <w:vAlign w:val="bottom"/>
          </w:tcPr>
          <w:p>
            <w:pPr>
              <w:spacing w:after="0"/>
              <w:rPr>
                <w:sz w:val="1"/>
                <w:szCs w:val="1"/>
                <w:color w:val="auto"/>
              </w:rPr>
            </w:pPr>
          </w:p>
        </w:tc>
      </w:tr>
      <w:tr>
        <w:trPr>
          <w:trHeight w:val="144"/>
        </w:trPr>
        <w:tc>
          <w:tcPr>
            <w:tcW w:w="1220" w:type="dxa"/>
            <w:vAlign w:val="bottom"/>
            <w:shd w:val="clear" w:color="auto" w:fill="DBE5F1"/>
          </w:tcPr>
          <w:p>
            <w:pPr>
              <w:spacing w:after="0"/>
              <w:rPr>
                <w:sz w:val="12"/>
                <w:szCs w:val="12"/>
                <w:color w:val="auto"/>
              </w:rPr>
            </w:pPr>
          </w:p>
        </w:tc>
        <w:tc>
          <w:tcPr>
            <w:tcW w:w="1100" w:type="dxa"/>
            <w:vAlign w:val="bottom"/>
            <w:shd w:val="clear" w:color="auto" w:fill="DBE5F1"/>
          </w:tcPr>
          <w:p>
            <w:pPr>
              <w:spacing w:after="0"/>
              <w:rPr>
                <w:sz w:val="12"/>
                <w:szCs w:val="12"/>
                <w:color w:val="auto"/>
              </w:rPr>
            </w:pPr>
          </w:p>
        </w:tc>
        <w:tc>
          <w:tcPr>
            <w:tcW w:w="1320" w:type="dxa"/>
            <w:vAlign w:val="bottom"/>
            <w:shd w:val="clear" w:color="auto" w:fill="DBE5F1"/>
          </w:tcPr>
          <w:p>
            <w:pPr>
              <w:spacing w:after="0"/>
              <w:rPr>
                <w:sz w:val="12"/>
                <w:szCs w:val="12"/>
                <w:color w:val="auto"/>
              </w:rPr>
            </w:pPr>
          </w:p>
        </w:tc>
        <w:tc>
          <w:tcPr>
            <w:tcW w:w="140" w:type="dxa"/>
            <w:vAlign w:val="bottom"/>
            <w:shd w:val="clear" w:color="auto" w:fill="DBE5F1"/>
          </w:tcPr>
          <w:p>
            <w:pPr>
              <w:spacing w:after="0"/>
              <w:rPr>
                <w:sz w:val="12"/>
                <w:szCs w:val="12"/>
                <w:color w:val="auto"/>
              </w:rPr>
            </w:pPr>
          </w:p>
        </w:tc>
        <w:tc>
          <w:tcPr>
            <w:tcW w:w="1400" w:type="dxa"/>
            <w:vAlign w:val="bottom"/>
            <w:gridSpan w:val="2"/>
            <w:shd w:val="clear" w:color="auto" w:fill="DBE5F1"/>
          </w:tcPr>
          <w:p>
            <w:pPr>
              <w:jc w:val="right"/>
              <w:ind w:right="88"/>
              <w:spacing w:after="0" w:line="145" w:lineRule="exact"/>
              <w:rPr>
                <w:sz w:val="20"/>
                <w:szCs w:val="20"/>
                <w:color w:val="auto"/>
              </w:rPr>
            </w:pPr>
            <w:r>
              <w:rPr>
                <w:rFonts w:ascii="Arial" w:cs="Arial" w:eastAsia="Arial" w:hAnsi="Arial"/>
                <w:sz w:val="14"/>
                <w:szCs w:val="14"/>
                <w:b w:val="1"/>
                <w:bCs w:val="1"/>
                <w:color w:val="auto"/>
              </w:rPr>
              <w:t>Threshold  Target</w:t>
            </w:r>
          </w:p>
        </w:tc>
        <w:tc>
          <w:tcPr>
            <w:tcW w:w="3220" w:type="dxa"/>
            <w:vAlign w:val="bottom"/>
            <w:gridSpan w:val="5"/>
            <w:shd w:val="clear" w:color="auto" w:fill="DBE5F1"/>
          </w:tcPr>
          <w:p>
            <w:pPr>
              <w:jc w:val="right"/>
              <w:spacing w:after="0" w:line="145" w:lineRule="exact"/>
              <w:rPr>
                <w:sz w:val="20"/>
                <w:szCs w:val="20"/>
                <w:color w:val="auto"/>
              </w:rPr>
            </w:pPr>
            <w:r>
              <w:rPr>
                <w:rFonts w:ascii="Arial" w:cs="Arial" w:eastAsia="Arial" w:hAnsi="Arial"/>
                <w:sz w:val="14"/>
                <w:szCs w:val="14"/>
                <w:b w:val="1"/>
                <w:bCs w:val="1"/>
                <w:color w:val="auto"/>
              </w:rPr>
              <w:t>Maximum Threshold Target Maximum or Units</w:t>
            </w:r>
          </w:p>
        </w:tc>
        <w:tc>
          <w:tcPr>
            <w:tcW w:w="180" w:type="dxa"/>
            <w:vAlign w:val="bottom"/>
            <w:shd w:val="clear" w:color="auto" w:fill="DBE5F1"/>
          </w:tcPr>
          <w:p>
            <w:pPr>
              <w:spacing w:after="0"/>
              <w:rPr>
                <w:sz w:val="12"/>
                <w:szCs w:val="12"/>
                <w:color w:val="auto"/>
              </w:rPr>
            </w:pPr>
          </w:p>
        </w:tc>
        <w:tc>
          <w:tcPr>
            <w:tcW w:w="1340" w:type="dxa"/>
            <w:vAlign w:val="bottom"/>
            <w:shd w:val="clear" w:color="auto" w:fill="DBE5F1"/>
          </w:tcPr>
          <w:p>
            <w:pPr>
              <w:jc w:val="center"/>
              <w:spacing w:after="0" w:line="145" w:lineRule="exact"/>
              <w:rPr>
                <w:sz w:val="20"/>
                <w:szCs w:val="20"/>
                <w:color w:val="auto"/>
              </w:rPr>
            </w:pPr>
            <w:r>
              <w:rPr>
                <w:rFonts w:ascii="Arial" w:cs="Arial" w:eastAsia="Arial" w:hAnsi="Arial"/>
                <w:sz w:val="14"/>
                <w:szCs w:val="14"/>
                <w:b w:val="1"/>
                <w:bCs w:val="1"/>
                <w:color w:val="auto"/>
              </w:rPr>
              <w:t>Value of</w:t>
            </w:r>
          </w:p>
        </w:tc>
        <w:tc>
          <w:tcPr>
            <w:tcW w:w="0" w:type="dxa"/>
            <w:vAlign w:val="bottom"/>
          </w:tcPr>
          <w:p>
            <w:pPr>
              <w:spacing w:after="0"/>
              <w:rPr>
                <w:sz w:val="1"/>
                <w:szCs w:val="1"/>
                <w:color w:val="auto"/>
              </w:rPr>
            </w:pPr>
          </w:p>
        </w:tc>
      </w:tr>
      <w:tr>
        <w:trPr>
          <w:trHeight w:val="189"/>
        </w:trPr>
        <w:tc>
          <w:tcPr>
            <w:tcW w:w="1220" w:type="dxa"/>
            <w:vAlign w:val="bottom"/>
            <w:tcBorders>
              <w:bottom w:val="single" w:sz="8" w:color="4A7EBB"/>
            </w:tcBorders>
            <w:shd w:val="clear" w:color="auto" w:fill="DBE5F1"/>
          </w:tcPr>
          <w:p>
            <w:pPr>
              <w:ind w:left="120"/>
              <w:spacing w:after="0"/>
              <w:rPr>
                <w:sz w:val="20"/>
                <w:szCs w:val="20"/>
                <w:color w:val="auto"/>
              </w:rPr>
            </w:pPr>
            <w:r>
              <w:rPr>
                <w:rFonts w:ascii="Arial" w:cs="Arial" w:eastAsia="Arial" w:hAnsi="Arial"/>
                <w:sz w:val="14"/>
                <w:szCs w:val="14"/>
                <w:b w:val="1"/>
                <w:bCs w:val="1"/>
                <w:color w:val="auto"/>
              </w:rPr>
              <w:t>Name</w:t>
            </w:r>
          </w:p>
        </w:tc>
        <w:tc>
          <w:tcPr>
            <w:tcW w:w="1100" w:type="dxa"/>
            <w:vAlign w:val="bottom"/>
            <w:tcBorders>
              <w:bottom w:val="single" w:sz="8" w:color="4A7EBB"/>
            </w:tcBorders>
            <w:shd w:val="clear" w:color="auto" w:fill="DBE5F1"/>
          </w:tcPr>
          <w:p>
            <w:pPr>
              <w:jc w:val="center"/>
              <w:spacing w:after="0"/>
              <w:rPr>
                <w:sz w:val="20"/>
                <w:szCs w:val="20"/>
                <w:color w:val="auto"/>
              </w:rPr>
            </w:pPr>
            <w:r>
              <w:rPr>
                <w:rFonts w:ascii="Arial" w:cs="Arial" w:eastAsia="Arial" w:hAnsi="Arial"/>
                <w:sz w:val="14"/>
                <w:szCs w:val="14"/>
                <w:b w:val="1"/>
                <w:bCs w:val="1"/>
                <w:color w:val="auto"/>
                <w:w w:val="98"/>
              </w:rPr>
              <w:t>Award</w:t>
            </w:r>
          </w:p>
        </w:tc>
        <w:tc>
          <w:tcPr>
            <w:tcW w:w="1320" w:type="dxa"/>
            <w:vAlign w:val="bottom"/>
            <w:tcBorders>
              <w:bottom w:val="single" w:sz="8" w:color="4A7EBB"/>
            </w:tcBorders>
            <w:shd w:val="clear" w:color="auto" w:fill="DBE5F1"/>
          </w:tcPr>
          <w:p>
            <w:pPr>
              <w:jc w:val="center"/>
              <w:spacing w:after="0"/>
              <w:rPr>
                <w:sz w:val="20"/>
                <w:szCs w:val="20"/>
                <w:color w:val="auto"/>
              </w:rPr>
            </w:pPr>
            <w:r>
              <w:rPr>
                <w:rFonts w:ascii="Arial" w:cs="Arial" w:eastAsia="Arial" w:hAnsi="Arial"/>
                <w:sz w:val="14"/>
                <w:szCs w:val="14"/>
                <w:b w:val="1"/>
                <w:bCs w:val="1"/>
                <w:color w:val="auto"/>
              </w:rPr>
              <w:t>Grant Date</w:t>
            </w:r>
          </w:p>
        </w:tc>
        <w:tc>
          <w:tcPr>
            <w:tcW w:w="820" w:type="dxa"/>
            <w:vAlign w:val="bottom"/>
            <w:tcBorders>
              <w:bottom w:val="single" w:sz="8" w:color="4A7EBB"/>
            </w:tcBorders>
            <w:gridSpan w:val="2"/>
            <w:shd w:val="clear" w:color="auto" w:fill="DBE5F1"/>
          </w:tcPr>
          <w:p>
            <w:pPr>
              <w:jc w:val="right"/>
              <w:ind w:right="168"/>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4A7EBB"/>
            </w:tcBorders>
            <w:shd w:val="clear" w:color="auto" w:fill="DBE5F1"/>
          </w:tcPr>
          <w:p>
            <w:pPr>
              <w:jc w:val="center"/>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4A7EBB"/>
            </w:tcBorders>
            <w:shd w:val="clear" w:color="auto" w:fill="DBE5F1"/>
          </w:tcPr>
          <w:p>
            <w:pPr>
              <w:jc w:val="right"/>
              <w:ind w:right="228"/>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4A7EBB"/>
            </w:tcBorders>
            <w:shd w:val="clear" w:color="auto" w:fill="DBE5F1"/>
          </w:tcPr>
          <w:p>
            <w:pPr>
              <w:ind w:left="220"/>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4A7EBB"/>
            </w:tcBorders>
            <w:shd w:val="clear" w:color="auto" w:fill="DBE5F1"/>
          </w:tcPr>
          <w:p>
            <w:pPr>
              <w:jc w:val="center"/>
              <w:spacing w:after="0" w:line="189" w:lineRule="exact"/>
              <w:rPr>
                <w:sz w:val="20"/>
                <w:szCs w:val="20"/>
                <w:color w:val="auto"/>
              </w:rPr>
            </w:pPr>
            <w:r>
              <w:rPr>
                <w:rFonts w:ascii="Arial" w:cs="Arial" w:eastAsia="Arial" w:hAnsi="Arial"/>
                <w:sz w:val="13"/>
                <w:szCs w:val="13"/>
                <w:b w:val="1"/>
                <w:bCs w:val="1"/>
                <w:color w:val="auto"/>
                <w:w w:val="98"/>
              </w:rPr>
              <w:t xml:space="preserve">(#) </w:t>
            </w:r>
            <w:r>
              <w:rPr>
                <w:rFonts w:ascii="Arial" w:cs="Arial" w:eastAsia="Arial" w:hAnsi="Arial"/>
                <w:sz w:val="21"/>
                <w:szCs w:val="21"/>
                <w:b w:val="1"/>
                <w:bCs w:val="1"/>
                <w:color w:val="auto"/>
                <w:w w:val="98"/>
                <w:vertAlign w:val="superscript"/>
              </w:rPr>
              <w:t>(2)</w:t>
            </w:r>
          </w:p>
        </w:tc>
        <w:tc>
          <w:tcPr>
            <w:tcW w:w="640" w:type="dxa"/>
            <w:vAlign w:val="bottom"/>
            <w:tcBorders>
              <w:bottom w:val="single" w:sz="8" w:color="4A7EBB"/>
            </w:tcBorders>
            <w:shd w:val="clear" w:color="auto" w:fill="DBE5F1"/>
          </w:tcPr>
          <w:p>
            <w:pPr>
              <w:ind w:left="200"/>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4A7EBB"/>
            </w:tcBorders>
            <w:shd w:val="clear" w:color="auto" w:fill="DBE5F1"/>
          </w:tcPr>
          <w:p>
            <w:pPr>
              <w:jc w:val="center"/>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4A7EBB"/>
            </w:tcBorders>
            <w:shd w:val="clear" w:color="auto" w:fill="DBE5F1"/>
          </w:tcPr>
          <w:p>
            <w:pPr>
              <w:spacing w:after="0"/>
              <w:rPr>
                <w:sz w:val="16"/>
                <w:szCs w:val="16"/>
                <w:color w:val="auto"/>
              </w:rPr>
            </w:pPr>
          </w:p>
        </w:tc>
        <w:tc>
          <w:tcPr>
            <w:tcW w:w="1340" w:type="dxa"/>
            <w:vAlign w:val="bottom"/>
            <w:tcBorders>
              <w:bottom w:val="single" w:sz="8" w:color="4A7EBB"/>
            </w:tcBorders>
            <w:shd w:val="clear" w:color="auto" w:fill="DBE5F1"/>
          </w:tcPr>
          <w:p>
            <w:pPr>
              <w:jc w:val="center"/>
              <w:spacing w:after="0" w:line="189" w:lineRule="exact"/>
              <w:rPr>
                <w:sz w:val="20"/>
                <w:szCs w:val="20"/>
                <w:color w:val="auto"/>
              </w:rPr>
            </w:pPr>
            <w:r>
              <w:rPr>
                <w:rFonts w:ascii="Arial" w:cs="Arial" w:eastAsia="Arial" w:hAnsi="Arial"/>
                <w:sz w:val="13"/>
                <w:szCs w:val="13"/>
                <w:b w:val="1"/>
                <w:bCs w:val="1"/>
                <w:color w:val="auto"/>
              </w:rPr>
              <w:t>Stock Awards ($)</w:t>
            </w:r>
            <w:r>
              <w:rPr>
                <w:rFonts w:ascii="Arial" w:cs="Arial" w:eastAsia="Arial" w:hAnsi="Arial"/>
                <w:sz w:val="21"/>
                <w:szCs w:val="21"/>
                <w:b w:val="1"/>
                <w:bCs w:val="1"/>
                <w:color w:val="auto"/>
                <w:vertAlign w:val="superscript"/>
              </w:rPr>
              <w:t>(6)</w:t>
            </w:r>
          </w:p>
        </w:tc>
        <w:tc>
          <w:tcPr>
            <w:tcW w:w="0" w:type="dxa"/>
            <w:vAlign w:val="bottom"/>
          </w:tcPr>
          <w:p>
            <w:pPr>
              <w:spacing w:after="0"/>
              <w:rPr>
                <w:sz w:val="1"/>
                <w:szCs w:val="1"/>
                <w:color w:val="auto"/>
              </w:rPr>
            </w:pPr>
          </w:p>
        </w:tc>
      </w:tr>
      <w:tr>
        <w:trPr>
          <w:trHeight w:val="156"/>
        </w:trPr>
        <w:tc>
          <w:tcPr>
            <w:tcW w:w="2320" w:type="dxa"/>
            <w:vAlign w:val="bottom"/>
            <w:tcBorders>
              <w:bottom w:val="single" w:sz="8" w:color="4A7EBB"/>
            </w:tcBorders>
            <w:gridSpan w:val="2"/>
          </w:tcPr>
          <w:p>
            <w:pPr>
              <w:ind w:left="120"/>
              <w:spacing w:after="0" w:line="155" w:lineRule="exact"/>
              <w:rPr>
                <w:sz w:val="20"/>
                <w:szCs w:val="20"/>
                <w:color w:val="auto"/>
              </w:rPr>
            </w:pPr>
            <w:r>
              <w:rPr>
                <w:rFonts w:ascii="Arial" w:cs="Arial" w:eastAsia="Arial" w:hAnsi="Arial"/>
                <w:sz w:val="14"/>
                <w:szCs w:val="14"/>
                <w:b w:val="1"/>
                <w:bCs w:val="1"/>
                <w:color w:val="auto"/>
              </w:rPr>
              <w:t xml:space="preserve">Morris Goldfarb </w:t>
            </w:r>
            <w:r>
              <w:rPr>
                <w:rFonts w:ascii="Arial" w:cs="Arial" w:eastAsia="Arial" w:hAnsi="Arial"/>
                <w:sz w:val="14"/>
                <w:szCs w:val="14"/>
                <w:color w:val="auto"/>
              </w:rPr>
              <w:t>Annual Incentive</w:t>
            </w:r>
          </w:p>
        </w:tc>
        <w:tc>
          <w:tcPr>
            <w:tcW w:w="1320" w:type="dxa"/>
            <w:vAlign w:val="bottom"/>
            <w:tcBorders>
              <w:bottom w:val="single" w:sz="8" w:color="4A7EBB"/>
            </w:tcBorders>
          </w:tcPr>
          <w:p>
            <w:pPr>
              <w:jc w:val="center"/>
              <w:spacing w:after="0" w:line="155" w:lineRule="exact"/>
              <w:rPr>
                <w:sz w:val="20"/>
                <w:szCs w:val="20"/>
                <w:color w:val="auto"/>
              </w:rPr>
            </w:pPr>
            <w:r>
              <w:rPr>
                <w:rFonts w:ascii="Arial" w:cs="Arial" w:eastAsia="Arial" w:hAnsi="Arial"/>
                <w:sz w:val="14"/>
                <w:szCs w:val="14"/>
                <w:color w:val="auto"/>
              </w:rPr>
              <w:t>N/A</w:t>
            </w:r>
          </w:p>
        </w:tc>
        <w:tc>
          <w:tcPr>
            <w:tcW w:w="2280" w:type="dxa"/>
            <w:vAlign w:val="bottom"/>
            <w:tcBorders>
              <w:bottom w:val="single" w:sz="8" w:color="4A7EBB"/>
            </w:tcBorders>
            <w:gridSpan w:val="4"/>
          </w:tcPr>
          <w:p>
            <w:pPr>
              <w:jc w:val="right"/>
              <w:spacing w:after="0" w:line="155" w:lineRule="exact"/>
              <w:rPr>
                <w:sz w:val="20"/>
                <w:szCs w:val="20"/>
                <w:color w:val="auto"/>
              </w:rPr>
            </w:pPr>
            <w:r>
              <w:rPr>
                <w:rFonts w:ascii="Arial" w:cs="Arial" w:eastAsia="Arial" w:hAnsi="Arial"/>
                <w:sz w:val="14"/>
                <w:szCs w:val="14"/>
                <w:color w:val="auto"/>
              </w:rPr>
              <w:t>1,615,000 4,000,000 9,660,000</w:t>
            </w:r>
          </w:p>
        </w:tc>
        <w:tc>
          <w:tcPr>
            <w:tcW w:w="640" w:type="dxa"/>
            <w:vAlign w:val="bottom"/>
            <w:tcBorders>
              <w:bottom w:val="single" w:sz="8" w:color="4A7EBB"/>
            </w:tcBorders>
          </w:tcPr>
          <w:p>
            <w:pPr>
              <w:ind w:left="460"/>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4A7EBB"/>
            </w:tcBorders>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4A7EBB"/>
            </w:tcBorders>
          </w:tcPr>
          <w:p>
            <w:pPr>
              <w:ind w:left="440"/>
              <w:spacing w:after="0" w:line="155" w:lineRule="exact"/>
              <w:rPr>
                <w:sz w:val="20"/>
                <w:szCs w:val="20"/>
                <w:color w:val="auto"/>
              </w:rPr>
            </w:pPr>
            <w:r>
              <w:rPr>
                <w:rFonts w:ascii="Arial" w:cs="Arial" w:eastAsia="Arial" w:hAnsi="Arial"/>
                <w:sz w:val="14"/>
                <w:szCs w:val="14"/>
                <w:color w:val="auto"/>
              </w:rPr>
              <w:t>—</w:t>
            </w:r>
          </w:p>
        </w:tc>
        <w:tc>
          <w:tcPr>
            <w:tcW w:w="560" w:type="dxa"/>
            <w:vAlign w:val="bottom"/>
            <w:tcBorders>
              <w:bottom w:val="single" w:sz="8" w:color="4A7EBB"/>
            </w:tcBorders>
          </w:tcPr>
          <w:p>
            <w:pPr>
              <w:jc w:val="right"/>
              <w:spacing w:after="0" w:line="155"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4A7EBB"/>
            </w:tcBorders>
          </w:tcPr>
          <w:p>
            <w:pPr>
              <w:spacing w:after="0"/>
              <w:rPr>
                <w:sz w:val="13"/>
                <w:szCs w:val="13"/>
                <w:color w:val="auto"/>
              </w:rPr>
            </w:pPr>
          </w:p>
        </w:tc>
        <w:tc>
          <w:tcPr>
            <w:tcW w:w="1340" w:type="dxa"/>
            <w:vAlign w:val="bottom"/>
            <w:tcBorders>
              <w:bottom w:val="single" w:sz="8" w:color="4A7EBB"/>
            </w:tcBorders>
          </w:tcPr>
          <w:p>
            <w:pPr>
              <w:jc w:val="right"/>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1220" w:type="dxa"/>
            <w:vAlign w:val="bottom"/>
            <w:tcBorders>
              <w:bottom w:val="single" w:sz="8" w:color="4A7EBB"/>
            </w:tcBorders>
            <w:shd w:val="clear" w:color="auto" w:fill="F2F2F2"/>
          </w:tcPr>
          <w:p>
            <w:pPr>
              <w:spacing w:after="0"/>
              <w:rPr>
                <w:sz w:val="13"/>
                <w:szCs w:val="13"/>
                <w:color w:val="auto"/>
              </w:rPr>
            </w:pPr>
          </w:p>
        </w:tc>
        <w:tc>
          <w:tcPr>
            <w:tcW w:w="1100" w:type="dxa"/>
            <w:vAlign w:val="bottom"/>
            <w:tcBorders>
              <w:bottom w:val="single" w:sz="8" w:color="4A7EBB"/>
            </w:tcBorders>
            <w:shd w:val="clear" w:color="auto" w:fill="F2F2F2"/>
          </w:tcPr>
          <w:p>
            <w:pPr>
              <w:jc w:val="center"/>
              <w:spacing w:after="0" w:line="155" w:lineRule="exact"/>
              <w:rPr>
                <w:sz w:val="20"/>
                <w:szCs w:val="20"/>
                <w:color w:val="auto"/>
              </w:rPr>
            </w:pPr>
            <w:r>
              <w:rPr>
                <w:rFonts w:ascii="Arial" w:cs="Arial" w:eastAsia="Arial" w:hAnsi="Arial"/>
                <w:sz w:val="14"/>
                <w:szCs w:val="14"/>
                <w:color w:val="auto"/>
              </w:rPr>
              <w:t>PSUs</w:t>
            </w:r>
          </w:p>
        </w:tc>
        <w:tc>
          <w:tcPr>
            <w:tcW w:w="1320" w:type="dxa"/>
            <w:vAlign w:val="bottom"/>
            <w:tcBorders>
              <w:bottom w:val="single" w:sz="8" w:color="4A7EBB"/>
            </w:tcBorders>
            <w:shd w:val="clear" w:color="auto" w:fill="F2F2F2"/>
          </w:tcPr>
          <w:p>
            <w:pPr>
              <w:jc w:val="center"/>
              <w:spacing w:after="0" w:line="155" w:lineRule="exact"/>
              <w:rPr>
                <w:sz w:val="20"/>
                <w:szCs w:val="20"/>
                <w:color w:val="auto"/>
              </w:rPr>
            </w:pPr>
            <w:r>
              <w:rPr>
                <w:rFonts w:ascii="Arial" w:cs="Arial" w:eastAsia="Arial" w:hAnsi="Arial"/>
                <w:sz w:val="14"/>
                <w:szCs w:val="14"/>
                <w:color w:val="auto"/>
              </w:rPr>
              <w:t>March 19, 2025</w:t>
            </w:r>
          </w:p>
        </w:tc>
        <w:tc>
          <w:tcPr>
            <w:tcW w:w="140" w:type="dxa"/>
            <w:vAlign w:val="bottom"/>
            <w:tcBorders>
              <w:bottom w:val="single" w:sz="8" w:color="4A7EBB"/>
            </w:tcBorders>
            <w:shd w:val="clear" w:color="auto" w:fill="F2F2F2"/>
          </w:tcPr>
          <w:p>
            <w:pPr>
              <w:spacing w:after="0"/>
              <w:rPr>
                <w:sz w:val="13"/>
                <w:szCs w:val="13"/>
                <w:color w:val="auto"/>
              </w:rPr>
            </w:pPr>
          </w:p>
        </w:tc>
        <w:tc>
          <w:tcPr>
            <w:tcW w:w="680" w:type="dxa"/>
            <w:vAlign w:val="bottom"/>
            <w:tcBorders>
              <w:bottom w:val="single" w:sz="8" w:color="4A7EBB"/>
            </w:tcBorders>
            <w:shd w:val="clear" w:color="auto" w:fill="F2F2F2"/>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4A7EBB"/>
            </w:tcBorders>
            <w:shd w:val="clear" w:color="auto" w:fill="F2F2F2"/>
          </w:tcPr>
          <w:p>
            <w:pPr>
              <w:jc w:val="right"/>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4A7EBB"/>
            </w:tcBorders>
            <w:shd w:val="clear" w:color="auto" w:fill="F2F2F2"/>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4A7EBB"/>
            </w:tcBorders>
            <w:shd w:val="clear" w:color="auto" w:fill="F2F2F2"/>
          </w:tcPr>
          <w:p>
            <w:pPr>
              <w:jc w:val="center"/>
              <w:spacing w:after="0" w:line="155" w:lineRule="exact"/>
              <w:rPr>
                <w:sz w:val="20"/>
                <w:szCs w:val="20"/>
                <w:color w:val="auto"/>
              </w:rPr>
            </w:pPr>
            <w:r>
              <w:rPr>
                <w:rFonts w:ascii="Arial" w:cs="Arial" w:eastAsia="Arial" w:hAnsi="Arial"/>
                <w:sz w:val="14"/>
                <w:szCs w:val="14"/>
                <w:color w:val="auto"/>
              </w:rPr>
              <w:t>16,835</w:t>
            </w:r>
          </w:p>
        </w:tc>
        <w:tc>
          <w:tcPr>
            <w:tcW w:w="640" w:type="dxa"/>
            <w:vAlign w:val="bottom"/>
            <w:tcBorders>
              <w:bottom w:val="single" w:sz="8" w:color="4A7EBB"/>
            </w:tcBorders>
            <w:shd w:val="clear" w:color="auto" w:fill="F2F2F2"/>
          </w:tcPr>
          <w:p>
            <w:pPr>
              <w:jc w:val="center"/>
              <w:spacing w:after="0" w:line="155" w:lineRule="exact"/>
              <w:rPr>
                <w:sz w:val="20"/>
                <w:szCs w:val="20"/>
                <w:color w:val="auto"/>
              </w:rPr>
            </w:pPr>
            <w:r>
              <w:rPr>
                <w:rFonts w:ascii="Arial" w:cs="Arial" w:eastAsia="Arial" w:hAnsi="Arial"/>
                <w:sz w:val="14"/>
                <w:szCs w:val="14"/>
                <w:color w:val="auto"/>
              </w:rPr>
              <w:t>134,680</w:t>
            </w:r>
          </w:p>
        </w:tc>
        <w:tc>
          <w:tcPr>
            <w:tcW w:w="640" w:type="dxa"/>
            <w:vAlign w:val="bottom"/>
            <w:tcBorders>
              <w:bottom w:val="single" w:sz="8" w:color="4A7EBB"/>
            </w:tcBorders>
            <w:shd w:val="clear" w:color="auto" w:fill="F2F2F2"/>
          </w:tcPr>
          <w:p>
            <w:pPr>
              <w:jc w:val="center"/>
              <w:spacing w:after="0" w:line="155" w:lineRule="exact"/>
              <w:rPr>
                <w:sz w:val="20"/>
                <w:szCs w:val="20"/>
                <w:color w:val="auto"/>
              </w:rPr>
            </w:pPr>
            <w:r>
              <w:rPr>
                <w:rFonts w:ascii="Arial" w:cs="Arial" w:eastAsia="Arial" w:hAnsi="Arial"/>
                <w:sz w:val="14"/>
                <w:szCs w:val="14"/>
                <w:color w:val="auto"/>
              </w:rPr>
              <w:t>202,020</w:t>
            </w:r>
          </w:p>
        </w:tc>
        <w:tc>
          <w:tcPr>
            <w:tcW w:w="560" w:type="dxa"/>
            <w:vAlign w:val="bottom"/>
            <w:tcBorders>
              <w:bottom w:val="single" w:sz="8" w:color="4A7EBB"/>
            </w:tcBorders>
            <w:shd w:val="clear" w:color="auto" w:fill="F2F2F2"/>
          </w:tcPr>
          <w:p>
            <w:pPr>
              <w:jc w:val="right"/>
              <w:spacing w:after="0" w:line="155"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4A7EBB"/>
            </w:tcBorders>
            <w:shd w:val="clear" w:color="auto" w:fill="F2F2F2"/>
          </w:tcPr>
          <w:p>
            <w:pPr>
              <w:spacing w:after="0"/>
              <w:rPr>
                <w:sz w:val="13"/>
                <w:szCs w:val="13"/>
                <w:color w:val="auto"/>
              </w:rPr>
            </w:pPr>
          </w:p>
        </w:tc>
        <w:tc>
          <w:tcPr>
            <w:tcW w:w="1340" w:type="dxa"/>
            <w:vAlign w:val="bottom"/>
            <w:tcBorders>
              <w:bottom w:val="single" w:sz="8" w:color="4A7EBB"/>
            </w:tcBorders>
            <w:shd w:val="clear" w:color="auto" w:fill="F2F2F2"/>
          </w:tcPr>
          <w:p>
            <w:pPr>
              <w:jc w:val="right"/>
              <w:spacing w:after="0" w:line="155" w:lineRule="exact"/>
              <w:rPr>
                <w:sz w:val="20"/>
                <w:szCs w:val="20"/>
                <w:color w:val="auto"/>
              </w:rPr>
            </w:pPr>
            <w:r>
              <w:rPr>
                <w:rFonts w:ascii="Arial" w:cs="Arial" w:eastAsia="Arial" w:hAnsi="Arial"/>
                <w:sz w:val="14"/>
                <w:szCs w:val="14"/>
                <w:color w:val="auto"/>
              </w:rPr>
              <w:t>$3,599,996</w:t>
            </w:r>
          </w:p>
        </w:tc>
        <w:tc>
          <w:tcPr>
            <w:tcW w:w="0" w:type="dxa"/>
            <w:vAlign w:val="bottom"/>
          </w:tcPr>
          <w:p>
            <w:pPr>
              <w:spacing w:after="0"/>
              <w:rPr>
                <w:sz w:val="1"/>
                <w:szCs w:val="1"/>
                <w:color w:val="auto"/>
              </w:rPr>
            </w:pPr>
          </w:p>
        </w:tc>
      </w:tr>
      <w:tr>
        <w:trPr>
          <w:trHeight w:val="183"/>
        </w:trPr>
        <w:tc>
          <w:tcPr>
            <w:tcW w:w="1220" w:type="dxa"/>
            <w:vAlign w:val="bottom"/>
            <w:tcBorders>
              <w:bottom w:val="single" w:sz="8" w:color="4A7EBB"/>
            </w:tcBorders>
          </w:tcPr>
          <w:p>
            <w:pPr>
              <w:spacing w:after="0"/>
              <w:rPr>
                <w:sz w:val="15"/>
                <w:szCs w:val="15"/>
                <w:color w:val="auto"/>
              </w:rPr>
            </w:pPr>
          </w:p>
        </w:tc>
        <w:tc>
          <w:tcPr>
            <w:tcW w:w="1100" w:type="dxa"/>
            <w:vAlign w:val="bottom"/>
            <w:tcBorders>
              <w:bottom w:val="single" w:sz="8" w:color="4A7EBB"/>
            </w:tcBorders>
          </w:tcPr>
          <w:p>
            <w:pPr>
              <w:jc w:val="center"/>
              <w:spacing w:after="0"/>
              <w:rPr>
                <w:sz w:val="20"/>
                <w:szCs w:val="20"/>
                <w:color w:val="auto"/>
              </w:rPr>
            </w:pPr>
            <w:r>
              <w:rPr>
                <w:rFonts w:ascii="Arial" w:cs="Arial" w:eastAsia="Arial" w:hAnsi="Arial"/>
                <w:sz w:val="14"/>
                <w:szCs w:val="14"/>
                <w:color w:val="auto"/>
              </w:rPr>
              <w:t>RSUs</w:t>
            </w:r>
          </w:p>
        </w:tc>
        <w:tc>
          <w:tcPr>
            <w:tcW w:w="1320" w:type="dxa"/>
            <w:vAlign w:val="bottom"/>
            <w:tcBorders>
              <w:bottom w:val="single" w:sz="8" w:color="4A7EBB"/>
            </w:tcBorders>
          </w:tcPr>
          <w:p>
            <w:pPr>
              <w:jc w:val="center"/>
              <w:spacing w:after="0"/>
              <w:rPr>
                <w:sz w:val="20"/>
                <w:szCs w:val="20"/>
                <w:color w:val="auto"/>
              </w:rPr>
            </w:pPr>
            <w:r>
              <w:rPr>
                <w:rFonts w:ascii="Arial" w:cs="Arial" w:eastAsia="Arial" w:hAnsi="Arial"/>
                <w:sz w:val="14"/>
                <w:szCs w:val="14"/>
                <w:color w:val="auto"/>
              </w:rPr>
              <w:t>March 19, 2025</w:t>
            </w:r>
          </w:p>
        </w:tc>
        <w:tc>
          <w:tcPr>
            <w:tcW w:w="140" w:type="dxa"/>
            <w:vAlign w:val="bottom"/>
            <w:tcBorders>
              <w:bottom w:val="single" w:sz="8" w:color="4A7EBB"/>
            </w:tcBorders>
          </w:tcPr>
          <w:p>
            <w:pPr>
              <w:spacing w:after="0"/>
              <w:rPr>
                <w:sz w:val="15"/>
                <w:szCs w:val="15"/>
                <w:color w:val="auto"/>
              </w:rPr>
            </w:pPr>
          </w:p>
        </w:tc>
        <w:tc>
          <w:tcPr>
            <w:tcW w:w="680" w:type="dxa"/>
            <w:vAlign w:val="bottom"/>
            <w:tcBorders>
              <w:bottom w:val="single" w:sz="8" w:color="4A7EBB"/>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4A7EBB"/>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4A7EBB"/>
            </w:tcBorders>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4A7EBB"/>
            </w:tcBorders>
          </w:tcPr>
          <w:p>
            <w:pPr>
              <w:ind w:left="46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4A7EBB"/>
            </w:tcBorders>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4A7EBB"/>
            </w:tcBorders>
          </w:tcPr>
          <w:p>
            <w:pPr>
              <w:ind w:left="44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4A7EBB"/>
            </w:tcBorders>
          </w:tcPr>
          <w:p>
            <w:pPr>
              <w:jc w:val="right"/>
              <w:spacing w:after="0"/>
              <w:rPr>
                <w:sz w:val="20"/>
                <w:szCs w:val="20"/>
                <w:color w:val="auto"/>
              </w:rPr>
            </w:pPr>
            <w:r>
              <w:rPr>
                <w:rFonts w:ascii="Arial" w:cs="Arial" w:eastAsia="Arial" w:hAnsi="Arial"/>
                <w:sz w:val="14"/>
                <w:szCs w:val="14"/>
                <w:color w:val="auto"/>
              </w:rPr>
              <w:t>89,786</w:t>
            </w:r>
          </w:p>
        </w:tc>
        <w:tc>
          <w:tcPr>
            <w:tcW w:w="180" w:type="dxa"/>
            <w:vAlign w:val="bottom"/>
            <w:tcBorders>
              <w:bottom w:val="single" w:sz="8" w:color="4A7EBB"/>
            </w:tcBorders>
          </w:tcPr>
          <w:p>
            <w:pPr>
              <w:jc w:val="right"/>
              <w:spacing w:after="0"/>
              <w:rPr>
                <w:sz w:val="20"/>
                <w:szCs w:val="20"/>
                <w:color w:val="auto"/>
              </w:rPr>
            </w:pPr>
            <w:r>
              <w:rPr>
                <w:rFonts w:ascii="Arial" w:cs="Arial" w:eastAsia="Arial" w:hAnsi="Arial"/>
                <w:sz w:val="12"/>
                <w:szCs w:val="12"/>
                <w:color w:val="auto"/>
                <w:w w:val="95"/>
              </w:rPr>
              <w:t>(3)</w:t>
            </w:r>
          </w:p>
        </w:tc>
        <w:tc>
          <w:tcPr>
            <w:tcW w:w="1340" w:type="dxa"/>
            <w:vAlign w:val="bottom"/>
            <w:tcBorders>
              <w:bottom w:val="single" w:sz="8" w:color="4A7EBB"/>
            </w:tcBorders>
          </w:tcPr>
          <w:p>
            <w:pPr>
              <w:jc w:val="right"/>
              <w:spacing w:after="0"/>
              <w:rPr>
                <w:sz w:val="20"/>
                <w:szCs w:val="20"/>
                <w:color w:val="auto"/>
              </w:rPr>
            </w:pPr>
            <w:r>
              <w:rPr>
                <w:rFonts w:ascii="Arial" w:cs="Arial" w:eastAsia="Arial" w:hAnsi="Arial"/>
                <w:sz w:val="14"/>
                <w:szCs w:val="14"/>
                <w:color w:val="auto"/>
              </w:rPr>
              <w:t>$2,399,980</w:t>
            </w:r>
          </w:p>
        </w:tc>
        <w:tc>
          <w:tcPr>
            <w:tcW w:w="0" w:type="dxa"/>
            <w:vAlign w:val="bottom"/>
          </w:tcPr>
          <w:p>
            <w:pPr>
              <w:spacing w:after="0"/>
              <w:rPr>
                <w:sz w:val="1"/>
                <w:szCs w:val="1"/>
                <w:color w:val="auto"/>
              </w:rPr>
            </w:pPr>
          </w:p>
        </w:tc>
      </w:tr>
      <w:tr>
        <w:trPr>
          <w:trHeight w:val="183"/>
        </w:trPr>
        <w:tc>
          <w:tcPr>
            <w:tcW w:w="1220" w:type="dxa"/>
            <w:vAlign w:val="bottom"/>
            <w:tcBorders>
              <w:bottom w:val="single" w:sz="8" w:color="4A7EBB"/>
            </w:tcBorders>
            <w:shd w:val="clear" w:color="auto" w:fill="F2F2F2"/>
          </w:tcPr>
          <w:p>
            <w:pPr>
              <w:ind w:left="120"/>
              <w:spacing w:after="0"/>
              <w:rPr>
                <w:sz w:val="20"/>
                <w:szCs w:val="20"/>
                <w:color w:val="auto"/>
              </w:rPr>
            </w:pPr>
            <w:r>
              <w:rPr>
                <w:rFonts w:ascii="Arial" w:cs="Arial" w:eastAsia="Arial" w:hAnsi="Arial"/>
                <w:sz w:val="14"/>
                <w:szCs w:val="14"/>
                <w:b w:val="1"/>
                <w:bCs w:val="1"/>
                <w:color w:val="auto"/>
              </w:rPr>
              <w:t>Sammy Aaron</w:t>
            </w:r>
          </w:p>
        </w:tc>
        <w:tc>
          <w:tcPr>
            <w:tcW w:w="1100" w:type="dxa"/>
            <w:vAlign w:val="bottom"/>
            <w:tcBorders>
              <w:bottom w:val="single" w:sz="8" w:color="4A7EBB"/>
            </w:tcBorders>
            <w:shd w:val="clear" w:color="auto" w:fill="F2F2F2"/>
          </w:tcPr>
          <w:p>
            <w:pPr>
              <w:jc w:val="center"/>
              <w:spacing w:after="0"/>
              <w:rPr>
                <w:sz w:val="20"/>
                <w:szCs w:val="20"/>
                <w:color w:val="auto"/>
              </w:rPr>
            </w:pPr>
            <w:r>
              <w:rPr>
                <w:rFonts w:ascii="Arial" w:cs="Arial" w:eastAsia="Arial" w:hAnsi="Arial"/>
                <w:sz w:val="14"/>
                <w:szCs w:val="14"/>
                <w:color w:val="auto"/>
              </w:rPr>
              <w:t>Annual Incentive</w:t>
            </w:r>
          </w:p>
        </w:tc>
        <w:tc>
          <w:tcPr>
            <w:tcW w:w="1320" w:type="dxa"/>
            <w:vAlign w:val="bottom"/>
            <w:tcBorders>
              <w:bottom w:val="single" w:sz="8" w:color="4A7EBB"/>
            </w:tcBorders>
            <w:shd w:val="clear" w:color="auto" w:fill="F2F2F2"/>
          </w:tcPr>
          <w:p>
            <w:pPr>
              <w:jc w:val="center"/>
              <w:spacing w:after="0"/>
              <w:rPr>
                <w:sz w:val="20"/>
                <w:szCs w:val="20"/>
                <w:color w:val="auto"/>
              </w:rPr>
            </w:pPr>
            <w:r>
              <w:rPr>
                <w:rFonts w:ascii="Arial" w:cs="Arial" w:eastAsia="Arial" w:hAnsi="Arial"/>
                <w:sz w:val="14"/>
                <w:szCs w:val="14"/>
                <w:color w:val="auto"/>
              </w:rPr>
              <w:t>N/A</w:t>
            </w:r>
          </w:p>
        </w:tc>
        <w:tc>
          <w:tcPr>
            <w:tcW w:w="2280" w:type="dxa"/>
            <w:vAlign w:val="bottom"/>
            <w:tcBorders>
              <w:bottom w:val="single" w:sz="8" w:color="4A7EBB"/>
            </w:tcBorders>
            <w:gridSpan w:val="4"/>
            <w:shd w:val="clear" w:color="auto" w:fill="F2F2F2"/>
          </w:tcPr>
          <w:p>
            <w:pPr>
              <w:jc w:val="right"/>
              <w:spacing w:after="0"/>
              <w:rPr>
                <w:sz w:val="20"/>
                <w:szCs w:val="20"/>
                <w:color w:val="auto"/>
              </w:rPr>
            </w:pPr>
            <w:r>
              <w:rPr>
                <w:rFonts w:ascii="Arial" w:cs="Arial" w:eastAsia="Arial" w:hAnsi="Arial"/>
                <w:sz w:val="14"/>
                <w:szCs w:val="14"/>
                <w:color w:val="auto"/>
              </w:rPr>
              <w:t>1,211,250 3,000,000 7,245,000</w:t>
            </w:r>
          </w:p>
        </w:tc>
        <w:tc>
          <w:tcPr>
            <w:tcW w:w="640" w:type="dxa"/>
            <w:vAlign w:val="bottom"/>
            <w:tcBorders>
              <w:bottom w:val="single" w:sz="8" w:color="4A7EBB"/>
            </w:tcBorders>
            <w:shd w:val="clear" w:color="auto" w:fill="F2F2F2"/>
          </w:tcPr>
          <w:p>
            <w:pPr>
              <w:ind w:left="46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4A7EBB"/>
            </w:tcBorders>
            <w:shd w:val="clear" w:color="auto" w:fill="F2F2F2"/>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4A7EBB"/>
            </w:tcBorders>
            <w:shd w:val="clear" w:color="auto" w:fill="F2F2F2"/>
          </w:tcPr>
          <w:p>
            <w:pPr>
              <w:ind w:left="44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4A7EBB"/>
            </w:tcBorders>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4A7EBB"/>
            </w:tcBorders>
            <w:shd w:val="clear" w:color="auto" w:fill="F2F2F2"/>
          </w:tcPr>
          <w:p>
            <w:pPr>
              <w:spacing w:after="0"/>
              <w:rPr>
                <w:sz w:val="15"/>
                <w:szCs w:val="15"/>
                <w:color w:val="auto"/>
              </w:rPr>
            </w:pPr>
          </w:p>
        </w:tc>
        <w:tc>
          <w:tcPr>
            <w:tcW w:w="1340" w:type="dxa"/>
            <w:vAlign w:val="bottom"/>
            <w:tcBorders>
              <w:bottom w:val="single" w:sz="8" w:color="4A7EBB"/>
            </w:tcBorders>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1220" w:type="dxa"/>
            <w:vAlign w:val="bottom"/>
            <w:tcBorders>
              <w:bottom w:val="single" w:sz="8" w:color="4A7EBB"/>
            </w:tcBorders>
          </w:tcPr>
          <w:p>
            <w:pPr>
              <w:spacing w:after="0"/>
              <w:rPr>
                <w:sz w:val="15"/>
                <w:szCs w:val="15"/>
                <w:color w:val="auto"/>
              </w:rPr>
            </w:pPr>
          </w:p>
        </w:tc>
        <w:tc>
          <w:tcPr>
            <w:tcW w:w="1100" w:type="dxa"/>
            <w:vAlign w:val="bottom"/>
            <w:tcBorders>
              <w:bottom w:val="single" w:sz="8" w:color="4A7EBB"/>
            </w:tcBorders>
          </w:tcPr>
          <w:p>
            <w:pPr>
              <w:jc w:val="center"/>
              <w:spacing w:after="0"/>
              <w:rPr>
                <w:sz w:val="20"/>
                <w:szCs w:val="20"/>
                <w:color w:val="auto"/>
              </w:rPr>
            </w:pPr>
            <w:r>
              <w:rPr>
                <w:rFonts w:ascii="Arial" w:cs="Arial" w:eastAsia="Arial" w:hAnsi="Arial"/>
                <w:sz w:val="14"/>
                <w:szCs w:val="14"/>
                <w:color w:val="auto"/>
              </w:rPr>
              <w:t>PSUs</w:t>
            </w:r>
          </w:p>
        </w:tc>
        <w:tc>
          <w:tcPr>
            <w:tcW w:w="1320" w:type="dxa"/>
            <w:vAlign w:val="bottom"/>
            <w:tcBorders>
              <w:bottom w:val="single" w:sz="8" w:color="4A7EBB"/>
            </w:tcBorders>
          </w:tcPr>
          <w:p>
            <w:pPr>
              <w:jc w:val="center"/>
              <w:spacing w:after="0"/>
              <w:rPr>
                <w:sz w:val="20"/>
                <w:szCs w:val="20"/>
                <w:color w:val="auto"/>
              </w:rPr>
            </w:pPr>
            <w:r>
              <w:rPr>
                <w:rFonts w:ascii="Arial" w:cs="Arial" w:eastAsia="Arial" w:hAnsi="Arial"/>
                <w:sz w:val="14"/>
                <w:szCs w:val="14"/>
                <w:color w:val="auto"/>
              </w:rPr>
              <w:t>March 19, 2025</w:t>
            </w:r>
          </w:p>
        </w:tc>
        <w:tc>
          <w:tcPr>
            <w:tcW w:w="140" w:type="dxa"/>
            <w:vAlign w:val="bottom"/>
            <w:tcBorders>
              <w:bottom w:val="single" w:sz="8" w:color="4A7EBB"/>
            </w:tcBorders>
          </w:tcPr>
          <w:p>
            <w:pPr>
              <w:spacing w:after="0"/>
              <w:rPr>
                <w:sz w:val="15"/>
                <w:szCs w:val="15"/>
                <w:color w:val="auto"/>
              </w:rPr>
            </w:pPr>
          </w:p>
        </w:tc>
        <w:tc>
          <w:tcPr>
            <w:tcW w:w="680" w:type="dxa"/>
            <w:vAlign w:val="bottom"/>
            <w:tcBorders>
              <w:bottom w:val="single" w:sz="8" w:color="4A7EBB"/>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4A7EBB"/>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4A7EBB"/>
            </w:tcBorders>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4A7EBB"/>
            </w:tcBorders>
          </w:tcPr>
          <w:p>
            <w:pPr>
              <w:jc w:val="center"/>
              <w:spacing w:after="0"/>
              <w:rPr>
                <w:sz w:val="20"/>
                <w:szCs w:val="20"/>
                <w:color w:val="auto"/>
              </w:rPr>
            </w:pPr>
            <w:r>
              <w:rPr>
                <w:rFonts w:ascii="Arial" w:cs="Arial" w:eastAsia="Arial" w:hAnsi="Arial"/>
                <w:sz w:val="14"/>
                <w:szCs w:val="14"/>
                <w:color w:val="auto"/>
              </w:rPr>
              <w:t>12,626</w:t>
            </w:r>
          </w:p>
        </w:tc>
        <w:tc>
          <w:tcPr>
            <w:tcW w:w="640" w:type="dxa"/>
            <w:vAlign w:val="bottom"/>
            <w:tcBorders>
              <w:bottom w:val="single" w:sz="8" w:color="4A7EBB"/>
            </w:tcBorders>
          </w:tcPr>
          <w:p>
            <w:pPr>
              <w:jc w:val="center"/>
              <w:spacing w:after="0"/>
              <w:rPr>
                <w:sz w:val="20"/>
                <w:szCs w:val="20"/>
                <w:color w:val="auto"/>
              </w:rPr>
            </w:pPr>
            <w:r>
              <w:rPr>
                <w:rFonts w:ascii="Arial" w:cs="Arial" w:eastAsia="Arial" w:hAnsi="Arial"/>
                <w:sz w:val="14"/>
                <w:szCs w:val="14"/>
                <w:color w:val="auto"/>
              </w:rPr>
              <w:t>101,010</w:t>
            </w:r>
          </w:p>
        </w:tc>
        <w:tc>
          <w:tcPr>
            <w:tcW w:w="640" w:type="dxa"/>
            <w:vAlign w:val="bottom"/>
            <w:tcBorders>
              <w:bottom w:val="single" w:sz="8" w:color="4A7EBB"/>
            </w:tcBorders>
          </w:tcPr>
          <w:p>
            <w:pPr>
              <w:jc w:val="center"/>
              <w:spacing w:after="0"/>
              <w:rPr>
                <w:sz w:val="20"/>
                <w:szCs w:val="20"/>
                <w:color w:val="auto"/>
              </w:rPr>
            </w:pPr>
            <w:r>
              <w:rPr>
                <w:rFonts w:ascii="Arial" w:cs="Arial" w:eastAsia="Arial" w:hAnsi="Arial"/>
                <w:sz w:val="14"/>
                <w:szCs w:val="14"/>
                <w:color w:val="auto"/>
              </w:rPr>
              <w:t>151,515</w:t>
            </w:r>
          </w:p>
        </w:tc>
        <w:tc>
          <w:tcPr>
            <w:tcW w:w="560" w:type="dxa"/>
            <w:vAlign w:val="bottom"/>
            <w:tcBorders>
              <w:bottom w:val="single" w:sz="8" w:color="4A7EBB"/>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4A7EBB"/>
            </w:tcBorders>
          </w:tcPr>
          <w:p>
            <w:pPr>
              <w:spacing w:after="0"/>
              <w:rPr>
                <w:sz w:val="15"/>
                <w:szCs w:val="15"/>
                <w:color w:val="auto"/>
              </w:rPr>
            </w:pPr>
          </w:p>
        </w:tc>
        <w:tc>
          <w:tcPr>
            <w:tcW w:w="1340" w:type="dxa"/>
            <w:vAlign w:val="bottom"/>
            <w:tcBorders>
              <w:bottom w:val="single" w:sz="8" w:color="4A7EBB"/>
            </w:tcBorders>
          </w:tcPr>
          <w:p>
            <w:pPr>
              <w:jc w:val="right"/>
              <w:spacing w:after="0"/>
              <w:rPr>
                <w:sz w:val="20"/>
                <w:szCs w:val="20"/>
                <w:color w:val="auto"/>
              </w:rPr>
            </w:pPr>
            <w:r>
              <w:rPr>
                <w:rFonts w:ascii="Arial" w:cs="Arial" w:eastAsia="Arial" w:hAnsi="Arial"/>
                <w:sz w:val="14"/>
                <w:szCs w:val="14"/>
                <w:color w:val="auto"/>
              </w:rPr>
              <w:t>$2,699,997</w:t>
            </w:r>
          </w:p>
        </w:tc>
        <w:tc>
          <w:tcPr>
            <w:tcW w:w="0" w:type="dxa"/>
            <w:vAlign w:val="bottom"/>
          </w:tcPr>
          <w:p>
            <w:pPr>
              <w:spacing w:after="0"/>
              <w:rPr>
                <w:sz w:val="1"/>
                <w:szCs w:val="1"/>
                <w:color w:val="auto"/>
              </w:rPr>
            </w:pPr>
          </w:p>
        </w:tc>
      </w:tr>
      <w:tr>
        <w:trPr>
          <w:trHeight w:val="183"/>
        </w:trPr>
        <w:tc>
          <w:tcPr>
            <w:tcW w:w="1220" w:type="dxa"/>
            <w:vAlign w:val="bottom"/>
            <w:tcBorders>
              <w:bottom w:val="single" w:sz="8" w:color="4A7EBB"/>
            </w:tcBorders>
            <w:shd w:val="clear" w:color="auto" w:fill="F2F2F2"/>
          </w:tcPr>
          <w:p>
            <w:pPr>
              <w:spacing w:after="0"/>
              <w:rPr>
                <w:sz w:val="15"/>
                <w:szCs w:val="15"/>
                <w:color w:val="auto"/>
              </w:rPr>
            </w:pPr>
          </w:p>
        </w:tc>
        <w:tc>
          <w:tcPr>
            <w:tcW w:w="1100" w:type="dxa"/>
            <w:vAlign w:val="bottom"/>
            <w:tcBorders>
              <w:bottom w:val="single" w:sz="8" w:color="4A7EBB"/>
            </w:tcBorders>
            <w:shd w:val="clear" w:color="auto" w:fill="F2F2F2"/>
          </w:tcPr>
          <w:p>
            <w:pPr>
              <w:jc w:val="center"/>
              <w:spacing w:after="0"/>
              <w:rPr>
                <w:sz w:val="20"/>
                <w:szCs w:val="20"/>
                <w:color w:val="auto"/>
              </w:rPr>
            </w:pPr>
            <w:r>
              <w:rPr>
                <w:rFonts w:ascii="Arial" w:cs="Arial" w:eastAsia="Arial" w:hAnsi="Arial"/>
                <w:sz w:val="14"/>
                <w:szCs w:val="14"/>
                <w:color w:val="auto"/>
              </w:rPr>
              <w:t>RSUs</w:t>
            </w:r>
          </w:p>
        </w:tc>
        <w:tc>
          <w:tcPr>
            <w:tcW w:w="1320" w:type="dxa"/>
            <w:vAlign w:val="bottom"/>
            <w:tcBorders>
              <w:bottom w:val="single" w:sz="8" w:color="4A7EBB"/>
            </w:tcBorders>
            <w:shd w:val="clear" w:color="auto" w:fill="F2F2F2"/>
          </w:tcPr>
          <w:p>
            <w:pPr>
              <w:jc w:val="center"/>
              <w:spacing w:after="0"/>
              <w:rPr>
                <w:sz w:val="20"/>
                <w:szCs w:val="20"/>
                <w:color w:val="auto"/>
              </w:rPr>
            </w:pPr>
            <w:r>
              <w:rPr>
                <w:rFonts w:ascii="Arial" w:cs="Arial" w:eastAsia="Arial" w:hAnsi="Arial"/>
                <w:sz w:val="14"/>
                <w:szCs w:val="14"/>
                <w:color w:val="auto"/>
              </w:rPr>
              <w:t>March 19, 2025</w:t>
            </w:r>
          </w:p>
        </w:tc>
        <w:tc>
          <w:tcPr>
            <w:tcW w:w="140" w:type="dxa"/>
            <w:vAlign w:val="bottom"/>
            <w:tcBorders>
              <w:bottom w:val="single" w:sz="8" w:color="4A7EBB"/>
            </w:tcBorders>
            <w:shd w:val="clear" w:color="auto" w:fill="F2F2F2"/>
          </w:tcPr>
          <w:p>
            <w:pPr>
              <w:spacing w:after="0"/>
              <w:rPr>
                <w:sz w:val="15"/>
                <w:szCs w:val="15"/>
                <w:color w:val="auto"/>
              </w:rPr>
            </w:pPr>
          </w:p>
        </w:tc>
        <w:tc>
          <w:tcPr>
            <w:tcW w:w="680" w:type="dxa"/>
            <w:vAlign w:val="bottom"/>
            <w:tcBorders>
              <w:bottom w:val="single" w:sz="8" w:color="4A7EBB"/>
            </w:tcBorders>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4A7EBB"/>
            </w:tcBorders>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4A7EBB"/>
            </w:tcBorders>
            <w:shd w:val="clear" w:color="auto" w:fill="F2F2F2"/>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4A7EBB"/>
            </w:tcBorders>
            <w:shd w:val="clear" w:color="auto" w:fill="F2F2F2"/>
          </w:tcPr>
          <w:p>
            <w:pPr>
              <w:ind w:left="46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4A7EBB"/>
            </w:tcBorders>
            <w:shd w:val="clear" w:color="auto" w:fill="F2F2F2"/>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4A7EBB"/>
            </w:tcBorders>
            <w:shd w:val="clear" w:color="auto" w:fill="F2F2F2"/>
          </w:tcPr>
          <w:p>
            <w:pPr>
              <w:ind w:left="44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4A7EBB"/>
            </w:tcBorders>
            <w:shd w:val="clear" w:color="auto" w:fill="F2F2F2"/>
          </w:tcPr>
          <w:p>
            <w:pPr>
              <w:jc w:val="right"/>
              <w:spacing w:after="0"/>
              <w:rPr>
                <w:sz w:val="20"/>
                <w:szCs w:val="20"/>
                <w:color w:val="auto"/>
              </w:rPr>
            </w:pPr>
            <w:r>
              <w:rPr>
                <w:rFonts w:ascii="Arial" w:cs="Arial" w:eastAsia="Arial" w:hAnsi="Arial"/>
                <w:sz w:val="14"/>
                <w:szCs w:val="14"/>
                <w:color w:val="auto"/>
              </w:rPr>
              <w:t>67,340</w:t>
            </w:r>
          </w:p>
        </w:tc>
        <w:tc>
          <w:tcPr>
            <w:tcW w:w="180" w:type="dxa"/>
            <w:vAlign w:val="bottom"/>
            <w:tcBorders>
              <w:bottom w:val="single" w:sz="8" w:color="4A7EBB"/>
            </w:tcBorders>
            <w:shd w:val="clear" w:color="auto" w:fill="F2F2F2"/>
          </w:tcPr>
          <w:p>
            <w:pPr>
              <w:jc w:val="right"/>
              <w:spacing w:after="0"/>
              <w:rPr>
                <w:sz w:val="20"/>
                <w:szCs w:val="20"/>
                <w:color w:val="auto"/>
              </w:rPr>
            </w:pPr>
            <w:r>
              <w:rPr>
                <w:rFonts w:ascii="Arial" w:cs="Arial" w:eastAsia="Arial" w:hAnsi="Arial"/>
                <w:sz w:val="12"/>
                <w:szCs w:val="12"/>
                <w:color w:val="auto"/>
                <w:w w:val="95"/>
              </w:rPr>
              <w:t>(3)</w:t>
            </w:r>
          </w:p>
        </w:tc>
        <w:tc>
          <w:tcPr>
            <w:tcW w:w="1340" w:type="dxa"/>
            <w:vAlign w:val="bottom"/>
            <w:tcBorders>
              <w:bottom w:val="single" w:sz="8" w:color="4A7EBB"/>
            </w:tcBorders>
            <w:shd w:val="clear" w:color="auto" w:fill="F2F2F2"/>
          </w:tcPr>
          <w:p>
            <w:pPr>
              <w:jc w:val="right"/>
              <w:spacing w:after="0"/>
              <w:rPr>
                <w:sz w:val="20"/>
                <w:szCs w:val="20"/>
                <w:color w:val="auto"/>
              </w:rPr>
            </w:pPr>
            <w:r>
              <w:rPr>
                <w:rFonts w:ascii="Arial" w:cs="Arial" w:eastAsia="Arial" w:hAnsi="Arial"/>
                <w:sz w:val="14"/>
                <w:szCs w:val="14"/>
                <w:color w:val="auto"/>
              </w:rPr>
              <w:t>$1,799,998</w:t>
            </w:r>
          </w:p>
        </w:tc>
        <w:tc>
          <w:tcPr>
            <w:tcW w:w="0" w:type="dxa"/>
            <w:vAlign w:val="bottom"/>
          </w:tcPr>
          <w:p>
            <w:pPr>
              <w:spacing w:after="0"/>
              <w:rPr>
                <w:sz w:val="1"/>
                <w:szCs w:val="1"/>
                <w:color w:val="auto"/>
              </w:rPr>
            </w:pPr>
          </w:p>
        </w:tc>
      </w:tr>
      <w:tr>
        <w:trPr>
          <w:trHeight w:val="146"/>
        </w:trPr>
        <w:tc>
          <w:tcPr>
            <w:tcW w:w="1220" w:type="dxa"/>
            <w:vAlign w:val="bottom"/>
          </w:tcPr>
          <w:p>
            <w:pPr>
              <w:ind w:left="120"/>
              <w:spacing w:after="0" w:line="147" w:lineRule="exact"/>
              <w:rPr>
                <w:sz w:val="20"/>
                <w:szCs w:val="20"/>
                <w:color w:val="auto"/>
              </w:rPr>
            </w:pPr>
            <w:r>
              <w:rPr>
                <w:rFonts w:ascii="Arial" w:cs="Arial" w:eastAsia="Arial" w:hAnsi="Arial"/>
                <w:sz w:val="14"/>
                <w:szCs w:val="14"/>
                <w:b w:val="1"/>
                <w:bCs w:val="1"/>
                <w:color w:val="auto"/>
              </w:rPr>
              <w:t>Neal S.</w:t>
            </w:r>
          </w:p>
        </w:tc>
        <w:tc>
          <w:tcPr>
            <w:tcW w:w="1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20" w:type="dxa"/>
            <w:vAlign w:val="bottom"/>
            <w:tcBorders>
              <w:bottom w:val="single" w:sz="8" w:color="4A7EBB"/>
            </w:tcBorders>
          </w:tcPr>
          <w:p>
            <w:pPr>
              <w:ind w:left="120"/>
              <w:spacing w:after="0"/>
              <w:rPr>
                <w:sz w:val="20"/>
                <w:szCs w:val="20"/>
                <w:color w:val="auto"/>
              </w:rPr>
            </w:pPr>
            <w:r>
              <w:rPr>
                <w:rFonts w:ascii="Arial" w:cs="Arial" w:eastAsia="Arial" w:hAnsi="Arial"/>
                <w:sz w:val="14"/>
                <w:szCs w:val="14"/>
                <w:b w:val="1"/>
                <w:bCs w:val="1"/>
                <w:color w:val="auto"/>
              </w:rPr>
              <w:t>Nackman</w:t>
            </w:r>
          </w:p>
        </w:tc>
        <w:tc>
          <w:tcPr>
            <w:tcW w:w="1100" w:type="dxa"/>
            <w:vAlign w:val="bottom"/>
            <w:tcBorders>
              <w:bottom w:val="single" w:sz="8" w:color="4A7EBB"/>
            </w:tcBorders>
          </w:tcPr>
          <w:p>
            <w:pPr>
              <w:jc w:val="center"/>
              <w:spacing w:after="0"/>
              <w:rPr>
                <w:sz w:val="20"/>
                <w:szCs w:val="20"/>
                <w:color w:val="auto"/>
              </w:rPr>
            </w:pPr>
            <w:r>
              <w:rPr>
                <w:rFonts w:ascii="Arial" w:cs="Arial" w:eastAsia="Arial" w:hAnsi="Arial"/>
                <w:sz w:val="14"/>
                <w:szCs w:val="14"/>
                <w:color w:val="auto"/>
              </w:rPr>
              <w:t>Annual Incentive</w:t>
            </w:r>
          </w:p>
        </w:tc>
        <w:tc>
          <w:tcPr>
            <w:tcW w:w="1320" w:type="dxa"/>
            <w:vAlign w:val="bottom"/>
            <w:tcBorders>
              <w:bottom w:val="single" w:sz="8" w:color="4A7EBB"/>
            </w:tcBorders>
          </w:tcPr>
          <w:p>
            <w:pPr>
              <w:jc w:val="center"/>
              <w:spacing w:after="0"/>
              <w:rPr>
                <w:sz w:val="20"/>
                <w:szCs w:val="20"/>
                <w:color w:val="auto"/>
              </w:rPr>
            </w:pPr>
            <w:r>
              <w:rPr>
                <w:rFonts w:ascii="Arial" w:cs="Arial" w:eastAsia="Arial" w:hAnsi="Arial"/>
                <w:sz w:val="14"/>
                <w:szCs w:val="14"/>
                <w:color w:val="auto"/>
              </w:rPr>
              <w:t>N/A</w:t>
            </w:r>
          </w:p>
        </w:tc>
        <w:tc>
          <w:tcPr>
            <w:tcW w:w="820" w:type="dxa"/>
            <w:vAlign w:val="bottom"/>
            <w:tcBorders>
              <w:bottom w:val="single" w:sz="8" w:color="4A7EBB"/>
            </w:tcBorders>
            <w:gridSpan w:val="2"/>
          </w:tcPr>
          <w:p>
            <w:pPr>
              <w:jc w:val="right"/>
              <w:spacing w:after="0"/>
              <w:rPr>
                <w:sz w:val="20"/>
                <w:szCs w:val="20"/>
                <w:color w:val="auto"/>
              </w:rPr>
            </w:pPr>
            <w:r>
              <w:rPr>
                <w:rFonts w:ascii="Arial" w:cs="Arial" w:eastAsia="Arial" w:hAnsi="Arial"/>
                <w:sz w:val="14"/>
                <w:szCs w:val="14"/>
                <w:color w:val="auto"/>
              </w:rPr>
              <w:t>302,813</w:t>
            </w:r>
          </w:p>
        </w:tc>
        <w:tc>
          <w:tcPr>
            <w:tcW w:w="720" w:type="dxa"/>
            <w:vAlign w:val="bottom"/>
            <w:tcBorders>
              <w:bottom w:val="single" w:sz="8" w:color="4A7EBB"/>
            </w:tcBorders>
          </w:tcPr>
          <w:p>
            <w:pPr>
              <w:jc w:val="right"/>
              <w:spacing w:after="0"/>
              <w:rPr>
                <w:sz w:val="20"/>
                <w:szCs w:val="20"/>
                <w:color w:val="auto"/>
              </w:rPr>
            </w:pPr>
            <w:r>
              <w:rPr>
                <w:rFonts w:ascii="Arial" w:cs="Arial" w:eastAsia="Arial" w:hAnsi="Arial"/>
                <w:sz w:val="14"/>
                <w:szCs w:val="14"/>
                <w:color w:val="auto"/>
              </w:rPr>
              <w:t>750,000</w:t>
            </w:r>
          </w:p>
        </w:tc>
        <w:tc>
          <w:tcPr>
            <w:tcW w:w="740" w:type="dxa"/>
            <w:vAlign w:val="bottom"/>
            <w:tcBorders>
              <w:bottom w:val="single" w:sz="8" w:color="4A7EBB"/>
            </w:tcBorders>
          </w:tcPr>
          <w:p>
            <w:pPr>
              <w:jc w:val="right"/>
              <w:spacing w:after="0"/>
              <w:rPr>
                <w:sz w:val="20"/>
                <w:szCs w:val="20"/>
                <w:color w:val="auto"/>
              </w:rPr>
            </w:pPr>
            <w:r>
              <w:rPr>
                <w:rFonts w:ascii="Arial" w:cs="Arial" w:eastAsia="Arial" w:hAnsi="Arial"/>
                <w:sz w:val="14"/>
                <w:szCs w:val="14"/>
                <w:color w:val="auto"/>
              </w:rPr>
              <w:t>1,500,000</w:t>
            </w:r>
          </w:p>
        </w:tc>
        <w:tc>
          <w:tcPr>
            <w:tcW w:w="640" w:type="dxa"/>
            <w:vAlign w:val="bottom"/>
            <w:tcBorders>
              <w:bottom w:val="single" w:sz="8" w:color="4A7EBB"/>
            </w:tcBorders>
          </w:tcPr>
          <w:p>
            <w:pPr>
              <w:ind w:left="46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4A7EBB"/>
            </w:tcBorders>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4A7EBB"/>
            </w:tcBorders>
          </w:tcPr>
          <w:p>
            <w:pPr>
              <w:ind w:left="44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4A7EBB"/>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4A7EBB"/>
            </w:tcBorders>
          </w:tcPr>
          <w:p>
            <w:pPr>
              <w:spacing w:after="0"/>
              <w:rPr>
                <w:sz w:val="14"/>
                <w:szCs w:val="14"/>
                <w:color w:val="auto"/>
              </w:rPr>
            </w:pPr>
          </w:p>
        </w:tc>
        <w:tc>
          <w:tcPr>
            <w:tcW w:w="1340" w:type="dxa"/>
            <w:vAlign w:val="bottom"/>
            <w:tcBorders>
              <w:bottom w:val="single" w:sz="8" w:color="4A7EBB"/>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1220" w:type="dxa"/>
            <w:vAlign w:val="bottom"/>
            <w:tcBorders>
              <w:bottom w:val="single" w:sz="8" w:color="4A7EBB"/>
            </w:tcBorders>
            <w:shd w:val="clear" w:color="auto" w:fill="F2F2F2"/>
          </w:tcPr>
          <w:p>
            <w:pPr>
              <w:spacing w:after="0"/>
              <w:rPr>
                <w:sz w:val="15"/>
                <w:szCs w:val="15"/>
                <w:color w:val="auto"/>
              </w:rPr>
            </w:pPr>
          </w:p>
        </w:tc>
        <w:tc>
          <w:tcPr>
            <w:tcW w:w="1100" w:type="dxa"/>
            <w:vAlign w:val="bottom"/>
            <w:tcBorders>
              <w:bottom w:val="single" w:sz="8" w:color="4A7EBB"/>
            </w:tcBorders>
            <w:shd w:val="clear" w:color="auto" w:fill="F2F2F2"/>
          </w:tcPr>
          <w:p>
            <w:pPr>
              <w:jc w:val="center"/>
              <w:spacing w:after="0"/>
              <w:rPr>
                <w:sz w:val="20"/>
                <w:szCs w:val="20"/>
                <w:color w:val="auto"/>
              </w:rPr>
            </w:pPr>
            <w:r>
              <w:rPr>
                <w:rFonts w:ascii="Arial" w:cs="Arial" w:eastAsia="Arial" w:hAnsi="Arial"/>
                <w:sz w:val="14"/>
                <w:szCs w:val="14"/>
                <w:color w:val="auto"/>
              </w:rPr>
              <w:t>PSUs</w:t>
            </w:r>
          </w:p>
        </w:tc>
        <w:tc>
          <w:tcPr>
            <w:tcW w:w="1320" w:type="dxa"/>
            <w:vAlign w:val="bottom"/>
            <w:tcBorders>
              <w:bottom w:val="single" w:sz="8" w:color="4A7EBB"/>
            </w:tcBorders>
            <w:shd w:val="clear" w:color="auto" w:fill="F2F2F2"/>
          </w:tcPr>
          <w:p>
            <w:pPr>
              <w:jc w:val="center"/>
              <w:spacing w:after="0"/>
              <w:rPr>
                <w:sz w:val="20"/>
                <w:szCs w:val="20"/>
                <w:color w:val="auto"/>
              </w:rPr>
            </w:pPr>
            <w:r>
              <w:rPr>
                <w:rFonts w:ascii="Arial" w:cs="Arial" w:eastAsia="Arial" w:hAnsi="Arial"/>
                <w:sz w:val="14"/>
                <w:szCs w:val="14"/>
                <w:color w:val="auto"/>
              </w:rPr>
              <w:t>March 19, 2025</w:t>
            </w:r>
          </w:p>
        </w:tc>
        <w:tc>
          <w:tcPr>
            <w:tcW w:w="140" w:type="dxa"/>
            <w:vAlign w:val="bottom"/>
            <w:tcBorders>
              <w:bottom w:val="single" w:sz="8" w:color="4A7EBB"/>
            </w:tcBorders>
            <w:shd w:val="clear" w:color="auto" w:fill="F2F2F2"/>
          </w:tcPr>
          <w:p>
            <w:pPr>
              <w:spacing w:after="0"/>
              <w:rPr>
                <w:sz w:val="15"/>
                <w:szCs w:val="15"/>
                <w:color w:val="auto"/>
              </w:rPr>
            </w:pPr>
          </w:p>
        </w:tc>
        <w:tc>
          <w:tcPr>
            <w:tcW w:w="680" w:type="dxa"/>
            <w:vAlign w:val="bottom"/>
            <w:tcBorders>
              <w:bottom w:val="single" w:sz="8" w:color="4A7EBB"/>
            </w:tcBorders>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4A7EBB"/>
            </w:tcBorders>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4A7EBB"/>
            </w:tcBorders>
            <w:shd w:val="clear" w:color="auto" w:fill="F2F2F2"/>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4A7EBB"/>
            </w:tcBorders>
            <w:shd w:val="clear" w:color="auto" w:fill="F2F2F2"/>
          </w:tcPr>
          <w:p>
            <w:pPr>
              <w:jc w:val="center"/>
              <w:spacing w:after="0"/>
              <w:rPr>
                <w:sz w:val="20"/>
                <w:szCs w:val="20"/>
                <w:color w:val="auto"/>
              </w:rPr>
            </w:pPr>
            <w:r>
              <w:rPr>
                <w:rFonts w:ascii="Arial" w:cs="Arial" w:eastAsia="Arial" w:hAnsi="Arial"/>
                <w:sz w:val="14"/>
                <w:szCs w:val="14"/>
                <w:color w:val="auto"/>
              </w:rPr>
              <w:t>1,169</w:t>
            </w:r>
          </w:p>
        </w:tc>
        <w:tc>
          <w:tcPr>
            <w:tcW w:w="640" w:type="dxa"/>
            <w:vAlign w:val="bottom"/>
            <w:tcBorders>
              <w:bottom w:val="single" w:sz="8" w:color="4A7EBB"/>
            </w:tcBorders>
            <w:shd w:val="clear" w:color="auto" w:fill="F2F2F2"/>
          </w:tcPr>
          <w:p>
            <w:pPr>
              <w:jc w:val="center"/>
              <w:spacing w:after="0"/>
              <w:rPr>
                <w:sz w:val="20"/>
                <w:szCs w:val="20"/>
                <w:color w:val="auto"/>
              </w:rPr>
            </w:pPr>
            <w:r>
              <w:rPr>
                <w:rFonts w:ascii="Arial" w:cs="Arial" w:eastAsia="Arial" w:hAnsi="Arial"/>
                <w:sz w:val="14"/>
                <w:szCs w:val="14"/>
                <w:color w:val="auto"/>
              </w:rPr>
              <w:t>9,352</w:t>
            </w:r>
          </w:p>
        </w:tc>
        <w:tc>
          <w:tcPr>
            <w:tcW w:w="640" w:type="dxa"/>
            <w:vAlign w:val="bottom"/>
            <w:tcBorders>
              <w:bottom w:val="single" w:sz="8" w:color="4A7EBB"/>
            </w:tcBorders>
            <w:shd w:val="clear" w:color="auto" w:fill="F2F2F2"/>
          </w:tcPr>
          <w:p>
            <w:pPr>
              <w:jc w:val="center"/>
              <w:spacing w:after="0"/>
              <w:rPr>
                <w:sz w:val="20"/>
                <w:szCs w:val="20"/>
                <w:color w:val="auto"/>
              </w:rPr>
            </w:pPr>
            <w:r>
              <w:rPr>
                <w:rFonts w:ascii="Arial" w:cs="Arial" w:eastAsia="Arial" w:hAnsi="Arial"/>
                <w:sz w:val="14"/>
                <w:szCs w:val="14"/>
                <w:color w:val="auto"/>
              </w:rPr>
              <w:t>14,028</w:t>
            </w:r>
          </w:p>
        </w:tc>
        <w:tc>
          <w:tcPr>
            <w:tcW w:w="560" w:type="dxa"/>
            <w:vAlign w:val="bottom"/>
            <w:tcBorders>
              <w:bottom w:val="single" w:sz="8" w:color="4A7EBB"/>
            </w:tcBorders>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4A7EBB"/>
            </w:tcBorders>
            <w:shd w:val="clear" w:color="auto" w:fill="F2F2F2"/>
          </w:tcPr>
          <w:p>
            <w:pPr>
              <w:spacing w:after="0"/>
              <w:rPr>
                <w:sz w:val="15"/>
                <w:szCs w:val="15"/>
                <w:color w:val="auto"/>
              </w:rPr>
            </w:pPr>
          </w:p>
        </w:tc>
        <w:tc>
          <w:tcPr>
            <w:tcW w:w="1340" w:type="dxa"/>
            <w:vAlign w:val="bottom"/>
            <w:tcBorders>
              <w:bottom w:val="single" w:sz="8" w:color="4A7EBB"/>
            </w:tcBorders>
            <w:shd w:val="clear" w:color="auto" w:fill="F2F2F2"/>
          </w:tcPr>
          <w:p>
            <w:pPr>
              <w:jc w:val="right"/>
              <w:spacing w:after="0"/>
              <w:rPr>
                <w:sz w:val="20"/>
                <w:szCs w:val="20"/>
                <w:color w:val="auto"/>
              </w:rPr>
            </w:pPr>
            <w:r>
              <w:rPr>
                <w:rFonts w:ascii="Arial" w:cs="Arial" w:eastAsia="Arial" w:hAnsi="Arial"/>
                <w:sz w:val="14"/>
                <w:szCs w:val="14"/>
                <w:color w:val="auto"/>
              </w:rPr>
              <w:t>$249,979</w:t>
            </w:r>
          </w:p>
        </w:tc>
        <w:tc>
          <w:tcPr>
            <w:tcW w:w="0" w:type="dxa"/>
            <w:vAlign w:val="bottom"/>
          </w:tcPr>
          <w:p>
            <w:pPr>
              <w:spacing w:after="0"/>
              <w:rPr>
                <w:sz w:val="1"/>
                <w:szCs w:val="1"/>
                <w:color w:val="auto"/>
              </w:rPr>
            </w:pPr>
          </w:p>
        </w:tc>
      </w:tr>
      <w:tr>
        <w:trPr>
          <w:trHeight w:val="183"/>
        </w:trPr>
        <w:tc>
          <w:tcPr>
            <w:tcW w:w="1220" w:type="dxa"/>
            <w:vAlign w:val="bottom"/>
            <w:tcBorders>
              <w:bottom w:val="single" w:sz="8" w:color="4A7EBB"/>
            </w:tcBorders>
          </w:tcPr>
          <w:p>
            <w:pPr>
              <w:spacing w:after="0"/>
              <w:rPr>
                <w:sz w:val="15"/>
                <w:szCs w:val="15"/>
                <w:color w:val="auto"/>
              </w:rPr>
            </w:pPr>
          </w:p>
        </w:tc>
        <w:tc>
          <w:tcPr>
            <w:tcW w:w="1100" w:type="dxa"/>
            <w:vAlign w:val="bottom"/>
            <w:tcBorders>
              <w:bottom w:val="single" w:sz="8" w:color="4A7EBB"/>
            </w:tcBorders>
          </w:tcPr>
          <w:p>
            <w:pPr>
              <w:jc w:val="center"/>
              <w:spacing w:after="0"/>
              <w:rPr>
                <w:sz w:val="20"/>
                <w:szCs w:val="20"/>
                <w:color w:val="auto"/>
              </w:rPr>
            </w:pPr>
            <w:r>
              <w:rPr>
                <w:rFonts w:ascii="Arial" w:cs="Arial" w:eastAsia="Arial" w:hAnsi="Arial"/>
                <w:sz w:val="14"/>
                <w:szCs w:val="14"/>
                <w:color w:val="auto"/>
              </w:rPr>
              <w:t>RSUs</w:t>
            </w:r>
          </w:p>
        </w:tc>
        <w:tc>
          <w:tcPr>
            <w:tcW w:w="1320" w:type="dxa"/>
            <w:vAlign w:val="bottom"/>
            <w:tcBorders>
              <w:bottom w:val="single" w:sz="8" w:color="4A7EBB"/>
            </w:tcBorders>
          </w:tcPr>
          <w:p>
            <w:pPr>
              <w:jc w:val="center"/>
              <w:spacing w:after="0"/>
              <w:rPr>
                <w:sz w:val="20"/>
                <w:szCs w:val="20"/>
                <w:color w:val="auto"/>
              </w:rPr>
            </w:pPr>
            <w:r>
              <w:rPr>
                <w:rFonts w:ascii="Arial" w:cs="Arial" w:eastAsia="Arial" w:hAnsi="Arial"/>
                <w:sz w:val="14"/>
                <w:szCs w:val="14"/>
                <w:color w:val="auto"/>
              </w:rPr>
              <w:t>March 19, 2025</w:t>
            </w:r>
          </w:p>
        </w:tc>
        <w:tc>
          <w:tcPr>
            <w:tcW w:w="140" w:type="dxa"/>
            <w:vAlign w:val="bottom"/>
            <w:tcBorders>
              <w:bottom w:val="single" w:sz="8" w:color="4A7EBB"/>
            </w:tcBorders>
          </w:tcPr>
          <w:p>
            <w:pPr>
              <w:spacing w:after="0"/>
              <w:rPr>
                <w:sz w:val="15"/>
                <w:szCs w:val="15"/>
                <w:color w:val="auto"/>
              </w:rPr>
            </w:pPr>
          </w:p>
        </w:tc>
        <w:tc>
          <w:tcPr>
            <w:tcW w:w="680" w:type="dxa"/>
            <w:vAlign w:val="bottom"/>
            <w:tcBorders>
              <w:bottom w:val="single" w:sz="8" w:color="4A7EBB"/>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4A7EBB"/>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4A7EBB"/>
            </w:tcBorders>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4A7EBB"/>
            </w:tcBorders>
          </w:tcPr>
          <w:p>
            <w:pPr>
              <w:ind w:left="46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4A7EBB"/>
            </w:tcBorders>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4A7EBB"/>
            </w:tcBorders>
          </w:tcPr>
          <w:p>
            <w:pPr>
              <w:ind w:left="4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4A7EBB"/>
            </w:tcBorders>
            <w:gridSpan w:val="2"/>
          </w:tcPr>
          <w:p>
            <w:pPr>
              <w:jc w:val="right"/>
              <w:spacing w:after="0" w:line="183" w:lineRule="exact"/>
              <w:rPr>
                <w:sz w:val="20"/>
                <w:szCs w:val="20"/>
                <w:color w:val="auto"/>
              </w:rPr>
            </w:pPr>
            <w:r>
              <w:rPr>
                <w:rFonts w:ascii="Arial" w:cs="Arial" w:eastAsia="Arial" w:hAnsi="Arial"/>
                <w:sz w:val="13"/>
                <w:szCs w:val="13"/>
                <w:color w:val="auto"/>
              </w:rPr>
              <w:t xml:space="preserve">9,352 </w:t>
            </w:r>
            <w:r>
              <w:rPr>
                <w:rFonts w:ascii="Arial" w:cs="Arial" w:eastAsia="Arial" w:hAnsi="Arial"/>
                <w:sz w:val="21"/>
                <w:szCs w:val="21"/>
                <w:color w:val="auto"/>
                <w:vertAlign w:val="superscript"/>
              </w:rPr>
              <w:t>(3)</w:t>
            </w:r>
          </w:p>
        </w:tc>
        <w:tc>
          <w:tcPr>
            <w:tcW w:w="1340" w:type="dxa"/>
            <w:vAlign w:val="bottom"/>
            <w:tcBorders>
              <w:bottom w:val="single" w:sz="8" w:color="4A7EBB"/>
            </w:tcBorders>
          </w:tcPr>
          <w:p>
            <w:pPr>
              <w:jc w:val="right"/>
              <w:spacing w:after="0"/>
              <w:rPr>
                <w:sz w:val="20"/>
                <w:szCs w:val="20"/>
                <w:color w:val="auto"/>
              </w:rPr>
            </w:pPr>
            <w:r>
              <w:rPr>
                <w:rFonts w:ascii="Arial" w:cs="Arial" w:eastAsia="Arial" w:hAnsi="Arial"/>
                <w:sz w:val="14"/>
                <w:szCs w:val="14"/>
                <w:color w:val="auto"/>
              </w:rPr>
              <w:t>$249,979</w:t>
            </w:r>
          </w:p>
        </w:tc>
        <w:tc>
          <w:tcPr>
            <w:tcW w:w="0" w:type="dxa"/>
            <w:vAlign w:val="bottom"/>
          </w:tcPr>
          <w:p>
            <w:pPr>
              <w:spacing w:after="0"/>
              <w:rPr>
                <w:sz w:val="1"/>
                <w:szCs w:val="1"/>
                <w:color w:val="auto"/>
              </w:rPr>
            </w:pPr>
          </w:p>
        </w:tc>
      </w:tr>
      <w:tr>
        <w:trPr>
          <w:trHeight w:val="146"/>
        </w:trPr>
        <w:tc>
          <w:tcPr>
            <w:tcW w:w="1220" w:type="dxa"/>
            <w:vAlign w:val="bottom"/>
            <w:shd w:val="clear" w:color="auto" w:fill="F2F2F2"/>
          </w:tcPr>
          <w:p>
            <w:pPr>
              <w:ind w:left="120"/>
              <w:spacing w:after="0" w:line="147" w:lineRule="exact"/>
              <w:rPr>
                <w:sz w:val="20"/>
                <w:szCs w:val="20"/>
                <w:color w:val="auto"/>
              </w:rPr>
            </w:pPr>
            <w:r>
              <w:rPr>
                <w:rFonts w:ascii="Arial" w:cs="Arial" w:eastAsia="Arial" w:hAnsi="Arial"/>
                <w:sz w:val="14"/>
                <w:szCs w:val="14"/>
                <w:b w:val="1"/>
                <w:bCs w:val="1"/>
                <w:color w:val="auto"/>
              </w:rPr>
              <w:t>Jeffrey</w:t>
            </w:r>
          </w:p>
        </w:tc>
        <w:tc>
          <w:tcPr>
            <w:tcW w:w="1100" w:type="dxa"/>
            <w:vAlign w:val="bottom"/>
            <w:shd w:val="clear" w:color="auto" w:fill="F2F2F2"/>
          </w:tcPr>
          <w:p>
            <w:pPr>
              <w:spacing w:after="0"/>
              <w:rPr>
                <w:sz w:val="12"/>
                <w:szCs w:val="12"/>
                <w:color w:val="auto"/>
              </w:rPr>
            </w:pPr>
          </w:p>
        </w:tc>
        <w:tc>
          <w:tcPr>
            <w:tcW w:w="1320" w:type="dxa"/>
            <w:vAlign w:val="bottom"/>
            <w:shd w:val="clear" w:color="auto" w:fill="F2F2F2"/>
          </w:tcPr>
          <w:p>
            <w:pPr>
              <w:spacing w:after="0"/>
              <w:rPr>
                <w:sz w:val="12"/>
                <w:szCs w:val="12"/>
                <w:color w:val="auto"/>
              </w:rPr>
            </w:pPr>
          </w:p>
        </w:tc>
        <w:tc>
          <w:tcPr>
            <w:tcW w:w="140" w:type="dxa"/>
            <w:vAlign w:val="bottom"/>
            <w:shd w:val="clear" w:color="auto" w:fill="F2F2F2"/>
          </w:tcPr>
          <w:p>
            <w:pPr>
              <w:spacing w:after="0"/>
              <w:rPr>
                <w:sz w:val="12"/>
                <w:szCs w:val="12"/>
                <w:color w:val="auto"/>
              </w:rPr>
            </w:pPr>
          </w:p>
        </w:tc>
        <w:tc>
          <w:tcPr>
            <w:tcW w:w="680" w:type="dxa"/>
            <w:vAlign w:val="bottom"/>
            <w:shd w:val="clear" w:color="auto" w:fill="F2F2F2"/>
          </w:tcPr>
          <w:p>
            <w:pPr>
              <w:spacing w:after="0"/>
              <w:rPr>
                <w:sz w:val="12"/>
                <w:szCs w:val="12"/>
                <w:color w:val="auto"/>
              </w:rPr>
            </w:pPr>
          </w:p>
        </w:tc>
        <w:tc>
          <w:tcPr>
            <w:tcW w:w="720" w:type="dxa"/>
            <w:vAlign w:val="bottom"/>
            <w:shd w:val="clear" w:color="auto" w:fill="F2F2F2"/>
          </w:tcPr>
          <w:p>
            <w:pPr>
              <w:spacing w:after="0"/>
              <w:rPr>
                <w:sz w:val="12"/>
                <w:szCs w:val="12"/>
                <w:color w:val="auto"/>
              </w:rPr>
            </w:pPr>
          </w:p>
        </w:tc>
        <w:tc>
          <w:tcPr>
            <w:tcW w:w="740" w:type="dxa"/>
            <w:vAlign w:val="bottom"/>
            <w:shd w:val="clear" w:color="auto" w:fill="F2F2F2"/>
          </w:tcPr>
          <w:p>
            <w:pPr>
              <w:spacing w:after="0"/>
              <w:rPr>
                <w:sz w:val="12"/>
                <w:szCs w:val="12"/>
                <w:color w:val="auto"/>
              </w:rPr>
            </w:pPr>
          </w:p>
        </w:tc>
        <w:tc>
          <w:tcPr>
            <w:tcW w:w="640" w:type="dxa"/>
            <w:vAlign w:val="bottom"/>
            <w:shd w:val="clear" w:color="auto" w:fill="F2F2F2"/>
          </w:tcPr>
          <w:p>
            <w:pPr>
              <w:spacing w:after="0"/>
              <w:rPr>
                <w:sz w:val="12"/>
                <w:szCs w:val="12"/>
                <w:color w:val="auto"/>
              </w:rPr>
            </w:pPr>
          </w:p>
        </w:tc>
        <w:tc>
          <w:tcPr>
            <w:tcW w:w="640" w:type="dxa"/>
            <w:vAlign w:val="bottom"/>
            <w:shd w:val="clear" w:color="auto" w:fill="F2F2F2"/>
          </w:tcPr>
          <w:p>
            <w:pPr>
              <w:spacing w:after="0"/>
              <w:rPr>
                <w:sz w:val="12"/>
                <w:szCs w:val="12"/>
                <w:color w:val="auto"/>
              </w:rPr>
            </w:pPr>
          </w:p>
        </w:tc>
        <w:tc>
          <w:tcPr>
            <w:tcW w:w="640" w:type="dxa"/>
            <w:vAlign w:val="bottom"/>
            <w:shd w:val="clear" w:color="auto" w:fill="F2F2F2"/>
          </w:tcPr>
          <w:p>
            <w:pPr>
              <w:spacing w:after="0"/>
              <w:rPr>
                <w:sz w:val="12"/>
                <w:szCs w:val="12"/>
                <w:color w:val="auto"/>
              </w:rPr>
            </w:pPr>
          </w:p>
        </w:tc>
        <w:tc>
          <w:tcPr>
            <w:tcW w:w="560" w:type="dxa"/>
            <w:vAlign w:val="bottom"/>
            <w:shd w:val="clear" w:color="auto" w:fill="F2F2F2"/>
          </w:tcPr>
          <w:p>
            <w:pPr>
              <w:spacing w:after="0"/>
              <w:rPr>
                <w:sz w:val="12"/>
                <w:szCs w:val="12"/>
                <w:color w:val="auto"/>
              </w:rPr>
            </w:pPr>
          </w:p>
        </w:tc>
        <w:tc>
          <w:tcPr>
            <w:tcW w:w="180" w:type="dxa"/>
            <w:vAlign w:val="bottom"/>
            <w:shd w:val="clear" w:color="auto" w:fill="F2F2F2"/>
          </w:tcPr>
          <w:p>
            <w:pPr>
              <w:spacing w:after="0"/>
              <w:rPr>
                <w:sz w:val="12"/>
                <w:szCs w:val="12"/>
                <w:color w:val="auto"/>
              </w:rPr>
            </w:pPr>
          </w:p>
        </w:tc>
        <w:tc>
          <w:tcPr>
            <w:tcW w:w="1340" w:type="dxa"/>
            <w:vAlign w:val="bottom"/>
            <w:shd w:val="clear" w:color="auto" w:fill="F2F2F2"/>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20" w:type="dxa"/>
            <w:vAlign w:val="bottom"/>
            <w:tcBorders>
              <w:bottom w:val="single" w:sz="8" w:color="4A7EBB"/>
            </w:tcBorders>
            <w:shd w:val="clear" w:color="auto" w:fill="F2F2F2"/>
          </w:tcPr>
          <w:p>
            <w:pPr>
              <w:ind w:left="120"/>
              <w:spacing w:after="0"/>
              <w:rPr>
                <w:sz w:val="20"/>
                <w:szCs w:val="20"/>
                <w:color w:val="auto"/>
              </w:rPr>
            </w:pPr>
            <w:r>
              <w:rPr>
                <w:rFonts w:ascii="Arial" w:cs="Arial" w:eastAsia="Arial" w:hAnsi="Arial"/>
                <w:sz w:val="14"/>
                <w:szCs w:val="14"/>
                <w:b w:val="1"/>
                <w:bCs w:val="1"/>
                <w:color w:val="auto"/>
              </w:rPr>
              <w:t>Goldfarb</w:t>
            </w:r>
          </w:p>
        </w:tc>
        <w:tc>
          <w:tcPr>
            <w:tcW w:w="1100" w:type="dxa"/>
            <w:vAlign w:val="bottom"/>
            <w:tcBorders>
              <w:bottom w:val="single" w:sz="8" w:color="4A7EBB"/>
            </w:tcBorders>
            <w:shd w:val="clear" w:color="auto" w:fill="F2F2F2"/>
          </w:tcPr>
          <w:p>
            <w:pPr>
              <w:jc w:val="center"/>
              <w:spacing w:after="0"/>
              <w:rPr>
                <w:sz w:val="20"/>
                <w:szCs w:val="20"/>
                <w:color w:val="auto"/>
              </w:rPr>
            </w:pPr>
            <w:r>
              <w:rPr>
                <w:rFonts w:ascii="Arial" w:cs="Arial" w:eastAsia="Arial" w:hAnsi="Arial"/>
                <w:sz w:val="14"/>
                <w:szCs w:val="14"/>
                <w:color w:val="auto"/>
              </w:rPr>
              <w:t>Annual Incentive</w:t>
            </w:r>
          </w:p>
        </w:tc>
        <w:tc>
          <w:tcPr>
            <w:tcW w:w="1320" w:type="dxa"/>
            <w:vAlign w:val="bottom"/>
            <w:tcBorders>
              <w:bottom w:val="single" w:sz="8" w:color="4A7EBB"/>
            </w:tcBorders>
            <w:shd w:val="clear" w:color="auto" w:fill="F2F2F2"/>
          </w:tcPr>
          <w:p>
            <w:pPr>
              <w:jc w:val="center"/>
              <w:spacing w:after="0"/>
              <w:rPr>
                <w:sz w:val="20"/>
                <w:szCs w:val="20"/>
                <w:color w:val="auto"/>
              </w:rPr>
            </w:pPr>
            <w:r>
              <w:rPr>
                <w:rFonts w:ascii="Arial" w:cs="Arial" w:eastAsia="Arial" w:hAnsi="Arial"/>
                <w:sz w:val="14"/>
                <w:szCs w:val="14"/>
                <w:color w:val="auto"/>
              </w:rPr>
              <w:t>N/A</w:t>
            </w:r>
          </w:p>
        </w:tc>
        <w:tc>
          <w:tcPr>
            <w:tcW w:w="820" w:type="dxa"/>
            <w:vAlign w:val="bottom"/>
            <w:tcBorders>
              <w:bottom w:val="single" w:sz="8" w:color="4A7EBB"/>
            </w:tcBorders>
            <w:gridSpan w:val="2"/>
            <w:shd w:val="clear" w:color="auto" w:fill="F2F2F2"/>
          </w:tcPr>
          <w:p>
            <w:pPr>
              <w:jc w:val="right"/>
              <w:spacing w:after="0"/>
              <w:rPr>
                <w:sz w:val="20"/>
                <w:szCs w:val="20"/>
                <w:color w:val="auto"/>
              </w:rPr>
            </w:pPr>
            <w:r>
              <w:rPr>
                <w:rFonts w:ascii="Arial" w:cs="Arial" w:eastAsia="Arial" w:hAnsi="Arial"/>
                <w:sz w:val="14"/>
                <w:szCs w:val="14"/>
                <w:color w:val="auto"/>
              </w:rPr>
              <w:t>605,625</w:t>
            </w:r>
          </w:p>
        </w:tc>
        <w:tc>
          <w:tcPr>
            <w:tcW w:w="1460" w:type="dxa"/>
            <w:vAlign w:val="bottom"/>
            <w:tcBorders>
              <w:bottom w:val="single" w:sz="8" w:color="4A7EBB"/>
            </w:tcBorders>
            <w:gridSpan w:val="2"/>
            <w:shd w:val="clear" w:color="auto" w:fill="F2F2F2"/>
          </w:tcPr>
          <w:p>
            <w:pPr>
              <w:jc w:val="right"/>
              <w:spacing w:after="0"/>
              <w:rPr>
                <w:sz w:val="20"/>
                <w:szCs w:val="20"/>
                <w:color w:val="auto"/>
              </w:rPr>
            </w:pPr>
            <w:r>
              <w:rPr>
                <w:rFonts w:ascii="Arial" w:cs="Arial" w:eastAsia="Arial" w:hAnsi="Arial"/>
                <w:sz w:val="14"/>
                <w:szCs w:val="14"/>
                <w:color w:val="auto"/>
              </w:rPr>
              <w:t>1,500,000 3,622,500</w:t>
            </w:r>
          </w:p>
        </w:tc>
        <w:tc>
          <w:tcPr>
            <w:tcW w:w="640" w:type="dxa"/>
            <w:vAlign w:val="bottom"/>
            <w:tcBorders>
              <w:bottom w:val="single" w:sz="8" w:color="4A7EBB"/>
            </w:tcBorders>
            <w:shd w:val="clear" w:color="auto" w:fill="F2F2F2"/>
          </w:tcPr>
          <w:p>
            <w:pPr>
              <w:ind w:left="46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4A7EBB"/>
            </w:tcBorders>
            <w:shd w:val="clear" w:color="auto" w:fill="F2F2F2"/>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4A7EBB"/>
            </w:tcBorders>
            <w:shd w:val="clear" w:color="auto" w:fill="F2F2F2"/>
          </w:tcPr>
          <w:p>
            <w:pPr>
              <w:ind w:left="44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4A7EBB"/>
            </w:tcBorders>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4A7EBB"/>
            </w:tcBorders>
            <w:shd w:val="clear" w:color="auto" w:fill="F2F2F2"/>
          </w:tcPr>
          <w:p>
            <w:pPr>
              <w:spacing w:after="0"/>
              <w:rPr>
                <w:sz w:val="14"/>
                <w:szCs w:val="14"/>
                <w:color w:val="auto"/>
              </w:rPr>
            </w:pPr>
          </w:p>
        </w:tc>
        <w:tc>
          <w:tcPr>
            <w:tcW w:w="1340" w:type="dxa"/>
            <w:vAlign w:val="bottom"/>
            <w:tcBorders>
              <w:bottom w:val="single" w:sz="8" w:color="4A7EBB"/>
            </w:tcBorders>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1220" w:type="dxa"/>
            <w:vAlign w:val="bottom"/>
            <w:tcBorders>
              <w:bottom w:val="single" w:sz="8" w:color="4A7EBB"/>
            </w:tcBorders>
          </w:tcPr>
          <w:p>
            <w:pPr>
              <w:spacing w:after="0"/>
              <w:rPr>
                <w:sz w:val="15"/>
                <w:szCs w:val="15"/>
                <w:color w:val="auto"/>
              </w:rPr>
            </w:pPr>
          </w:p>
        </w:tc>
        <w:tc>
          <w:tcPr>
            <w:tcW w:w="1100" w:type="dxa"/>
            <w:vAlign w:val="bottom"/>
            <w:tcBorders>
              <w:bottom w:val="single" w:sz="8" w:color="4A7EBB"/>
            </w:tcBorders>
          </w:tcPr>
          <w:p>
            <w:pPr>
              <w:jc w:val="center"/>
              <w:spacing w:after="0"/>
              <w:rPr>
                <w:sz w:val="20"/>
                <w:szCs w:val="20"/>
                <w:color w:val="auto"/>
              </w:rPr>
            </w:pPr>
            <w:r>
              <w:rPr>
                <w:rFonts w:ascii="Arial" w:cs="Arial" w:eastAsia="Arial" w:hAnsi="Arial"/>
                <w:sz w:val="14"/>
                <w:szCs w:val="14"/>
                <w:color w:val="auto"/>
              </w:rPr>
              <w:t>PSUs</w:t>
            </w:r>
          </w:p>
        </w:tc>
        <w:tc>
          <w:tcPr>
            <w:tcW w:w="1320" w:type="dxa"/>
            <w:vAlign w:val="bottom"/>
            <w:tcBorders>
              <w:bottom w:val="single" w:sz="8" w:color="4A7EBB"/>
            </w:tcBorders>
          </w:tcPr>
          <w:p>
            <w:pPr>
              <w:jc w:val="center"/>
              <w:spacing w:after="0"/>
              <w:rPr>
                <w:sz w:val="20"/>
                <w:szCs w:val="20"/>
                <w:color w:val="auto"/>
              </w:rPr>
            </w:pPr>
            <w:r>
              <w:rPr>
                <w:rFonts w:ascii="Arial" w:cs="Arial" w:eastAsia="Arial" w:hAnsi="Arial"/>
                <w:sz w:val="14"/>
                <w:szCs w:val="14"/>
                <w:color w:val="auto"/>
              </w:rPr>
              <w:t>March 19, 2025</w:t>
            </w:r>
          </w:p>
        </w:tc>
        <w:tc>
          <w:tcPr>
            <w:tcW w:w="140" w:type="dxa"/>
            <w:vAlign w:val="bottom"/>
            <w:tcBorders>
              <w:bottom w:val="single" w:sz="8" w:color="4A7EBB"/>
            </w:tcBorders>
          </w:tcPr>
          <w:p>
            <w:pPr>
              <w:spacing w:after="0"/>
              <w:rPr>
                <w:sz w:val="15"/>
                <w:szCs w:val="15"/>
                <w:color w:val="auto"/>
              </w:rPr>
            </w:pPr>
          </w:p>
        </w:tc>
        <w:tc>
          <w:tcPr>
            <w:tcW w:w="680" w:type="dxa"/>
            <w:vAlign w:val="bottom"/>
            <w:tcBorders>
              <w:bottom w:val="single" w:sz="8" w:color="4A7EBB"/>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4A7EBB"/>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4A7EBB"/>
            </w:tcBorders>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4A7EBB"/>
            </w:tcBorders>
          </w:tcPr>
          <w:p>
            <w:pPr>
              <w:jc w:val="center"/>
              <w:spacing w:after="0"/>
              <w:rPr>
                <w:sz w:val="20"/>
                <w:szCs w:val="20"/>
                <w:color w:val="auto"/>
              </w:rPr>
            </w:pPr>
            <w:r>
              <w:rPr>
                <w:rFonts w:ascii="Arial" w:cs="Arial" w:eastAsia="Arial" w:hAnsi="Arial"/>
                <w:sz w:val="14"/>
                <w:szCs w:val="14"/>
                <w:color w:val="auto"/>
              </w:rPr>
              <w:t>4,910</w:t>
            </w:r>
          </w:p>
        </w:tc>
        <w:tc>
          <w:tcPr>
            <w:tcW w:w="640" w:type="dxa"/>
            <w:vAlign w:val="bottom"/>
            <w:tcBorders>
              <w:bottom w:val="single" w:sz="8" w:color="4A7EBB"/>
            </w:tcBorders>
          </w:tcPr>
          <w:p>
            <w:pPr>
              <w:jc w:val="right"/>
              <w:ind w:right="28"/>
              <w:spacing w:after="0"/>
              <w:rPr>
                <w:sz w:val="20"/>
                <w:szCs w:val="20"/>
                <w:color w:val="auto"/>
              </w:rPr>
            </w:pPr>
            <w:r>
              <w:rPr>
                <w:rFonts w:ascii="Arial" w:cs="Arial" w:eastAsia="Arial" w:hAnsi="Arial"/>
                <w:sz w:val="14"/>
                <w:szCs w:val="14"/>
                <w:color w:val="auto"/>
              </w:rPr>
              <w:t>39,281</w:t>
            </w:r>
          </w:p>
        </w:tc>
        <w:tc>
          <w:tcPr>
            <w:tcW w:w="640" w:type="dxa"/>
            <w:vAlign w:val="bottom"/>
            <w:tcBorders>
              <w:bottom w:val="single" w:sz="8" w:color="4A7EBB"/>
            </w:tcBorders>
          </w:tcPr>
          <w:p>
            <w:pPr>
              <w:jc w:val="center"/>
              <w:spacing w:after="0"/>
              <w:rPr>
                <w:sz w:val="20"/>
                <w:szCs w:val="20"/>
                <w:color w:val="auto"/>
              </w:rPr>
            </w:pPr>
            <w:r>
              <w:rPr>
                <w:rFonts w:ascii="Arial" w:cs="Arial" w:eastAsia="Arial" w:hAnsi="Arial"/>
                <w:sz w:val="14"/>
                <w:szCs w:val="14"/>
                <w:color w:val="auto"/>
              </w:rPr>
              <w:t>58,921</w:t>
            </w:r>
          </w:p>
        </w:tc>
        <w:tc>
          <w:tcPr>
            <w:tcW w:w="560" w:type="dxa"/>
            <w:vAlign w:val="bottom"/>
            <w:tcBorders>
              <w:bottom w:val="single" w:sz="8" w:color="4A7EBB"/>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4A7EBB"/>
            </w:tcBorders>
          </w:tcPr>
          <w:p>
            <w:pPr>
              <w:spacing w:after="0"/>
              <w:rPr>
                <w:sz w:val="15"/>
                <w:szCs w:val="15"/>
                <w:color w:val="auto"/>
              </w:rPr>
            </w:pPr>
          </w:p>
        </w:tc>
        <w:tc>
          <w:tcPr>
            <w:tcW w:w="1340" w:type="dxa"/>
            <w:vAlign w:val="bottom"/>
            <w:tcBorders>
              <w:bottom w:val="single" w:sz="8" w:color="4A7EBB"/>
            </w:tcBorders>
          </w:tcPr>
          <w:p>
            <w:pPr>
              <w:jc w:val="right"/>
              <w:spacing w:after="0"/>
              <w:rPr>
                <w:sz w:val="20"/>
                <w:szCs w:val="20"/>
                <w:color w:val="auto"/>
              </w:rPr>
            </w:pPr>
            <w:r>
              <w:rPr>
                <w:rFonts w:ascii="Arial" w:cs="Arial" w:eastAsia="Arial" w:hAnsi="Arial"/>
                <w:sz w:val="14"/>
                <w:szCs w:val="14"/>
                <w:color w:val="auto"/>
              </w:rPr>
              <w:t>$1,049,981</w:t>
            </w:r>
          </w:p>
        </w:tc>
        <w:tc>
          <w:tcPr>
            <w:tcW w:w="0" w:type="dxa"/>
            <w:vAlign w:val="bottom"/>
          </w:tcPr>
          <w:p>
            <w:pPr>
              <w:spacing w:after="0"/>
              <w:rPr>
                <w:sz w:val="1"/>
                <w:szCs w:val="1"/>
                <w:color w:val="auto"/>
              </w:rPr>
            </w:pPr>
          </w:p>
        </w:tc>
      </w:tr>
      <w:tr>
        <w:trPr>
          <w:trHeight w:val="183"/>
        </w:trPr>
        <w:tc>
          <w:tcPr>
            <w:tcW w:w="1220" w:type="dxa"/>
            <w:vAlign w:val="bottom"/>
            <w:tcBorders>
              <w:bottom w:val="single" w:sz="8" w:color="4A7EBB"/>
            </w:tcBorders>
            <w:shd w:val="clear" w:color="auto" w:fill="F2F2F2"/>
          </w:tcPr>
          <w:p>
            <w:pPr>
              <w:spacing w:after="0"/>
              <w:rPr>
                <w:sz w:val="15"/>
                <w:szCs w:val="15"/>
                <w:color w:val="auto"/>
              </w:rPr>
            </w:pPr>
          </w:p>
        </w:tc>
        <w:tc>
          <w:tcPr>
            <w:tcW w:w="1100" w:type="dxa"/>
            <w:vAlign w:val="bottom"/>
            <w:tcBorders>
              <w:bottom w:val="single" w:sz="8" w:color="4A7EBB"/>
            </w:tcBorders>
            <w:shd w:val="clear" w:color="auto" w:fill="F2F2F2"/>
          </w:tcPr>
          <w:p>
            <w:pPr>
              <w:jc w:val="center"/>
              <w:spacing w:after="0"/>
              <w:rPr>
                <w:sz w:val="20"/>
                <w:szCs w:val="20"/>
                <w:color w:val="auto"/>
              </w:rPr>
            </w:pPr>
            <w:r>
              <w:rPr>
                <w:rFonts w:ascii="Arial" w:cs="Arial" w:eastAsia="Arial" w:hAnsi="Arial"/>
                <w:sz w:val="14"/>
                <w:szCs w:val="14"/>
                <w:color w:val="auto"/>
              </w:rPr>
              <w:t>RSUs</w:t>
            </w:r>
          </w:p>
        </w:tc>
        <w:tc>
          <w:tcPr>
            <w:tcW w:w="1320" w:type="dxa"/>
            <w:vAlign w:val="bottom"/>
            <w:tcBorders>
              <w:bottom w:val="single" w:sz="8" w:color="4A7EBB"/>
            </w:tcBorders>
            <w:shd w:val="clear" w:color="auto" w:fill="F2F2F2"/>
          </w:tcPr>
          <w:p>
            <w:pPr>
              <w:jc w:val="center"/>
              <w:spacing w:after="0"/>
              <w:rPr>
                <w:sz w:val="20"/>
                <w:szCs w:val="20"/>
                <w:color w:val="auto"/>
              </w:rPr>
            </w:pPr>
            <w:r>
              <w:rPr>
                <w:rFonts w:ascii="Arial" w:cs="Arial" w:eastAsia="Arial" w:hAnsi="Arial"/>
                <w:sz w:val="14"/>
                <w:szCs w:val="14"/>
                <w:color w:val="auto"/>
              </w:rPr>
              <w:t>March 19, 2025</w:t>
            </w:r>
          </w:p>
        </w:tc>
        <w:tc>
          <w:tcPr>
            <w:tcW w:w="140" w:type="dxa"/>
            <w:vAlign w:val="bottom"/>
            <w:tcBorders>
              <w:bottom w:val="single" w:sz="8" w:color="4A7EBB"/>
            </w:tcBorders>
            <w:shd w:val="clear" w:color="auto" w:fill="F2F2F2"/>
          </w:tcPr>
          <w:p>
            <w:pPr>
              <w:spacing w:after="0"/>
              <w:rPr>
                <w:sz w:val="15"/>
                <w:szCs w:val="15"/>
                <w:color w:val="auto"/>
              </w:rPr>
            </w:pPr>
          </w:p>
        </w:tc>
        <w:tc>
          <w:tcPr>
            <w:tcW w:w="680" w:type="dxa"/>
            <w:vAlign w:val="bottom"/>
            <w:tcBorders>
              <w:bottom w:val="single" w:sz="8" w:color="4A7EBB"/>
            </w:tcBorders>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4A7EBB"/>
            </w:tcBorders>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4A7EBB"/>
            </w:tcBorders>
            <w:shd w:val="clear" w:color="auto" w:fill="F2F2F2"/>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4A7EBB"/>
            </w:tcBorders>
            <w:shd w:val="clear" w:color="auto" w:fill="F2F2F2"/>
          </w:tcPr>
          <w:p>
            <w:pPr>
              <w:ind w:left="46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4A7EBB"/>
            </w:tcBorders>
            <w:shd w:val="clear" w:color="auto" w:fill="F2F2F2"/>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4A7EBB"/>
            </w:tcBorders>
            <w:shd w:val="clear" w:color="auto" w:fill="F2F2F2"/>
          </w:tcPr>
          <w:p>
            <w:pPr>
              <w:ind w:left="44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4A7EBB"/>
            </w:tcBorders>
            <w:shd w:val="clear" w:color="auto" w:fill="F2F2F2"/>
          </w:tcPr>
          <w:p>
            <w:pPr>
              <w:jc w:val="right"/>
              <w:spacing w:after="0"/>
              <w:rPr>
                <w:sz w:val="20"/>
                <w:szCs w:val="20"/>
                <w:color w:val="auto"/>
              </w:rPr>
            </w:pPr>
            <w:r>
              <w:rPr>
                <w:rFonts w:ascii="Arial" w:cs="Arial" w:eastAsia="Arial" w:hAnsi="Arial"/>
                <w:sz w:val="14"/>
                <w:szCs w:val="14"/>
                <w:color w:val="auto"/>
              </w:rPr>
              <w:t>26,187</w:t>
            </w:r>
          </w:p>
        </w:tc>
        <w:tc>
          <w:tcPr>
            <w:tcW w:w="180" w:type="dxa"/>
            <w:vAlign w:val="bottom"/>
            <w:tcBorders>
              <w:bottom w:val="single" w:sz="8" w:color="4A7EBB"/>
            </w:tcBorders>
            <w:shd w:val="clear" w:color="auto" w:fill="F2F2F2"/>
          </w:tcPr>
          <w:p>
            <w:pPr>
              <w:jc w:val="right"/>
              <w:spacing w:after="0"/>
              <w:rPr>
                <w:sz w:val="20"/>
                <w:szCs w:val="20"/>
                <w:color w:val="auto"/>
              </w:rPr>
            </w:pPr>
            <w:r>
              <w:rPr>
                <w:rFonts w:ascii="Arial" w:cs="Arial" w:eastAsia="Arial" w:hAnsi="Arial"/>
                <w:sz w:val="12"/>
                <w:szCs w:val="12"/>
                <w:color w:val="auto"/>
                <w:w w:val="95"/>
              </w:rPr>
              <w:t>(3)</w:t>
            </w:r>
          </w:p>
        </w:tc>
        <w:tc>
          <w:tcPr>
            <w:tcW w:w="1340" w:type="dxa"/>
            <w:vAlign w:val="bottom"/>
            <w:tcBorders>
              <w:bottom w:val="single" w:sz="8" w:color="4A7EBB"/>
            </w:tcBorders>
            <w:shd w:val="clear" w:color="auto" w:fill="F2F2F2"/>
          </w:tcPr>
          <w:p>
            <w:pPr>
              <w:jc w:val="right"/>
              <w:spacing w:after="0"/>
              <w:rPr>
                <w:sz w:val="20"/>
                <w:szCs w:val="20"/>
                <w:color w:val="auto"/>
              </w:rPr>
            </w:pPr>
            <w:r>
              <w:rPr>
                <w:rFonts w:ascii="Arial" w:cs="Arial" w:eastAsia="Arial" w:hAnsi="Arial"/>
                <w:sz w:val="14"/>
                <w:szCs w:val="14"/>
                <w:color w:val="auto"/>
              </w:rPr>
              <w:t>$699,979</w:t>
            </w:r>
          </w:p>
        </w:tc>
        <w:tc>
          <w:tcPr>
            <w:tcW w:w="0" w:type="dxa"/>
            <w:vAlign w:val="bottom"/>
          </w:tcPr>
          <w:p>
            <w:pPr>
              <w:spacing w:after="0"/>
              <w:rPr>
                <w:sz w:val="1"/>
                <w:szCs w:val="1"/>
                <w:color w:val="auto"/>
              </w:rPr>
            </w:pPr>
          </w:p>
        </w:tc>
      </w:tr>
      <w:tr>
        <w:trPr>
          <w:trHeight w:val="183"/>
        </w:trPr>
        <w:tc>
          <w:tcPr>
            <w:tcW w:w="1220" w:type="dxa"/>
            <w:vAlign w:val="bottom"/>
            <w:tcBorders>
              <w:bottom w:val="single" w:sz="8" w:color="4A7EBB"/>
            </w:tcBorders>
          </w:tcPr>
          <w:p>
            <w:pPr>
              <w:spacing w:after="0"/>
              <w:rPr>
                <w:sz w:val="15"/>
                <w:szCs w:val="15"/>
                <w:color w:val="auto"/>
              </w:rPr>
            </w:pPr>
          </w:p>
        </w:tc>
        <w:tc>
          <w:tcPr>
            <w:tcW w:w="1100" w:type="dxa"/>
            <w:vAlign w:val="bottom"/>
            <w:tcBorders>
              <w:bottom w:val="single" w:sz="8" w:color="4A7EBB"/>
            </w:tcBorders>
          </w:tcPr>
          <w:p>
            <w:pPr>
              <w:jc w:val="center"/>
              <w:spacing w:after="0"/>
              <w:rPr>
                <w:sz w:val="20"/>
                <w:szCs w:val="20"/>
                <w:color w:val="auto"/>
              </w:rPr>
            </w:pPr>
            <w:r>
              <w:rPr>
                <w:rFonts w:ascii="Arial" w:cs="Arial" w:eastAsia="Arial" w:hAnsi="Arial"/>
                <w:sz w:val="14"/>
                <w:szCs w:val="14"/>
                <w:color w:val="auto"/>
              </w:rPr>
              <w:t>RSUs</w:t>
            </w:r>
          </w:p>
        </w:tc>
        <w:tc>
          <w:tcPr>
            <w:tcW w:w="1320" w:type="dxa"/>
            <w:vAlign w:val="bottom"/>
            <w:tcBorders>
              <w:bottom w:val="single" w:sz="8" w:color="4A7EBB"/>
            </w:tcBorders>
          </w:tcPr>
          <w:p>
            <w:pPr>
              <w:jc w:val="center"/>
              <w:spacing w:after="0"/>
              <w:rPr>
                <w:sz w:val="20"/>
                <w:szCs w:val="20"/>
                <w:color w:val="auto"/>
              </w:rPr>
            </w:pPr>
            <w:r>
              <w:rPr>
                <w:rFonts w:ascii="Arial" w:cs="Arial" w:eastAsia="Arial" w:hAnsi="Arial"/>
                <w:sz w:val="14"/>
                <w:szCs w:val="14"/>
                <w:color w:val="auto"/>
              </w:rPr>
              <w:t>March 19, 2025</w:t>
            </w:r>
          </w:p>
        </w:tc>
        <w:tc>
          <w:tcPr>
            <w:tcW w:w="140" w:type="dxa"/>
            <w:vAlign w:val="bottom"/>
            <w:tcBorders>
              <w:bottom w:val="single" w:sz="8" w:color="4A7EBB"/>
            </w:tcBorders>
          </w:tcPr>
          <w:p>
            <w:pPr>
              <w:spacing w:after="0"/>
              <w:rPr>
                <w:sz w:val="15"/>
                <w:szCs w:val="15"/>
                <w:color w:val="auto"/>
              </w:rPr>
            </w:pPr>
          </w:p>
        </w:tc>
        <w:tc>
          <w:tcPr>
            <w:tcW w:w="680" w:type="dxa"/>
            <w:vAlign w:val="bottom"/>
            <w:tcBorders>
              <w:bottom w:val="single" w:sz="8" w:color="4A7EBB"/>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4A7EBB"/>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4A7EBB"/>
            </w:tcBorders>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4A7EBB"/>
            </w:tcBorders>
          </w:tcPr>
          <w:p>
            <w:pPr>
              <w:ind w:left="46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4A7EBB"/>
            </w:tcBorders>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4A7EBB"/>
            </w:tcBorders>
          </w:tcPr>
          <w:p>
            <w:pPr>
              <w:ind w:left="44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4A7EBB"/>
            </w:tcBorders>
          </w:tcPr>
          <w:p>
            <w:pPr>
              <w:jc w:val="right"/>
              <w:spacing w:after="0"/>
              <w:rPr>
                <w:sz w:val="20"/>
                <w:szCs w:val="20"/>
                <w:color w:val="auto"/>
              </w:rPr>
            </w:pPr>
            <w:r>
              <w:rPr>
                <w:rFonts w:ascii="Arial" w:cs="Arial" w:eastAsia="Arial" w:hAnsi="Arial"/>
                <w:sz w:val="14"/>
                <w:szCs w:val="14"/>
                <w:color w:val="auto"/>
              </w:rPr>
              <w:t>37,411</w:t>
            </w:r>
          </w:p>
        </w:tc>
        <w:tc>
          <w:tcPr>
            <w:tcW w:w="180" w:type="dxa"/>
            <w:vAlign w:val="bottom"/>
            <w:tcBorders>
              <w:bottom w:val="single" w:sz="8" w:color="4A7EBB"/>
            </w:tcBorders>
          </w:tcPr>
          <w:p>
            <w:pPr>
              <w:jc w:val="right"/>
              <w:spacing w:after="0"/>
              <w:rPr>
                <w:sz w:val="20"/>
                <w:szCs w:val="20"/>
                <w:color w:val="auto"/>
              </w:rPr>
            </w:pPr>
            <w:r>
              <w:rPr>
                <w:rFonts w:ascii="Arial" w:cs="Arial" w:eastAsia="Arial" w:hAnsi="Arial"/>
                <w:sz w:val="12"/>
                <w:szCs w:val="12"/>
                <w:color w:val="auto"/>
                <w:w w:val="95"/>
              </w:rPr>
              <w:t>(4)</w:t>
            </w:r>
          </w:p>
        </w:tc>
        <w:tc>
          <w:tcPr>
            <w:tcW w:w="1340" w:type="dxa"/>
            <w:vAlign w:val="bottom"/>
            <w:tcBorders>
              <w:bottom w:val="single" w:sz="8" w:color="4A7EBB"/>
            </w:tcBorders>
          </w:tcPr>
          <w:p>
            <w:pPr>
              <w:jc w:val="right"/>
              <w:spacing w:after="0"/>
              <w:rPr>
                <w:sz w:val="20"/>
                <w:szCs w:val="20"/>
                <w:color w:val="auto"/>
              </w:rPr>
            </w:pPr>
            <w:r>
              <w:rPr>
                <w:rFonts w:ascii="Arial" w:cs="Arial" w:eastAsia="Arial" w:hAnsi="Arial"/>
                <w:sz w:val="14"/>
                <w:szCs w:val="14"/>
                <w:color w:val="auto"/>
              </w:rPr>
              <w:t>$999,996</w:t>
            </w:r>
          </w:p>
        </w:tc>
        <w:tc>
          <w:tcPr>
            <w:tcW w:w="0" w:type="dxa"/>
            <w:vAlign w:val="bottom"/>
          </w:tcPr>
          <w:p>
            <w:pPr>
              <w:spacing w:after="0"/>
              <w:rPr>
                <w:sz w:val="1"/>
                <w:szCs w:val="1"/>
                <w:color w:val="auto"/>
              </w:rPr>
            </w:pPr>
          </w:p>
        </w:tc>
      </w:tr>
      <w:tr>
        <w:trPr>
          <w:trHeight w:val="183"/>
        </w:trPr>
        <w:tc>
          <w:tcPr>
            <w:tcW w:w="1220" w:type="dxa"/>
            <w:vAlign w:val="bottom"/>
            <w:tcBorders>
              <w:bottom w:val="single" w:sz="8" w:color="4A7EBB"/>
            </w:tcBorders>
            <w:shd w:val="clear" w:color="auto" w:fill="F2F2F2"/>
          </w:tcPr>
          <w:p>
            <w:pPr>
              <w:spacing w:after="0"/>
              <w:rPr>
                <w:sz w:val="15"/>
                <w:szCs w:val="15"/>
                <w:color w:val="auto"/>
              </w:rPr>
            </w:pPr>
          </w:p>
        </w:tc>
        <w:tc>
          <w:tcPr>
            <w:tcW w:w="1100" w:type="dxa"/>
            <w:vAlign w:val="bottom"/>
            <w:tcBorders>
              <w:bottom w:val="single" w:sz="8" w:color="4A7EBB"/>
            </w:tcBorders>
            <w:shd w:val="clear" w:color="auto" w:fill="F2F2F2"/>
          </w:tcPr>
          <w:p>
            <w:pPr>
              <w:jc w:val="center"/>
              <w:spacing w:after="0"/>
              <w:rPr>
                <w:sz w:val="20"/>
                <w:szCs w:val="20"/>
                <w:color w:val="auto"/>
              </w:rPr>
            </w:pPr>
            <w:r>
              <w:rPr>
                <w:rFonts w:ascii="Arial" w:cs="Arial" w:eastAsia="Arial" w:hAnsi="Arial"/>
                <w:sz w:val="14"/>
                <w:szCs w:val="14"/>
                <w:color w:val="auto"/>
              </w:rPr>
              <w:t>RSUs</w:t>
            </w:r>
          </w:p>
        </w:tc>
        <w:tc>
          <w:tcPr>
            <w:tcW w:w="1320" w:type="dxa"/>
            <w:vAlign w:val="bottom"/>
            <w:tcBorders>
              <w:bottom w:val="single" w:sz="8" w:color="4A7EBB"/>
            </w:tcBorders>
            <w:shd w:val="clear" w:color="auto" w:fill="F2F2F2"/>
          </w:tcPr>
          <w:p>
            <w:pPr>
              <w:jc w:val="center"/>
              <w:spacing w:after="0"/>
              <w:rPr>
                <w:sz w:val="20"/>
                <w:szCs w:val="20"/>
                <w:color w:val="auto"/>
              </w:rPr>
            </w:pPr>
            <w:r>
              <w:rPr>
                <w:rFonts w:ascii="Arial" w:cs="Arial" w:eastAsia="Arial" w:hAnsi="Arial"/>
                <w:sz w:val="14"/>
                <w:szCs w:val="14"/>
                <w:color w:val="auto"/>
              </w:rPr>
              <w:t>December 12, 2025</w:t>
            </w:r>
          </w:p>
        </w:tc>
        <w:tc>
          <w:tcPr>
            <w:tcW w:w="140" w:type="dxa"/>
            <w:vAlign w:val="bottom"/>
            <w:tcBorders>
              <w:bottom w:val="single" w:sz="8" w:color="4A7EBB"/>
            </w:tcBorders>
            <w:shd w:val="clear" w:color="auto" w:fill="F2F2F2"/>
          </w:tcPr>
          <w:p>
            <w:pPr>
              <w:spacing w:after="0"/>
              <w:rPr>
                <w:sz w:val="15"/>
                <w:szCs w:val="15"/>
                <w:color w:val="auto"/>
              </w:rPr>
            </w:pPr>
          </w:p>
        </w:tc>
        <w:tc>
          <w:tcPr>
            <w:tcW w:w="680" w:type="dxa"/>
            <w:vAlign w:val="bottom"/>
            <w:tcBorders>
              <w:bottom w:val="single" w:sz="8" w:color="4A7EBB"/>
            </w:tcBorders>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4A7EBB"/>
            </w:tcBorders>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4A7EBB"/>
            </w:tcBorders>
            <w:shd w:val="clear" w:color="auto" w:fill="F2F2F2"/>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4A7EBB"/>
            </w:tcBorders>
            <w:shd w:val="clear" w:color="auto" w:fill="F2F2F2"/>
          </w:tcPr>
          <w:p>
            <w:pPr>
              <w:ind w:left="46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4A7EBB"/>
            </w:tcBorders>
            <w:shd w:val="clear" w:color="auto" w:fill="F2F2F2"/>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4A7EBB"/>
            </w:tcBorders>
            <w:shd w:val="clear" w:color="auto" w:fill="F2F2F2"/>
          </w:tcPr>
          <w:p>
            <w:pPr>
              <w:ind w:left="4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4A7EBB"/>
            </w:tcBorders>
            <w:gridSpan w:val="2"/>
            <w:shd w:val="clear" w:color="auto" w:fill="F2F2F2"/>
          </w:tcPr>
          <w:p>
            <w:pPr>
              <w:jc w:val="right"/>
              <w:spacing w:after="0" w:line="183" w:lineRule="exact"/>
              <w:rPr>
                <w:sz w:val="20"/>
                <w:szCs w:val="20"/>
                <w:color w:val="auto"/>
              </w:rPr>
            </w:pPr>
            <w:r>
              <w:rPr>
                <w:rFonts w:ascii="Arial" w:cs="Arial" w:eastAsia="Arial" w:hAnsi="Arial"/>
                <w:sz w:val="13"/>
                <w:szCs w:val="13"/>
                <w:color w:val="auto"/>
              </w:rPr>
              <w:t>159,184</w:t>
            </w:r>
            <w:r>
              <w:rPr>
                <w:rFonts w:ascii="Arial" w:cs="Arial" w:eastAsia="Arial" w:hAnsi="Arial"/>
                <w:sz w:val="21"/>
                <w:szCs w:val="21"/>
                <w:color w:val="auto"/>
                <w:vertAlign w:val="superscript"/>
              </w:rPr>
              <w:t>(5)</w:t>
            </w:r>
          </w:p>
        </w:tc>
        <w:tc>
          <w:tcPr>
            <w:tcW w:w="1340" w:type="dxa"/>
            <w:vAlign w:val="bottom"/>
            <w:tcBorders>
              <w:bottom w:val="single" w:sz="8" w:color="4A7EBB"/>
            </w:tcBorders>
            <w:shd w:val="clear" w:color="auto" w:fill="F2F2F2"/>
          </w:tcPr>
          <w:p>
            <w:pPr>
              <w:jc w:val="right"/>
              <w:spacing w:after="0"/>
              <w:rPr>
                <w:sz w:val="20"/>
                <w:szCs w:val="20"/>
                <w:color w:val="auto"/>
              </w:rPr>
            </w:pPr>
            <w:r>
              <w:rPr>
                <w:rFonts w:ascii="Arial" w:cs="Arial" w:eastAsia="Arial" w:hAnsi="Arial"/>
                <w:sz w:val="14"/>
                <w:szCs w:val="14"/>
                <w:color w:val="auto"/>
              </w:rPr>
              <w:t>$4,999,969</w:t>
            </w:r>
          </w:p>
        </w:tc>
        <w:tc>
          <w:tcPr>
            <w:tcW w:w="0" w:type="dxa"/>
            <w:vAlign w:val="bottom"/>
          </w:tcPr>
          <w:p>
            <w:pPr>
              <w:spacing w:after="0"/>
              <w:rPr>
                <w:sz w:val="1"/>
                <w:szCs w:val="1"/>
                <w:color w:val="auto"/>
              </w:rPr>
            </w:pPr>
          </w:p>
        </w:tc>
      </w:tr>
      <w:tr>
        <w:trPr>
          <w:trHeight w:val="183"/>
        </w:trPr>
        <w:tc>
          <w:tcPr>
            <w:tcW w:w="1220" w:type="dxa"/>
            <w:vAlign w:val="bottom"/>
            <w:tcBorders>
              <w:bottom w:val="single" w:sz="8" w:color="4A7EBB"/>
            </w:tcBorders>
          </w:tcPr>
          <w:p>
            <w:pPr>
              <w:ind w:left="120"/>
              <w:spacing w:after="0"/>
              <w:rPr>
                <w:sz w:val="20"/>
                <w:szCs w:val="20"/>
                <w:color w:val="auto"/>
              </w:rPr>
            </w:pPr>
            <w:r>
              <w:rPr>
                <w:rFonts w:ascii="Arial" w:cs="Arial" w:eastAsia="Arial" w:hAnsi="Arial"/>
                <w:sz w:val="14"/>
                <w:szCs w:val="14"/>
                <w:b w:val="1"/>
                <w:bCs w:val="1"/>
                <w:color w:val="auto"/>
              </w:rPr>
              <w:t>Dana Perlman</w:t>
            </w:r>
          </w:p>
        </w:tc>
        <w:tc>
          <w:tcPr>
            <w:tcW w:w="1100" w:type="dxa"/>
            <w:vAlign w:val="bottom"/>
            <w:tcBorders>
              <w:bottom w:val="single" w:sz="8" w:color="4A7EBB"/>
            </w:tcBorders>
          </w:tcPr>
          <w:p>
            <w:pPr>
              <w:jc w:val="center"/>
              <w:spacing w:after="0"/>
              <w:rPr>
                <w:sz w:val="20"/>
                <w:szCs w:val="20"/>
                <w:color w:val="auto"/>
              </w:rPr>
            </w:pPr>
            <w:r>
              <w:rPr>
                <w:rFonts w:ascii="Arial" w:cs="Arial" w:eastAsia="Arial" w:hAnsi="Arial"/>
                <w:sz w:val="14"/>
                <w:szCs w:val="14"/>
                <w:color w:val="auto"/>
              </w:rPr>
              <w:t>Annual Incentive</w:t>
            </w:r>
          </w:p>
        </w:tc>
        <w:tc>
          <w:tcPr>
            <w:tcW w:w="1320" w:type="dxa"/>
            <w:vAlign w:val="bottom"/>
            <w:tcBorders>
              <w:bottom w:val="single" w:sz="8" w:color="4A7EBB"/>
            </w:tcBorders>
          </w:tcPr>
          <w:p>
            <w:pPr>
              <w:jc w:val="center"/>
              <w:spacing w:after="0"/>
              <w:rPr>
                <w:sz w:val="20"/>
                <w:szCs w:val="20"/>
                <w:color w:val="auto"/>
              </w:rPr>
            </w:pPr>
            <w:r>
              <w:rPr>
                <w:rFonts w:ascii="Arial" w:cs="Arial" w:eastAsia="Arial" w:hAnsi="Arial"/>
                <w:sz w:val="14"/>
                <w:szCs w:val="14"/>
                <w:color w:val="auto"/>
              </w:rPr>
              <w:t>N/A</w:t>
            </w:r>
          </w:p>
        </w:tc>
        <w:tc>
          <w:tcPr>
            <w:tcW w:w="820" w:type="dxa"/>
            <w:vAlign w:val="bottom"/>
            <w:tcBorders>
              <w:bottom w:val="single" w:sz="8" w:color="4A7EBB"/>
            </w:tcBorders>
            <w:gridSpan w:val="2"/>
          </w:tcPr>
          <w:p>
            <w:pPr>
              <w:jc w:val="right"/>
              <w:spacing w:after="0"/>
              <w:rPr>
                <w:sz w:val="20"/>
                <w:szCs w:val="20"/>
                <w:color w:val="auto"/>
              </w:rPr>
            </w:pPr>
            <w:r>
              <w:rPr>
                <w:rFonts w:ascii="Arial" w:cs="Arial" w:eastAsia="Arial" w:hAnsi="Arial"/>
                <w:sz w:val="14"/>
                <w:szCs w:val="14"/>
                <w:color w:val="auto"/>
              </w:rPr>
              <w:t>343,188</w:t>
            </w:r>
          </w:p>
        </w:tc>
        <w:tc>
          <w:tcPr>
            <w:tcW w:w="720" w:type="dxa"/>
            <w:vAlign w:val="bottom"/>
            <w:tcBorders>
              <w:bottom w:val="single" w:sz="8" w:color="4A7EBB"/>
            </w:tcBorders>
          </w:tcPr>
          <w:p>
            <w:pPr>
              <w:jc w:val="right"/>
              <w:spacing w:after="0"/>
              <w:rPr>
                <w:sz w:val="20"/>
                <w:szCs w:val="20"/>
                <w:color w:val="auto"/>
              </w:rPr>
            </w:pPr>
            <w:r>
              <w:rPr>
                <w:rFonts w:ascii="Arial" w:cs="Arial" w:eastAsia="Arial" w:hAnsi="Arial"/>
                <w:sz w:val="14"/>
                <w:szCs w:val="14"/>
                <w:color w:val="auto"/>
              </w:rPr>
              <w:t>850,000</w:t>
            </w:r>
          </w:p>
        </w:tc>
        <w:tc>
          <w:tcPr>
            <w:tcW w:w="740" w:type="dxa"/>
            <w:vAlign w:val="bottom"/>
            <w:tcBorders>
              <w:bottom w:val="single" w:sz="8" w:color="4A7EBB"/>
            </w:tcBorders>
          </w:tcPr>
          <w:p>
            <w:pPr>
              <w:jc w:val="right"/>
              <w:spacing w:after="0"/>
              <w:rPr>
                <w:sz w:val="20"/>
                <w:szCs w:val="20"/>
                <w:color w:val="auto"/>
              </w:rPr>
            </w:pPr>
            <w:r>
              <w:rPr>
                <w:rFonts w:ascii="Arial" w:cs="Arial" w:eastAsia="Arial" w:hAnsi="Arial"/>
                <w:sz w:val="14"/>
                <w:szCs w:val="14"/>
                <w:color w:val="auto"/>
              </w:rPr>
              <w:t>1,700,000</w:t>
            </w:r>
          </w:p>
        </w:tc>
        <w:tc>
          <w:tcPr>
            <w:tcW w:w="640" w:type="dxa"/>
            <w:vAlign w:val="bottom"/>
            <w:tcBorders>
              <w:bottom w:val="single" w:sz="8" w:color="4A7EBB"/>
            </w:tcBorders>
          </w:tcPr>
          <w:p>
            <w:pPr>
              <w:ind w:left="46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4A7EBB"/>
            </w:tcBorders>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4A7EBB"/>
            </w:tcBorders>
          </w:tcPr>
          <w:p>
            <w:pPr>
              <w:ind w:left="44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4A7EBB"/>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4A7EBB"/>
            </w:tcBorders>
          </w:tcPr>
          <w:p>
            <w:pPr>
              <w:spacing w:after="0"/>
              <w:rPr>
                <w:sz w:val="15"/>
                <w:szCs w:val="15"/>
                <w:color w:val="auto"/>
              </w:rPr>
            </w:pPr>
          </w:p>
        </w:tc>
        <w:tc>
          <w:tcPr>
            <w:tcW w:w="1340" w:type="dxa"/>
            <w:vAlign w:val="bottom"/>
            <w:tcBorders>
              <w:bottom w:val="single" w:sz="8" w:color="4A7EBB"/>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1220" w:type="dxa"/>
            <w:vAlign w:val="bottom"/>
            <w:tcBorders>
              <w:bottom w:val="single" w:sz="8" w:color="4A7EBB"/>
            </w:tcBorders>
            <w:shd w:val="clear" w:color="auto" w:fill="F2F2F2"/>
          </w:tcPr>
          <w:p>
            <w:pPr>
              <w:spacing w:after="0"/>
              <w:rPr>
                <w:sz w:val="13"/>
                <w:szCs w:val="13"/>
                <w:color w:val="auto"/>
              </w:rPr>
            </w:pPr>
          </w:p>
        </w:tc>
        <w:tc>
          <w:tcPr>
            <w:tcW w:w="1100" w:type="dxa"/>
            <w:vAlign w:val="bottom"/>
            <w:tcBorders>
              <w:bottom w:val="single" w:sz="8" w:color="4A7EBB"/>
            </w:tcBorders>
            <w:shd w:val="clear" w:color="auto" w:fill="F2F2F2"/>
          </w:tcPr>
          <w:p>
            <w:pPr>
              <w:jc w:val="center"/>
              <w:spacing w:after="0" w:line="155" w:lineRule="exact"/>
              <w:rPr>
                <w:sz w:val="20"/>
                <w:szCs w:val="20"/>
                <w:color w:val="auto"/>
              </w:rPr>
            </w:pPr>
            <w:r>
              <w:rPr>
                <w:rFonts w:ascii="Arial" w:cs="Arial" w:eastAsia="Arial" w:hAnsi="Arial"/>
                <w:sz w:val="14"/>
                <w:szCs w:val="14"/>
                <w:color w:val="auto"/>
              </w:rPr>
              <w:t>PSUs</w:t>
            </w:r>
          </w:p>
        </w:tc>
        <w:tc>
          <w:tcPr>
            <w:tcW w:w="1320" w:type="dxa"/>
            <w:vAlign w:val="bottom"/>
            <w:tcBorders>
              <w:bottom w:val="single" w:sz="8" w:color="4A7EBB"/>
            </w:tcBorders>
            <w:shd w:val="clear" w:color="auto" w:fill="F2F2F2"/>
          </w:tcPr>
          <w:p>
            <w:pPr>
              <w:jc w:val="center"/>
              <w:spacing w:after="0" w:line="155" w:lineRule="exact"/>
              <w:rPr>
                <w:sz w:val="20"/>
                <w:szCs w:val="20"/>
                <w:color w:val="auto"/>
              </w:rPr>
            </w:pPr>
            <w:r>
              <w:rPr>
                <w:rFonts w:ascii="Arial" w:cs="Arial" w:eastAsia="Arial" w:hAnsi="Arial"/>
                <w:sz w:val="14"/>
                <w:szCs w:val="14"/>
                <w:color w:val="auto"/>
              </w:rPr>
              <w:t>March 19, 2025</w:t>
            </w:r>
          </w:p>
        </w:tc>
        <w:tc>
          <w:tcPr>
            <w:tcW w:w="140" w:type="dxa"/>
            <w:vAlign w:val="bottom"/>
            <w:tcBorders>
              <w:bottom w:val="single" w:sz="8" w:color="4A7EBB"/>
            </w:tcBorders>
            <w:shd w:val="clear" w:color="auto" w:fill="F2F2F2"/>
          </w:tcPr>
          <w:p>
            <w:pPr>
              <w:spacing w:after="0"/>
              <w:rPr>
                <w:sz w:val="13"/>
                <w:szCs w:val="13"/>
                <w:color w:val="auto"/>
              </w:rPr>
            </w:pPr>
          </w:p>
        </w:tc>
        <w:tc>
          <w:tcPr>
            <w:tcW w:w="680" w:type="dxa"/>
            <w:vAlign w:val="bottom"/>
            <w:tcBorders>
              <w:bottom w:val="single" w:sz="8" w:color="4A7EBB"/>
            </w:tcBorders>
            <w:shd w:val="clear" w:color="auto" w:fill="F2F2F2"/>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4A7EBB"/>
            </w:tcBorders>
            <w:shd w:val="clear" w:color="auto" w:fill="F2F2F2"/>
          </w:tcPr>
          <w:p>
            <w:pPr>
              <w:jc w:val="right"/>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4A7EBB"/>
            </w:tcBorders>
            <w:shd w:val="clear" w:color="auto" w:fill="F2F2F2"/>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4A7EBB"/>
            </w:tcBorders>
            <w:shd w:val="clear" w:color="auto" w:fill="F2F2F2"/>
          </w:tcPr>
          <w:p>
            <w:pPr>
              <w:jc w:val="center"/>
              <w:spacing w:after="0" w:line="155" w:lineRule="exact"/>
              <w:rPr>
                <w:sz w:val="20"/>
                <w:szCs w:val="20"/>
                <w:color w:val="auto"/>
              </w:rPr>
            </w:pPr>
            <w:r>
              <w:rPr>
                <w:rFonts w:ascii="Arial" w:cs="Arial" w:eastAsia="Arial" w:hAnsi="Arial"/>
                <w:sz w:val="14"/>
                <w:szCs w:val="14"/>
                <w:color w:val="auto"/>
              </w:rPr>
              <w:t>1,402</w:t>
            </w:r>
          </w:p>
        </w:tc>
        <w:tc>
          <w:tcPr>
            <w:tcW w:w="640" w:type="dxa"/>
            <w:vAlign w:val="bottom"/>
            <w:tcBorders>
              <w:bottom w:val="single" w:sz="8" w:color="4A7EBB"/>
            </w:tcBorders>
            <w:shd w:val="clear" w:color="auto" w:fill="F2F2F2"/>
          </w:tcPr>
          <w:p>
            <w:pPr>
              <w:jc w:val="right"/>
              <w:ind w:right="28"/>
              <w:spacing w:after="0" w:line="155" w:lineRule="exact"/>
              <w:rPr>
                <w:sz w:val="20"/>
                <w:szCs w:val="20"/>
                <w:color w:val="auto"/>
              </w:rPr>
            </w:pPr>
            <w:r>
              <w:rPr>
                <w:rFonts w:ascii="Arial" w:cs="Arial" w:eastAsia="Arial" w:hAnsi="Arial"/>
                <w:sz w:val="14"/>
                <w:szCs w:val="14"/>
                <w:color w:val="auto"/>
              </w:rPr>
              <w:t>11,223</w:t>
            </w:r>
          </w:p>
        </w:tc>
        <w:tc>
          <w:tcPr>
            <w:tcW w:w="640" w:type="dxa"/>
            <w:vAlign w:val="bottom"/>
            <w:tcBorders>
              <w:bottom w:val="single" w:sz="8" w:color="4A7EBB"/>
            </w:tcBorders>
            <w:shd w:val="clear" w:color="auto" w:fill="F2F2F2"/>
          </w:tcPr>
          <w:p>
            <w:pPr>
              <w:jc w:val="center"/>
              <w:spacing w:after="0" w:line="155" w:lineRule="exact"/>
              <w:rPr>
                <w:sz w:val="20"/>
                <w:szCs w:val="20"/>
                <w:color w:val="auto"/>
              </w:rPr>
            </w:pPr>
            <w:r>
              <w:rPr>
                <w:rFonts w:ascii="Arial" w:cs="Arial" w:eastAsia="Arial" w:hAnsi="Arial"/>
                <w:sz w:val="14"/>
                <w:szCs w:val="14"/>
                <w:color w:val="auto"/>
              </w:rPr>
              <w:t>16,834</w:t>
            </w:r>
          </w:p>
        </w:tc>
        <w:tc>
          <w:tcPr>
            <w:tcW w:w="560" w:type="dxa"/>
            <w:vAlign w:val="bottom"/>
            <w:tcBorders>
              <w:bottom w:val="single" w:sz="8" w:color="4A7EBB"/>
            </w:tcBorders>
            <w:shd w:val="clear" w:color="auto" w:fill="F2F2F2"/>
          </w:tcPr>
          <w:p>
            <w:pPr>
              <w:jc w:val="right"/>
              <w:spacing w:after="0" w:line="155"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4A7EBB"/>
            </w:tcBorders>
            <w:shd w:val="clear" w:color="auto" w:fill="F2F2F2"/>
          </w:tcPr>
          <w:p>
            <w:pPr>
              <w:spacing w:after="0"/>
              <w:rPr>
                <w:sz w:val="13"/>
                <w:szCs w:val="13"/>
                <w:color w:val="auto"/>
              </w:rPr>
            </w:pPr>
          </w:p>
        </w:tc>
        <w:tc>
          <w:tcPr>
            <w:tcW w:w="1340" w:type="dxa"/>
            <w:vAlign w:val="bottom"/>
            <w:tcBorders>
              <w:bottom w:val="single" w:sz="8" w:color="4A7EBB"/>
            </w:tcBorders>
            <w:shd w:val="clear" w:color="auto" w:fill="F2F2F2"/>
          </w:tcPr>
          <w:p>
            <w:pPr>
              <w:jc w:val="right"/>
              <w:spacing w:after="0" w:line="155" w:lineRule="exact"/>
              <w:rPr>
                <w:sz w:val="20"/>
                <w:szCs w:val="20"/>
                <w:color w:val="auto"/>
              </w:rPr>
            </w:pPr>
            <w:r>
              <w:rPr>
                <w:rFonts w:ascii="Arial" w:cs="Arial" w:eastAsia="Arial" w:hAnsi="Arial"/>
                <w:sz w:val="14"/>
                <w:szCs w:val="14"/>
                <w:color w:val="auto"/>
              </w:rPr>
              <w:t>$299,991</w:t>
            </w:r>
          </w:p>
        </w:tc>
        <w:tc>
          <w:tcPr>
            <w:tcW w:w="0" w:type="dxa"/>
            <w:vAlign w:val="bottom"/>
          </w:tcPr>
          <w:p>
            <w:pPr>
              <w:spacing w:after="0"/>
              <w:rPr>
                <w:sz w:val="1"/>
                <w:szCs w:val="1"/>
                <w:color w:val="auto"/>
              </w:rPr>
            </w:pPr>
          </w:p>
        </w:tc>
      </w:tr>
      <w:tr>
        <w:trPr>
          <w:trHeight w:val="183"/>
        </w:trPr>
        <w:tc>
          <w:tcPr>
            <w:tcW w:w="1220" w:type="dxa"/>
            <w:vAlign w:val="bottom"/>
            <w:tcBorders>
              <w:bottom w:val="single" w:sz="8" w:color="4A7EBB"/>
            </w:tcBorders>
          </w:tcPr>
          <w:p>
            <w:pPr>
              <w:spacing w:after="0"/>
              <w:rPr>
                <w:sz w:val="15"/>
                <w:szCs w:val="15"/>
                <w:color w:val="auto"/>
              </w:rPr>
            </w:pPr>
          </w:p>
        </w:tc>
        <w:tc>
          <w:tcPr>
            <w:tcW w:w="1100" w:type="dxa"/>
            <w:vAlign w:val="bottom"/>
            <w:tcBorders>
              <w:bottom w:val="single" w:sz="8" w:color="4A7EBB"/>
            </w:tcBorders>
          </w:tcPr>
          <w:p>
            <w:pPr>
              <w:jc w:val="center"/>
              <w:spacing w:after="0"/>
              <w:rPr>
                <w:sz w:val="20"/>
                <w:szCs w:val="20"/>
                <w:color w:val="auto"/>
              </w:rPr>
            </w:pPr>
            <w:r>
              <w:rPr>
                <w:rFonts w:ascii="Arial" w:cs="Arial" w:eastAsia="Arial" w:hAnsi="Arial"/>
                <w:sz w:val="14"/>
                <w:szCs w:val="14"/>
                <w:color w:val="auto"/>
              </w:rPr>
              <w:t>RSUs</w:t>
            </w:r>
          </w:p>
        </w:tc>
        <w:tc>
          <w:tcPr>
            <w:tcW w:w="1320" w:type="dxa"/>
            <w:vAlign w:val="bottom"/>
            <w:tcBorders>
              <w:bottom w:val="single" w:sz="8" w:color="4A7EBB"/>
            </w:tcBorders>
          </w:tcPr>
          <w:p>
            <w:pPr>
              <w:jc w:val="center"/>
              <w:spacing w:after="0"/>
              <w:rPr>
                <w:sz w:val="20"/>
                <w:szCs w:val="20"/>
                <w:color w:val="auto"/>
              </w:rPr>
            </w:pPr>
            <w:r>
              <w:rPr>
                <w:rFonts w:ascii="Arial" w:cs="Arial" w:eastAsia="Arial" w:hAnsi="Arial"/>
                <w:sz w:val="14"/>
                <w:szCs w:val="14"/>
                <w:color w:val="auto"/>
              </w:rPr>
              <w:t>March 19, 2025</w:t>
            </w:r>
          </w:p>
        </w:tc>
        <w:tc>
          <w:tcPr>
            <w:tcW w:w="140" w:type="dxa"/>
            <w:vAlign w:val="bottom"/>
            <w:tcBorders>
              <w:bottom w:val="single" w:sz="8" w:color="4A7EBB"/>
            </w:tcBorders>
          </w:tcPr>
          <w:p>
            <w:pPr>
              <w:spacing w:after="0"/>
              <w:rPr>
                <w:sz w:val="15"/>
                <w:szCs w:val="15"/>
                <w:color w:val="auto"/>
              </w:rPr>
            </w:pPr>
          </w:p>
        </w:tc>
        <w:tc>
          <w:tcPr>
            <w:tcW w:w="680" w:type="dxa"/>
            <w:vAlign w:val="bottom"/>
            <w:tcBorders>
              <w:bottom w:val="single" w:sz="8" w:color="4A7EBB"/>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4A7EBB"/>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4A7EBB"/>
            </w:tcBorders>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4A7EBB"/>
            </w:tcBorders>
          </w:tcPr>
          <w:p>
            <w:pPr>
              <w:ind w:left="46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4A7EBB"/>
            </w:tcBorders>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4A7EBB"/>
            </w:tcBorders>
          </w:tcPr>
          <w:p>
            <w:pPr>
              <w:ind w:left="44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4A7EBB"/>
            </w:tcBorders>
          </w:tcPr>
          <w:p>
            <w:pPr>
              <w:jc w:val="right"/>
              <w:spacing w:after="0"/>
              <w:rPr>
                <w:sz w:val="20"/>
                <w:szCs w:val="20"/>
                <w:color w:val="auto"/>
              </w:rPr>
            </w:pPr>
            <w:r>
              <w:rPr>
                <w:rFonts w:ascii="Arial" w:cs="Arial" w:eastAsia="Arial" w:hAnsi="Arial"/>
                <w:sz w:val="14"/>
                <w:szCs w:val="14"/>
                <w:color w:val="auto"/>
              </w:rPr>
              <w:t>11,223</w:t>
            </w:r>
          </w:p>
        </w:tc>
        <w:tc>
          <w:tcPr>
            <w:tcW w:w="180" w:type="dxa"/>
            <w:vAlign w:val="bottom"/>
            <w:tcBorders>
              <w:bottom w:val="single" w:sz="8" w:color="4A7EBB"/>
            </w:tcBorders>
          </w:tcPr>
          <w:p>
            <w:pPr>
              <w:jc w:val="right"/>
              <w:spacing w:after="0"/>
              <w:rPr>
                <w:sz w:val="20"/>
                <w:szCs w:val="20"/>
                <w:color w:val="auto"/>
              </w:rPr>
            </w:pPr>
            <w:r>
              <w:rPr>
                <w:rFonts w:ascii="Arial" w:cs="Arial" w:eastAsia="Arial" w:hAnsi="Arial"/>
                <w:sz w:val="12"/>
                <w:szCs w:val="12"/>
                <w:color w:val="auto"/>
                <w:w w:val="95"/>
              </w:rPr>
              <w:t>(3)</w:t>
            </w:r>
          </w:p>
        </w:tc>
        <w:tc>
          <w:tcPr>
            <w:tcW w:w="1340" w:type="dxa"/>
            <w:vAlign w:val="bottom"/>
            <w:tcBorders>
              <w:bottom w:val="single" w:sz="8" w:color="4A7EBB"/>
            </w:tcBorders>
          </w:tcPr>
          <w:p>
            <w:pPr>
              <w:jc w:val="right"/>
              <w:spacing w:after="0"/>
              <w:rPr>
                <w:sz w:val="20"/>
                <w:szCs w:val="20"/>
                <w:color w:val="auto"/>
              </w:rPr>
            </w:pPr>
            <w:r>
              <w:rPr>
                <w:rFonts w:ascii="Arial" w:cs="Arial" w:eastAsia="Arial" w:hAnsi="Arial"/>
                <w:sz w:val="14"/>
                <w:szCs w:val="14"/>
                <w:color w:val="auto"/>
              </w:rPr>
              <w:t>$299,991</w:t>
            </w:r>
          </w:p>
        </w:tc>
        <w:tc>
          <w:tcPr>
            <w:tcW w:w="0" w:type="dxa"/>
            <w:vAlign w:val="bottom"/>
          </w:tcPr>
          <w:p>
            <w:pPr>
              <w:spacing w:after="0"/>
              <w:rPr>
                <w:sz w:val="1"/>
                <w:szCs w:val="1"/>
                <w:color w:val="auto"/>
              </w:rPr>
            </w:pPr>
          </w:p>
        </w:tc>
      </w:tr>
      <w:tr>
        <w:trPr>
          <w:trHeight w:val="183"/>
        </w:trPr>
        <w:tc>
          <w:tcPr>
            <w:tcW w:w="1220" w:type="dxa"/>
            <w:vAlign w:val="bottom"/>
            <w:tcBorders>
              <w:bottom w:val="single" w:sz="8" w:color="4A7EBB"/>
            </w:tcBorders>
            <w:shd w:val="clear" w:color="auto" w:fill="F2F2F2"/>
          </w:tcPr>
          <w:p>
            <w:pPr>
              <w:spacing w:after="0"/>
              <w:rPr>
                <w:sz w:val="15"/>
                <w:szCs w:val="15"/>
                <w:color w:val="auto"/>
              </w:rPr>
            </w:pPr>
          </w:p>
        </w:tc>
        <w:tc>
          <w:tcPr>
            <w:tcW w:w="1100" w:type="dxa"/>
            <w:vAlign w:val="bottom"/>
            <w:tcBorders>
              <w:bottom w:val="single" w:sz="8" w:color="4A7EBB"/>
            </w:tcBorders>
            <w:shd w:val="clear" w:color="auto" w:fill="F2F2F2"/>
          </w:tcPr>
          <w:p>
            <w:pPr>
              <w:jc w:val="center"/>
              <w:spacing w:after="0"/>
              <w:rPr>
                <w:sz w:val="20"/>
                <w:szCs w:val="20"/>
                <w:color w:val="auto"/>
              </w:rPr>
            </w:pPr>
            <w:r>
              <w:rPr>
                <w:rFonts w:ascii="Arial" w:cs="Arial" w:eastAsia="Arial" w:hAnsi="Arial"/>
                <w:sz w:val="14"/>
                <w:szCs w:val="14"/>
                <w:color w:val="auto"/>
              </w:rPr>
              <w:t>RSUs</w:t>
            </w:r>
          </w:p>
        </w:tc>
        <w:tc>
          <w:tcPr>
            <w:tcW w:w="1320" w:type="dxa"/>
            <w:vAlign w:val="bottom"/>
            <w:tcBorders>
              <w:bottom w:val="single" w:sz="8" w:color="4A7EBB"/>
            </w:tcBorders>
            <w:shd w:val="clear" w:color="auto" w:fill="F2F2F2"/>
          </w:tcPr>
          <w:p>
            <w:pPr>
              <w:jc w:val="center"/>
              <w:spacing w:after="0"/>
              <w:rPr>
                <w:sz w:val="20"/>
                <w:szCs w:val="20"/>
                <w:color w:val="auto"/>
              </w:rPr>
            </w:pPr>
            <w:r>
              <w:rPr>
                <w:rFonts w:ascii="Arial" w:cs="Arial" w:eastAsia="Arial" w:hAnsi="Arial"/>
                <w:sz w:val="14"/>
                <w:szCs w:val="14"/>
                <w:color w:val="auto"/>
              </w:rPr>
              <w:t>December 12, 2025</w:t>
            </w:r>
          </w:p>
        </w:tc>
        <w:tc>
          <w:tcPr>
            <w:tcW w:w="140" w:type="dxa"/>
            <w:vAlign w:val="bottom"/>
            <w:tcBorders>
              <w:bottom w:val="single" w:sz="8" w:color="4A7EBB"/>
            </w:tcBorders>
            <w:shd w:val="clear" w:color="auto" w:fill="F2F2F2"/>
          </w:tcPr>
          <w:p>
            <w:pPr>
              <w:spacing w:after="0"/>
              <w:rPr>
                <w:sz w:val="15"/>
                <w:szCs w:val="15"/>
                <w:color w:val="auto"/>
              </w:rPr>
            </w:pPr>
          </w:p>
        </w:tc>
        <w:tc>
          <w:tcPr>
            <w:tcW w:w="680" w:type="dxa"/>
            <w:vAlign w:val="bottom"/>
            <w:tcBorders>
              <w:bottom w:val="single" w:sz="8" w:color="4A7EBB"/>
            </w:tcBorders>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4A7EBB"/>
            </w:tcBorders>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4A7EBB"/>
            </w:tcBorders>
            <w:shd w:val="clear" w:color="auto" w:fill="F2F2F2"/>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4A7EBB"/>
            </w:tcBorders>
            <w:shd w:val="clear" w:color="auto" w:fill="F2F2F2"/>
          </w:tcPr>
          <w:p>
            <w:pPr>
              <w:ind w:left="46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4A7EBB"/>
            </w:tcBorders>
            <w:shd w:val="clear" w:color="auto" w:fill="F2F2F2"/>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4A7EBB"/>
            </w:tcBorders>
            <w:shd w:val="clear" w:color="auto" w:fill="F2F2F2"/>
          </w:tcPr>
          <w:p>
            <w:pPr>
              <w:ind w:left="44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4A7EBB"/>
            </w:tcBorders>
            <w:shd w:val="clear" w:color="auto" w:fill="F2F2F2"/>
          </w:tcPr>
          <w:p>
            <w:pPr>
              <w:jc w:val="right"/>
              <w:spacing w:after="0"/>
              <w:rPr>
                <w:sz w:val="20"/>
                <w:szCs w:val="20"/>
                <w:color w:val="auto"/>
              </w:rPr>
            </w:pPr>
            <w:r>
              <w:rPr>
                <w:rFonts w:ascii="Arial" w:cs="Arial" w:eastAsia="Arial" w:hAnsi="Arial"/>
                <w:sz w:val="14"/>
                <w:szCs w:val="14"/>
                <w:color w:val="auto"/>
              </w:rPr>
              <w:t>63,673</w:t>
            </w:r>
          </w:p>
        </w:tc>
        <w:tc>
          <w:tcPr>
            <w:tcW w:w="180" w:type="dxa"/>
            <w:vAlign w:val="bottom"/>
            <w:tcBorders>
              <w:bottom w:val="single" w:sz="8" w:color="4A7EBB"/>
            </w:tcBorders>
            <w:shd w:val="clear" w:color="auto" w:fill="F2F2F2"/>
          </w:tcPr>
          <w:p>
            <w:pPr>
              <w:jc w:val="right"/>
              <w:spacing w:after="0"/>
              <w:rPr>
                <w:sz w:val="20"/>
                <w:szCs w:val="20"/>
                <w:color w:val="auto"/>
              </w:rPr>
            </w:pPr>
            <w:r>
              <w:rPr>
                <w:rFonts w:ascii="Arial" w:cs="Arial" w:eastAsia="Arial" w:hAnsi="Arial"/>
                <w:sz w:val="12"/>
                <w:szCs w:val="12"/>
                <w:color w:val="auto"/>
                <w:w w:val="95"/>
              </w:rPr>
              <w:t>(5)</w:t>
            </w:r>
          </w:p>
        </w:tc>
        <w:tc>
          <w:tcPr>
            <w:tcW w:w="1340" w:type="dxa"/>
            <w:vAlign w:val="bottom"/>
            <w:tcBorders>
              <w:bottom w:val="single" w:sz="8" w:color="4A7EBB"/>
            </w:tcBorders>
            <w:shd w:val="clear" w:color="auto" w:fill="F2F2F2"/>
          </w:tcPr>
          <w:p>
            <w:pPr>
              <w:jc w:val="right"/>
              <w:spacing w:after="0"/>
              <w:rPr>
                <w:sz w:val="20"/>
                <w:szCs w:val="20"/>
                <w:color w:val="auto"/>
              </w:rPr>
            </w:pPr>
            <w:r>
              <w:rPr>
                <w:rFonts w:ascii="Arial" w:cs="Arial" w:eastAsia="Arial" w:hAnsi="Arial"/>
                <w:sz w:val="14"/>
                <w:szCs w:val="14"/>
                <w:color w:val="auto"/>
              </w:rPr>
              <w:t>$1,999,969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-2442210</wp:posOffset>
            </wp:positionV>
            <wp:extent cx="8255" cy="2442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255" cy="2442845"/>
                    </a:xfrm>
                    <a:prstGeom prst="rect">
                      <a:avLst/>
                    </a:prstGeom>
                    <a:noFill/>
                  </pic:spPr>
                </pic:pic>
              </a:graphicData>
            </a:graphic>
          </wp:anchor>
        </w:drawing>
        <w:drawing>
          <wp:anchor simplePos="0" relativeHeight="251657728" behindDoc="1" locked="0" layoutInCell="0" allowOverlap="1">
            <wp:simplePos x="0" y="0"/>
            <wp:positionH relativeFrom="column">
              <wp:posOffset>786130</wp:posOffset>
            </wp:positionH>
            <wp:positionV relativeFrom="paragraph">
              <wp:posOffset>-2442210</wp:posOffset>
            </wp:positionV>
            <wp:extent cx="8890" cy="2442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890" cy="2442845"/>
                    </a:xfrm>
                    <a:prstGeom prst="rect">
                      <a:avLst/>
                    </a:prstGeom>
                    <a:noFill/>
                  </pic:spPr>
                </pic:pic>
              </a:graphicData>
            </a:graphic>
          </wp:anchor>
        </w:drawing>
      </w:r>
    </w:p>
    <w:p>
      <w:pPr>
        <w:spacing w:after="0" w:line="155" w:lineRule="exact"/>
        <w:rPr>
          <w:sz w:val="20"/>
          <w:szCs w:val="20"/>
          <w:color w:val="auto"/>
        </w:rPr>
      </w:pPr>
    </w:p>
    <w:p>
      <w:pPr>
        <w:jc w:val="both"/>
        <w:ind w:left="340" w:hanging="332"/>
        <w:spacing w:after="0" w:line="256" w:lineRule="auto"/>
        <w:tabs>
          <w:tab w:leader="none" w:pos="3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terms of the annual cash incentive award opportunity for each of our Named Executive Officers are described under “Compensation Discussion and Analysis-Annual Cash Incentives for Our Named Executive Officers.” No annual cash incentive is payable to Morris Goldfarb, Sammy Aaron and Jeffrey Goldfarb, and 60% of the annual cash incentive is payable to Neal Nackman and Dana Perlman, if adjusted pre-tax income falls below a threshold amount calculated based on the formula for reducing the award if actual pre-tax income is below the forecast.</w:t>
      </w:r>
    </w:p>
    <w:p>
      <w:pPr>
        <w:spacing w:after="0" w:line="152" w:lineRule="exact"/>
        <w:rPr>
          <w:rFonts w:ascii="Arial" w:cs="Arial" w:eastAsia="Arial" w:hAnsi="Arial"/>
          <w:sz w:val="16"/>
          <w:szCs w:val="16"/>
          <w:color w:val="auto"/>
        </w:rPr>
      </w:pPr>
    </w:p>
    <w:p>
      <w:pPr>
        <w:jc w:val="both"/>
        <w:ind w:left="340" w:hanging="332"/>
        <w:spacing w:after="0" w:line="256" w:lineRule="auto"/>
        <w:tabs>
          <w:tab w:leader="none" w:pos="3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amounts reflect the number of PSUs awarded to the Named Executive Officers in fiscal 2026. The actual number of PSUs that vest may be larger or smaller than the target amounts in this table, or may be zero if actual results are lower than the threshold target performance metrics established by our Compensation Committee. The shares awarded for achieving threshold performance goals is 50% of target. Threshold was determined based on achieving the minimum performance level for only one of the two performance measures. See “Compensation Discussion and Analysis—Long-Term Incentives” for a description of the terms of these awards.</w:t>
      </w:r>
    </w:p>
    <w:p>
      <w:pPr>
        <w:spacing w:after="0" w:line="152" w:lineRule="exact"/>
        <w:rPr>
          <w:rFonts w:ascii="Arial" w:cs="Arial" w:eastAsia="Arial" w:hAnsi="Arial"/>
          <w:sz w:val="16"/>
          <w:szCs w:val="16"/>
          <w:color w:val="auto"/>
        </w:rPr>
      </w:pPr>
    </w:p>
    <w:p>
      <w:pPr>
        <w:jc w:val="both"/>
        <w:ind w:left="340" w:hanging="332"/>
        <w:spacing w:after="0" w:line="266" w:lineRule="auto"/>
        <w:tabs>
          <w:tab w:leader="none" w:pos="3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amounts reflect the number of RSUs awarded to the Named Executive Officers in fiscal 2026. The RSUs cliff vest on April 1, 2028, subject to the applicable Named Executive Officer’s continuous employment or other service with G-III through the applicable vesting date: See “Compensation Discussion and Analysis—Long-Term Incentives” for a description of the terms of these awards.</w:t>
      </w:r>
    </w:p>
    <w:p>
      <w:pPr>
        <w:spacing w:after="0" w:line="144" w:lineRule="exact"/>
        <w:rPr>
          <w:rFonts w:ascii="Arial" w:cs="Arial" w:eastAsia="Arial" w:hAnsi="Arial"/>
          <w:sz w:val="16"/>
          <w:szCs w:val="16"/>
          <w:color w:val="auto"/>
        </w:rPr>
      </w:pPr>
    </w:p>
    <w:p>
      <w:pPr>
        <w:jc w:val="both"/>
        <w:ind w:left="340" w:hanging="332"/>
        <w:spacing w:after="0" w:line="266" w:lineRule="auto"/>
        <w:tabs>
          <w:tab w:leader="none" w:pos="335"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amounts reflect the number of RSUs awarded to Jeffrey Goldfarb in fiscal 2026. The RSUs cliff vest on April 1, 2030, subject to his continuous employment or other service with G-III through the applicable vesting date: See “Compensation Discussion and Analysis—Retention Grants” for a description of the terms of these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391795</wp:posOffset>
            </wp:positionV>
            <wp:extent cx="629221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288925</wp:posOffset>
            </wp:positionH>
            <wp:positionV relativeFrom="paragraph">
              <wp:posOffset>443230</wp:posOffset>
            </wp:positionV>
            <wp:extent cx="265430" cy="15430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6543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20"/>
          <w:szCs w:val="20"/>
          <w:b w:val="1"/>
          <w:bCs w:val="1"/>
          <w:color w:val="4A7EBB"/>
        </w:rPr>
        <w:t xml:space="preserve">42 </w:t>
      </w:r>
      <w:r>
        <w:rPr>
          <w:rFonts w:ascii="Arial" w:cs="Arial" w:eastAsia="Arial" w:hAnsi="Arial"/>
          <w:sz w:val="20"/>
          <w:szCs w:val="20"/>
          <w:color w:val="80808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17780</wp:posOffset>
            </wp:positionV>
            <wp:extent cx="629221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23" w:lineRule="exact"/>
        <w:rPr>
          <w:sz w:val="20"/>
          <w:szCs w:val="20"/>
          <w:color w:val="auto"/>
        </w:rPr>
      </w:pPr>
    </w:p>
    <w:p>
      <w:pPr>
        <w:jc w:val="both"/>
        <w:ind w:left="340" w:hanging="332"/>
        <w:spacing w:after="0" w:line="259" w:lineRule="auto"/>
        <w:tabs>
          <w:tab w:leader="none" w:pos="335"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amounts reflect the number of RSUs awarded to Jeffrey Goldfarb and Dana Perlman in fiscal 2026 to support retention of key next generation leaders. The RSUs vest on December 12, 2030, subject to the applicable Named Executive Officer’s continuous employment or other service with G-III through the applicable vesting date: See “Compensation Discussion and Analysis—Retention Grants” for a description of the terms of these awards.</w:t>
      </w:r>
    </w:p>
    <w:p>
      <w:pPr>
        <w:spacing w:after="0" w:line="150" w:lineRule="exact"/>
        <w:rPr>
          <w:rFonts w:ascii="Arial" w:cs="Arial" w:eastAsia="Arial" w:hAnsi="Arial"/>
          <w:sz w:val="16"/>
          <w:szCs w:val="16"/>
          <w:color w:val="auto"/>
        </w:rPr>
      </w:pPr>
    </w:p>
    <w:p>
      <w:pPr>
        <w:jc w:val="both"/>
        <w:ind w:left="340" w:hanging="332"/>
        <w:spacing w:after="0" w:line="266" w:lineRule="auto"/>
        <w:tabs>
          <w:tab w:leader="none" w:pos="335"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amounts reflect the full grant date fair value under ASC 718 of the PSUs and RSUs awarded to the Named Executive Officers in fiscal 2026. For a discussion of valuation assumptions, see Note 12 to our consolidated financial statements included in our Annual Report on Form 10-K for the year ended January 31, 2026.</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4A7EBB"/>
        </w:rPr>
        <w:t>OUTSTANDING EQUITY AWARDS AT FISCAL 2026 YEAR-END</w:t>
      </w:r>
    </w:p>
    <w:p>
      <w:pPr>
        <w:spacing w:after="0" w:line="175"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following table summarizes the outstanding stock awards held by each Named Executive Officer at January 31, 2026, consisting of shares of our Common Stock that may be delivered to each Named Executive Officer upon satisfaction of the vesting conditions of unvested PSUs, Inducement PSUs and RSUs. There were no stock option awards outstanding at that date held by our Named Executive Officers. The columns that refer to the number of or market value of “Shares or Units of Stock That Have Not Vested” summarize time-based RSUs granted which remained subject to cliff time vesting conditions as of January 31, 2026. The columns that refer to the number of or market value of “Unearned Shares or Units That Have Not Vested” summarize unvested PSUs and Inducement PSUs granted, as detailed in the footnotes to the table, for which neither threshold performance conditions nor time vesting conditions had been satisfied as of January 31, 2026.</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060" w:type="dxa"/>
            <w:vAlign w:val="bottom"/>
            <w:tcBorders>
              <w:top w:val="single" w:sz="8" w:color="4A7EBB"/>
              <w:bottom w:val="single" w:sz="8" w:color="DBE5F1"/>
            </w:tcBorders>
            <w:shd w:val="clear" w:color="auto" w:fill="DBE5F1"/>
          </w:tcPr>
          <w:p>
            <w:pPr>
              <w:spacing w:after="0"/>
              <w:rPr>
                <w:sz w:val="15"/>
                <w:szCs w:val="15"/>
                <w:color w:val="auto"/>
              </w:rPr>
            </w:pPr>
          </w:p>
        </w:tc>
        <w:tc>
          <w:tcPr>
            <w:tcW w:w="200" w:type="dxa"/>
            <w:vAlign w:val="bottom"/>
            <w:tcBorders>
              <w:top w:val="single" w:sz="8" w:color="4A7EBB"/>
              <w:bottom w:val="single" w:sz="8" w:color="DBE5F1"/>
              <w:right w:val="single" w:sz="8" w:color="DBE5F1"/>
            </w:tcBorders>
            <w:shd w:val="clear" w:color="auto" w:fill="DBE5F1"/>
          </w:tcPr>
          <w:p>
            <w:pPr>
              <w:spacing w:after="0"/>
              <w:rPr>
                <w:sz w:val="15"/>
                <w:szCs w:val="15"/>
                <w:color w:val="auto"/>
              </w:rPr>
            </w:pPr>
          </w:p>
        </w:tc>
        <w:tc>
          <w:tcPr>
            <w:tcW w:w="1140" w:type="dxa"/>
            <w:vAlign w:val="bottom"/>
            <w:tcBorders>
              <w:top w:val="single" w:sz="8" w:color="4A7EBB"/>
              <w:bottom w:val="single" w:sz="8" w:color="4A7EBB"/>
            </w:tcBorders>
            <w:shd w:val="clear" w:color="auto" w:fill="DBE5F1"/>
          </w:tcPr>
          <w:p>
            <w:pPr>
              <w:spacing w:after="0"/>
              <w:rPr>
                <w:sz w:val="15"/>
                <w:szCs w:val="15"/>
                <w:color w:val="auto"/>
              </w:rPr>
            </w:pPr>
          </w:p>
        </w:tc>
        <w:tc>
          <w:tcPr>
            <w:tcW w:w="220" w:type="dxa"/>
            <w:vAlign w:val="bottom"/>
            <w:tcBorders>
              <w:top w:val="single" w:sz="8" w:color="4A7EBB"/>
              <w:bottom w:val="single" w:sz="8" w:color="4A7EBB"/>
            </w:tcBorders>
            <w:shd w:val="clear" w:color="auto" w:fill="DBE5F1"/>
          </w:tcPr>
          <w:p>
            <w:pPr>
              <w:spacing w:after="0"/>
              <w:rPr>
                <w:sz w:val="15"/>
                <w:szCs w:val="15"/>
                <w:color w:val="auto"/>
              </w:rPr>
            </w:pPr>
          </w:p>
        </w:tc>
        <w:tc>
          <w:tcPr>
            <w:tcW w:w="3420" w:type="dxa"/>
            <w:vAlign w:val="bottom"/>
            <w:tcBorders>
              <w:top w:val="single" w:sz="8" w:color="4A7EBB"/>
              <w:bottom w:val="single" w:sz="8" w:color="4A7EBB"/>
            </w:tcBorders>
            <w:gridSpan w:val="2"/>
            <w:shd w:val="clear" w:color="auto" w:fill="DBE5F1"/>
          </w:tcPr>
          <w:p>
            <w:pPr>
              <w:ind w:left="1480"/>
              <w:spacing w:after="0"/>
              <w:rPr>
                <w:sz w:val="20"/>
                <w:szCs w:val="20"/>
                <w:color w:val="auto"/>
              </w:rPr>
            </w:pPr>
            <w:r>
              <w:rPr>
                <w:rFonts w:ascii="Arial" w:cs="Arial" w:eastAsia="Arial" w:hAnsi="Arial"/>
                <w:sz w:val="14"/>
                <w:szCs w:val="14"/>
                <w:b w:val="1"/>
                <w:bCs w:val="1"/>
                <w:color w:val="auto"/>
              </w:rPr>
              <w:t>Stock Awards</w:t>
            </w:r>
          </w:p>
        </w:tc>
        <w:tc>
          <w:tcPr>
            <w:tcW w:w="260" w:type="dxa"/>
            <w:vAlign w:val="bottom"/>
            <w:tcBorders>
              <w:top w:val="single" w:sz="8" w:color="4A7EBB"/>
              <w:bottom w:val="single" w:sz="8" w:color="4A7EBB"/>
            </w:tcBorders>
            <w:shd w:val="clear" w:color="auto" w:fill="DBE5F1"/>
          </w:tcPr>
          <w:p>
            <w:pPr>
              <w:spacing w:after="0"/>
              <w:rPr>
                <w:sz w:val="15"/>
                <w:szCs w:val="15"/>
                <w:color w:val="auto"/>
              </w:rPr>
            </w:pPr>
          </w:p>
        </w:tc>
        <w:tc>
          <w:tcPr>
            <w:tcW w:w="1620" w:type="dxa"/>
            <w:vAlign w:val="bottom"/>
            <w:tcBorders>
              <w:top w:val="single" w:sz="8" w:color="4A7EBB"/>
              <w:bottom w:val="single" w:sz="8" w:color="4A7EBB"/>
            </w:tcBorders>
            <w:shd w:val="clear" w:color="auto" w:fill="DBE5F1"/>
          </w:tcPr>
          <w:p>
            <w:pPr>
              <w:spacing w:after="0"/>
              <w:rPr>
                <w:sz w:val="15"/>
                <w:szCs w:val="15"/>
                <w:color w:val="auto"/>
              </w:rPr>
            </w:pPr>
          </w:p>
        </w:tc>
      </w:tr>
      <w:tr>
        <w:trPr>
          <w:trHeight w:val="156"/>
        </w:trPr>
        <w:tc>
          <w:tcPr>
            <w:tcW w:w="3060" w:type="dxa"/>
            <w:vAlign w:val="bottom"/>
            <w:shd w:val="clear" w:color="auto" w:fill="DBE5F1"/>
          </w:tcPr>
          <w:p>
            <w:pPr>
              <w:spacing w:after="0"/>
              <w:rPr>
                <w:sz w:val="13"/>
                <w:szCs w:val="13"/>
                <w:color w:val="auto"/>
              </w:rPr>
            </w:pPr>
          </w:p>
        </w:tc>
        <w:tc>
          <w:tcPr>
            <w:tcW w:w="200" w:type="dxa"/>
            <w:vAlign w:val="bottom"/>
            <w:tcBorders>
              <w:right w:val="single" w:sz="8" w:color="DBE5F1"/>
            </w:tcBorders>
            <w:shd w:val="clear" w:color="auto" w:fill="DBE5F1"/>
          </w:tcPr>
          <w:p>
            <w:pPr>
              <w:ind w:left="80"/>
              <w:spacing w:after="0" w:line="155" w:lineRule="exact"/>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DBE5F1"/>
          </w:tcPr>
          <w:p>
            <w:pPr>
              <w:jc w:val="center"/>
              <w:spacing w:after="0" w:line="155" w:lineRule="exact"/>
              <w:rPr>
                <w:sz w:val="20"/>
                <w:szCs w:val="20"/>
                <w:color w:val="auto"/>
              </w:rPr>
            </w:pPr>
            <w:r>
              <w:rPr>
                <w:rFonts w:ascii="Arial" w:cs="Arial" w:eastAsia="Arial" w:hAnsi="Arial"/>
                <w:sz w:val="14"/>
                <w:szCs w:val="14"/>
                <w:b w:val="1"/>
                <w:bCs w:val="1"/>
                <w:color w:val="auto"/>
                <w:w w:val="99"/>
              </w:rPr>
              <w:t>Number of</w:t>
            </w:r>
          </w:p>
        </w:tc>
        <w:tc>
          <w:tcPr>
            <w:tcW w:w="220" w:type="dxa"/>
            <w:vAlign w:val="bottom"/>
            <w:shd w:val="clear" w:color="auto" w:fill="DBE5F1"/>
          </w:tcPr>
          <w:p>
            <w:pPr>
              <w:ind w:left="100"/>
              <w:spacing w:after="0" w:line="155" w:lineRule="exact"/>
              <w:rPr>
                <w:sz w:val="20"/>
                <w:szCs w:val="20"/>
                <w:color w:val="auto"/>
              </w:rPr>
            </w:pPr>
            <w:r>
              <w:rPr>
                <w:rFonts w:ascii="Arial" w:cs="Arial" w:eastAsia="Arial" w:hAnsi="Arial"/>
                <w:sz w:val="14"/>
                <w:szCs w:val="14"/>
                <w:b w:val="1"/>
                <w:bCs w:val="1"/>
                <w:color w:val="auto"/>
              </w:rPr>
              <w:t>​​​</w:t>
            </w:r>
          </w:p>
        </w:tc>
        <w:tc>
          <w:tcPr>
            <w:tcW w:w="1780" w:type="dxa"/>
            <w:vAlign w:val="bottom"/>
            <w:shd w:val="clear" w:color="auto" w:fill="DBE5F1"/>
          </w:tcPr>
          <w:p>
            <w:pPr>
              <w:spacing w:after="0"/>
              <w:rPr>
                <w:sz w:val="13"/>
                <w:szCs w:val="13"/>
                <w:color w:val="auto"/>
              </w:rPr>
            </w:pPr>
          </w:p>
        </w:tc>
        <w:tc>
          <w:tcPr>
            <w:tcW w:w="1640" w:type="dxa"/>
            <w:vAlign w:val="bottom"/>
            <w:shd w:val="clear" w:color="auto" w:fill="DBE5F1"/>
          </w:tcPr>
          <w:p>
            <w:pPr>
              <w:ind w:left="80"/>
              <w:spacing w:after="0" w:line="155" w:lineRule="exact"/>
              <w:rPr>
                <w:sz w:val="20"/>
                <w:szCs w:val="20"/>
                <w:color w:val="auto"/>
              </w:rPr>
            </w:pPr>
            <w:r>
              <w:rPr>
                <w:rFonts w:ascii="Arial" w:cs="Arial" w:eastAsia="Arial" w:hAnsi="Arial"/>
                <w:sz w:val="14"/>
                <w:szCs w:val="14"/>
                <w:b w:val="1"/>
                <w:bCs w:val="1"/>
                <w:color w:val="auto"/>
              </w:rPr>
              <w:t>​​​Equity Incentive Plan</w:t>
            </w:r>
          </w:p>
        </w:tc>
        <w:tc>
          <w:tcPr>
            <w:tcW w:w="260" w:type="dxa"/>
            <w:vAlign w:val="bottom"/>
            <w:shd w:val="clear" w:color="auto" w:fill="DBE5F1"/>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620" w:type="dxa"/>
            <w:vAlign w:val="bottom"/>
            <w:shd w:val="clear" w:color="auto" w:fill="DBE5F1"/>
          </w:tcPr>
          <w:p>
            <w:pPr>
              <w:jc w:val="center"/>
              <w:ind w:right="29"/>
              <w:spacing w:after="0" w:line="155" w:lineRule="exact"/>
              <w:rPr>
                <w:sz w:val="20"/>
                <w:szCs w:val="20"/>
                <w:color w:val="auto"/>
              </w:rPr>
            </w:pPr>
            <w:r>
              <w:rPr>
                <w:rFonts w:ascii="Arial" w:cs="Arial" w:eastAsia="Arial" w:hAnsi="Arial"/>
                <w:sz w:val="14"/>
                <w:szCs w:val="14"/>
                <w:b w:val="1"/>
                <w:bCs w:val="1"/>
                <w:color w:val="auto"/>
              </w:rPr>
              <w:t>Equity Incentive Plan</w:t>
            </w:r>
          </w:p>
        </w:tc>
      </w:tr>
      <w:tr>
        <w:trPr>
          <w:trHeight w:val="162"/>
        </w:trPr>
        <w:tc>
          <w:tcPr>
            <w:tcW w:w="3060" w:type="dxa"/>
            <w:vAlign w:val="bottom"/>
            <w:shd w:val="clear" w:color="auto" w:fill="DBE5F1"/>
          </w:tcPr>
          <w:p>
            <w:pPr>
              <w:spacing w:after="0"/>
              <w:rPr>
                <w:sz w:val="14"/>
                <w:szCs w:val="14"/>
                <w:color w:val="auto"/>
              </w:rPr>
            </w:pPr>
          </w:p>
        </w:tc>
        <w:tc>
          <w:tcPr>
            <w:tcW w:w="200" w:type="dxa"/>
            <w:vAlign w:val="bottom"/>
            <w:tcBorders>
              <w:right w:val="single" w:sz="8" w:color="DBE5F1"/>
            </w:tcBorders>
          </w:tcPr>
          <w:p>
            <w:pPr>
              <w:spacing w:after="0"/>
              <w:rPr>
                <w:sz w:val="14"/>
                <w:szCs w:val="14"/>
                <w:color w:val="auto"/>
              </w:rPr>
            </w:pPr>
          </w:p>
        </w:tc>
        <w:tc>
          <w:tcPr>
            <w:tcW w:w="1140" w:type="dxa"/>
            <w:vAlign w:val="bottom"/>
            <w:shd w:val="clear" w:color="auto" w:fill="DBE5F1"/>
          </w:tcPr>
          <w:p>
            <w:pPr>
              <w:jc w:val="center"/>
              <w:spacing w:after="0"/>
              <w:rPr>
                <w:sz w:val="20"/>
                <w:szCs w:val="20"/>
                <w:color w:val="auto"/>
              </w:rPr>
            </w:pPr>
            <w:r>
              <w:rPr>
                <w:rFonts w:ascii="Arial" w:cs="Arial" w:eastAsia="Arial" w:hAnsi="Arial"/>
                <w:sz w:val="14"/>
                <w:szCs w:val="14"/>
                <w:b w:val="1"/>
                <w:bCs w:val="1"/>
                <w:color w:val="auto"/>
              </w:rPr>
              <w:t>Shares or Units</w:t>
            </w:r>
          </w:p>
        </w:tc>
        <w:tc>
          <w:tcPr>
            <w:tcW w:w="220" w:type="dxa"/>
            <w:vAlign w:val="bottom"/>
            <w:shd w:val="clear" w:color="auto" w:fill="DBE5F1"/>
          </w:tcPr>
          <w:p>
            <w:pPr>
              <w:spacing w:after="0"/>
              <w:rPr>
                <w:sz w:val="14"/>
                <w:szCs w:val="14"/>
                <w:color w:val="auto"/>
              </w:rPr>
            </w:pPr>
          </w:p>
        </w:tc>
        <w:tc>
          <w:tcPr>
            <w:tcW w:w="1780" w:type="dxa"/>
            <w:vAlign w:val="bottom"/>
            <w:shd w:val="clear" w:color="auto" w:fill="DBE5F1"/>
          </w:tcPr>
          <w:p>
            <w:pPr>
              <w:spacing w:after="0"/>
              <w:rPr>
                <w:sz w:val="14"/>
                <w:szCs w:val="14"/>
                <w:color w:val="auto"/>
              </w:rPr>
            </w:pPr>
          </w:p>
        </w:tc>
        <w:tc>
          <w:tcPr>
            <w:tcW w:w="1640" w:type="dxa"/>
            <w:vAlign w:val="bottom"/>
            <w:shd w:val="clear" w:color="auto" w:fill="DBE5F1"/>
          </w:tcPr>
          <w:p>
            <w:pPr>
              <w:jc w:val="center"/>
              <w:ind w:left="89"/>
              <w:spacing w:after="0"/>
              <w:rPr>
                <w:sz w:val="20"/>
                <w:szCs w:val="20"/>
                <w:color w:val="auto"/>
              </w:rPr>
            </w:pPr>
            <w:r>
              <w:rPr>
                <w:rFonts w:ascii="Arial" w:cs="Arial" w:eastAsia="Arial" w:hAnsi="Arial"/>
                <w:sz w:val="14"/>
                <w:szCs w:val="14"/>
                <w:b w:val="1"/>
                <w:bCs w:val="1"/>
                <w:color w:val="auto"/>
              </w:rPr>
              <w:t>Awards: Number of</w:t>
            </w:r>
          </w:p>
        </w:tc>
        <w:tc>
          <w:tcPr>
            <w:tcW w:w="1880" w:type="dxa"/>
            <w:vAlign w:val="bottom"/>
            <w:gridSpan w:val="2"/>
            <w:shd w:val="clear" w:color="auto" w:fill="DBE5F1"/>
          </w:tcPr>
          <w:p>
            <w:pPr>
              <w:jc w:val="center"/>
              <w:ind w:left="119"/>
              <w:spacing w:after="0"/>
              <w:rPr>
                <w:sz w:val="20"/>
                <w:szCs w:val="20"/>
                <w:color w:val="auto"/>
              </w:rPr>
            </w:pPr>
            <w:r>
              <w:rPr>
                <w:rFonts w:ascii="Arial" w:cs="Arial" w:eastAsia="Arial" w:hAnsi="Arial"/>
                <w:sz w:val="14"/>
                <w:szCs w:val="14"/>
                <w:b w:val="1"/>
                <w:bCs w:val="1"/>
                <w:color w:val="auto"/>
              </w:rPr>
              <w:t>Awards: Market Value of</w:t>
            </w:r>
          </w:p>
        </w:tc>
      </w:tr>
      <w:tr>
        <w:trPr>
          <w:trHeight w:val="162"/>
        </w:trPr>
        <w:tc>
          <w:tcPr>
            <w:tcW w:w="3060" w:type="dxa"/>
            <w:vAlign w:val="bottom"/>
            <w:shd w:val="clear" w:color="auto" w:fill="DBE5F1"/>
          </w:tcPr>
          <w:p>
            <w:pPr>
              <w:spacing w:after="0"/>
              <w:rPr>
                <w:sz w:val="14"/>
                <w:szCs w:val="14"/>
                <w:color w:val="auto"/>
              </w:rPr>
            </w:pPr>
          </w:p>
        </w:tc>
        <w:tc>
          <w:tcPr>
            <w:tcW w:w="200" w:type="dxa"/>
            <w:vAlign w:val="bottom"/>
            <w:tcBorders>
              <w:right w:val="single" w:sz="8" w:color="DBE5F1"/>
            </w:tcBorders>
          </w:tcPr>
          <w:p>
            <w:pPr>
              <w:spacing w:after="0"/>
              <w:rPr>
                <w:sz w:val="14"/>
                <w:szCs w:val="14"/>
                <w:color w:val="auto"/>
              </w:rPr>
            </w:pPr>
          </w:p>
        </w:tc>
        <w:tc>
          <w:tcPr>
            <w:tcW w:w="1140" w:type="dxa"/>
            <w:vAlign w:val="bottom"/>
            <w:shd w:val="clear" w:color="auto" w:fill="DBE5F1"/>
          </w:tcPr>
          <w:p>
            <w:pPr>
              <w:jc w:val="center"/>
              <w:spacing w:after="0"/>
              <w:rPr>
                <w:sz w:val="20"/>
                <w:szCs w:val="20"/>
                <w:color w:val="auto"/>
              </w:rPr>
            </w:pPr>
            <w:r>
              <w:rPr>
                <w:rFonts w:ascii="Arial" w:cs="Arial" w:eastAsia="Arial" w:hAnsi="Arial"/>
                <w:sz w:val="14"/>
                <w:szCs w:val="14"/>
                <w:b w:val="1"/>
                <w:bCs w:val="1"/>
                <w:color w:val="auto"/>
              </w:rPr>
              <w:t>of Stock That</w:t>
            </w:r>
          </w:p>
        </w:tc>
        <w:tc>
          <w:tcPr>
            <w:tcW w:w="220" w:type="dxa"/>
            <w:vAlign w:val="bottom"/>
            <w:shd w:val="clear" w:color="auto" w:fill="DBE5F1"/>
          </w:tcPr>
          <w:p>
            <w:pPr>
              <w:spacing w:after="0"/>
              <w:rPr>
                <w:sz w:val="14"/>
                <w:szCs w:val="14"/>
                <w:color w:val="auto"/>
              </w:rPr>
            </w:pPr>
          </w:p>
        </w:tc>
        <w:tc>
          <w:tcPr>
            <w:tcW w:w="1780" w:type="dxa"/>
            <w:vAlign w:val="bottom"/>
            <w:shd w:val="clear" w:color="auto" w:fill="DBE5F1"/>
          </w:tcPr>
          <w:p>
            <w:pPr>
              <w:jc w:val="center"/>
              <w:spacing w:after="0"/>
              <w:rPr>
                <w:sz w:val="20"/>
                <w:szCs w:val="20"/>
                <w:color w:val="auto"/>
              </w:rPr>
            </w:pPr>
            <w:r>
              <w:rPr>
                <w:rFonts w:ascii="Arial" w:cs="Arial" w:eastAsia="Arial" w:hAnsi="Arial"/>
                <w:sz w:val="14"/>
                <w:szCs w:val="14"/>
                <w:b w:val="1"/>
                <w:bCs w:val="1"/>
                <w:color w:val="auto"/>
              </w:rPr>
              <w:t>Market Value of Shares or</w:t>
            </w:r>
          </w:p>
        </w:tc>
        <w:tc>
          <w:tcPr>
            <w:tcW w:w="1640" w:type="dxa"/>
            <w:vAlign w:val="bottom"/>
            <w:shd w:val="clear" w:color="auto" w:fill="DBE5F1"/>
          </w:tcPr>
          <w:p>
            <w:pPr>
              <w:jc w:val="center"/>
              <w:ind w:left="89"/>
              <w:spacing w:after="0"/>
              <w:rPr>
                <w:sz w:val="20"/>
                <w:szCs w:val="20"/>
                <w:color w:val="auto"/>
              </w:rPr>
            </w:pPr>
            <w:r>
              <w:rPr>
                <w:rFonts w:ascii="Arial" w:cs="Arial" w:eastAsia="Arial" w:hAnsi="Arial"/>
                <w:sz w:val="14"/>
                <w:szCs w:val="14"/>
                <w:b w:val="1"/>
                <w:bCs w:val="1"/>
                <w:color w:val="auto"/>
              </w:rPr>
              <w:t>Unearned Shares or</w:t>
            </w:r>
          </w:p>
        </w:tc>
        <w:tc>
          <w:tcPr>
            <w:tcW w:w="260" w:type="dxa"/>
            <w:vAlign w:val="bottom"/>
            <w:shd w:val="clear" w:color="auto" w:fill="DBE5F1"/>
          </w:tcPr>
          <w:p>
            <w:pPr>
              <w:spacing w:after="0"/>
              <w:rPr>
                <w:sz w:val="14"/>
                <w:szCs w:val="14"/>
                <w:color w:val="auto"/>
              </w:rPr>
            </w:pPr>
          </w:p>
        </w:tc>
        <w:tc>
          <w:tcPr>
            <w:tcW w:w="1620" w:type="dxa"/>
            <w:vAlign w:val="bottom"/>
            <w:shd w:val="clear" w:color="auto" w:fill="DBE5F1"/>
          </w:tcPr>
          <w:p>
            <w:pPr>
              <w:jc w:val="center"/>
              <w:ind w:right="29"/>
              <w:spacing w:after="0"/>
              <w:rPr>
                <w:sz w:val="20"/>
                <w:szCs w:val="20"/>
                <w:color w:val="auto"/>
              </w:rPr>
            </w:pPr>
            <w:r>
              <w:rPr>
                <w:rFonts w:ascii="Arial" w:cs="Arial" w:eastAsia="Arial" w:hAnsi="Arial"/>
                <w:sz w:val="14"/>
                <w:szCs w:val="14"/>
                <w:b w:val="1"/>
                <w:bCs w:val="1"/>
                <w:color w:val="auto"/>
              </w:rPr>
              <w:t>Unearned Shares or</w:t>
            </w:r>
          </w:p>
        </w:tc>
      </w:tr>
      <w:tr>
        <w:trPr>
          <w:trHeight w:val="135"/>
        </w:trPr>
        <w:tc>
          <w:tcPr>
            <w:tcW w:w="3060" w:type="dxa"/>
            <w:vAlign w:val="bottom"/>
            <w:shd w:val="clear" w:color="auto" w:fill="DBE5F1"/>
          </w:tcPr>
          <w:p>
            <w:pPr>
              <w:spacing w:after="0"/>
              <w:rPr>
                <w:sz w:val="11"/>
                <w:szCs w:val="11"/>
                <w:color w:val="auto"/>
              </w:rPr>
            </w:pPr>
          </w:p>
        </w:tc>
        <w:tc>
          <w:tcPr>
            <w:tcW w:w="200" w:type="dxa"/>
            <w:vAlign w:val="bottom"/>
            <w:tcBorders>
              <w:right w:val="single" w:sz="8" w:color="DBE5F1"/>
            </w:tcBorders>
          </w:tcPr>
          <w:p>
            <w:pPr>
              <w:spacing w:after="0"/>
              <w:rPr>
                <w:sz w:val="11"/>
                <w:szCs w:val="11"/>
                <w:color w:val="auto"/>
              </w:rPr>
            </w:pPr>
          </w:p>
        </w:tc>
        <w:tc>
          <w:tcPr>
            <w:tcW w:w="1140" w:type="dxa"/>
            <w:vAlign w:val="bottom"/>
            <w:shd w:val="clear" w:color="auto" w:fill="DBE5F1"/>
          </w:tcPr>
          <w:p>
            <w:pPr>
              <w:jc w:val="center"/>
              <w:spacing w:after="0" w:line="135" w:lineRule="exact"/>
              <w:rPr>
                <w:sz w:val="20"/>
                <w:szCs w:val="20"/>
                <w:color w:val="auto"/>
              </w:rPr>
            </w:pPr>
            <w:r>
              <w:rPr>
                <w:rFonts w:ascii="Arial" w:cs="Arial" w:eastAsia="Arial" w:hAnsi="Arial"/>
                <w:sz w:val="14"/>
                <w:szCs w:val="14"/>
                <w:b w:val="1"/>
                <w:bCs w:val="1"/>
                <w:color w:val="auto"/>
              </w:rPr>
              <w:t>Have Not</w:t>
            </w:r>
          </w:p>
        </w:tc>
        <w:tc>
          <w:tcPr>
            <w:tcW w:w="220" w:type="dxa"/>
            <w:vAlign w:val="bottom"/>
            <w:shd w:val="clear" w:color="auto" w:fill="DBE5F1"/>
          </w:tcPr>
          <w:p>
            <w:pPr>
              <w:spacing w:after="0"/>
              <w:rPr>
                <w:sz w:val="11"/>
                <w:szCs w:val="11"/>
                <w:color w:val="auto"/>
              </w:rPr>
            </w:pPr>
          </w:p>
        </w:tc>
        <w:tc>
          <w:tcPr>
            <w:tcW w:w="1780" w:type="dxa"/>
            <w:vAlign w:val="bottom"/>
            <w:shd w:val="clear" w:color="auto" w:fill="DBE5F1"/>
          </w:tcPr>
          <w:p>
            <w:pPr>
              <w:jc w:val="center"/>
              <w:spacing w:after="0" w:line="135" w:lineRule="exact"/>
              <w:rPr>
                <w:sz w:val="20"/>
                <w:szCs w:val="20"/>
                <w:color w:val="auto"/>
              </w:rPr>
            </w:pPr>
            <w:r>
              <w:rPr>
                <w:rFonts w:ascii="Arial" w:cs="Arial" w:eastAsia="Arial" w:hAnsi="Arial"/>
                <w:sz w:val="14"/>
                <w:szCs w:val="14"/>
                <w:b w:val="1"/>
                <w:bCs w:val="1"/>
                <w:color w:val="auto"/>
              </w:rPr>
              <w:t>Units of Stock That Have</w:t>
            </w:r>
          </w:p>
        </w:tc>
        <w:tc>
          <w:tcPr>
            <w:tcW w:w="1640" w:type="dxa"/>
            <w:vAlign w:val="bottom"/>
            <w:shd w:val="clear" w:color="auto" w:fill="DBE5F1"/>
          </w:tcPr>
          <w:p>
            <w:pPr>
              <w:jc w:val="center"/>
              <w:ind w:left="89"/>
              <w:spacing w:after="0" w:line="135" w:lineRule="exact"/>
              <w:rPr>
                <w:sz w:val="20"/>
                <w:szCs w:val="20"/>
                <w:color w:val="auto"/>
              </w:rPr>
            </w:pPr>
            <w:r>
              <w:rPr>
                <w:rFonts w:ascii="Arial" w:cs="Arial" w:eastAsia="Arial" w:hAnsi="Arial"/>
                <w:sz w:val="14"/>
                <w:szCs w:val="14"/>
                <w:b w:val="1"/>
                <w:bCs w:val="1"/>
                <w:color w:val="auto"/>
              </w:rPr>
              <w:t>Units That Have Not</w:t>
            </w:r>
          </w:p>
        </w:tc>
        <w:tc>
          <w:tcPr>
            <w:tcW w:w="260" w:type="dxa"/>
            <w:vAlign w:val="bottom"/>
            <w:shd w:val="clear" w:color="auto" w:fill="DBE5F1"/>
          </w:tcPr>
          <w:p>
            <w:pPr>
              <w:spacing w:after="0"/>
              <w:rPr>
                <w:sz w:val="11"/>
                <w:szCs w:val="11"/>
                <w:color w:val="auto"/>
              </w:rPr>
            </w:pPr>
          </w:p>
        </w:tc>
        <w:tc>
          <w:tcPr>
            <w:tcW w:w="1620" w:type="dxa"/>
            <w:vAlign w:val="bottom"/>
            <w:shd w:val="clear" w:color="auto" w:fill="DBE5F1"/>
          </w:tcPr>
          <w:p>
            <w:pPr>
              <w:jc w:val="center"/>
              <w:ind w:right="29"/>
              <w:spacing w:after="0" w:line="135" w:lineRule="exact"/>
              <w:rPr>
                <w:sz w:val="20"/>
                <w:szCs w:val="20"/>
                <w:color w:val="auto"/>
              </w:rPr>
            </w:pPr>
            <w:r>
              <w:rPr>
                <w:rFonts w:ascii="Arial" w:cs="Arial" w:eastAsia="Arial" w:hAnsi="Arial"/>
                <w:sz w:val="14"/>
                <w:szCs w:val="14"/>
                <w:b w:val="1"/>
                <w:bCs w:val="1"/>
                <w:color w:val="auto"/>
              </w:rPr>
              <w:t>Units That Have Not</w:t>
            </w:r>
          </w:p>
        </w:tc>
      </w:tr>
      <w:tr>
        <w:trPr>
          <w:trHeight w:val="189"/>
        </w:trPr>
        <w:tc>
          <w:tcPr>
            <w:tcW w:w="3060" w:type="dxa"/>
            <w:vAlign w:val="bottom"/>
            <w:tcBorders>
              <w:bottom w:val="single" w:sz="8" w:color="4A7EBB"/>
            </w:tcBorders>
            <w:shd w:val="clear" w:color="auto" w:fill="DBE5F1"/>
          </w:tcPr>
          <w:p>
            <w:pPr>
              <w:ind w:left="120"/>
              <w:spacing w:after="0"/>
              <w:rPr>
                <w:sz w:val="20"/>
                <w:szCs w:val="20"/>
                <w:color w:val="auto"/>
              </w:rPr>
            </w:pPr>
            <w:r>
              <w:rPr>
                <w:rFonts w:ascii="Arial" w:cs="Arial" w:eastAsia="Arial" w:hAnsi="Arial"/>
                <w:sz w:val="14"/>
                <w:szCs w:val="14"/>
                <w:b w:val="1"/>
                <w:bCs w:val="1"/>
                <w:color w:val="auto"/>
              </w:rPr>
              <w:t>Name</w:t>
            </w:r>
          </w:p>
        </w:tc>
        <w:tc>
          <w:tcPr>
            <w:tcW w:w="200" w:type="dxa"/>
            <w:vAlign w:val="bottom"/>
            <w:tcBorders>
              <w:bottom w:val="single" w:sz="8" w:color="4A7EBB"/>
              <w:right w:val="single" w:sz="8" w:color="DBE5F1"/>
            </w:tcBorders>
          </w:tcPr>
          <w:p>
            <w:pPr>
              <w:spacing w:after="0"/>
              <w:rPr>
                <w:sz w:val="16"/>
                <w:szCs w:val="16"/>
                <w:color w:val="auto"/>
              </w:rPr>
            </w:pPr>
          </w:p>
        </w:tc>
        <w:tc>
          <w:tcPr>
            <w:tcW w:w="1140" w:type="dxa"/>
            <w:vAlign w:val="bottom"/>
            <w:tcBorders>
              <w:bottom w:val="single" w:sz="8" w:color="4A7EBB"/>
            </w:tcBorders>
            <w:shd w:val="clear" w:color="auto" w:fill="DBE5F1"/>
          </w:tcPr>
          <w:p>
            <w:pPr>
              <w:jc w:val="center"/>
              <w:spacing w:after="0" w:line="189" w:lineRule="exact"/>
              <w:rPr>
                <w:sz w:val="20"/>
                <w:szCs w:val="20"/>
                <w:color w:val="auto"/>
              </w:rPr>
            </w:pPr>
            <w:r>
              <w:rPr>
                <w:rFonts w:ascii="Arial" w:cs="Arial" w:eastAsia="Arial" w:hAnsi="Arial"/>
                <w:sz w:val="13"/>
                <w:szCs w:val="13"/>
                <w:b w:val="1"/>
                <w:bCs w:val="1"/>
                <w:color w:val="auto"/>
              </w:rPr>
              <w:t>Vested (#)</w:t>
            </w:r>
            <w:r>
              <w:rPr>
                <w:rFonts w:ascii="Arial" w:cs="Arial" w:eastAsia="Arial" w:hAnsi="Arial"/>
                <w:sz w:val="21"/>
                <w:szCs w:val="21"/>
                <w:b w:val="1"/>
                <w:bCs w:val="1"/>
                <w:color w:val="auto"/>
                <w:vertAlign w:val="superscript"/>
              </w:rPr>
              <w:t>(1)</w:t>
            </w:r>
          </w:p>
        </w:tc>
        <w:tc>
          <w:tcPr>
            <w:tcW w:w="220" w:type="dxa"/>
            <w:vAlign w:val="bottom"/>
            <w:tcBorders>
              <w:bottom w:val="single" w:sz="8" w:color="4A7EBB"/>
            </w:tcBorders>
            <w:shd w:val="clear" w:color="auto" w:fill="DBE5F1"/>
          </w:tcPr>
          <w:p>
            <w:pPr>
              <w:spacing w:after="0"/>
              <w:rPr>
                <w:sz w:val="16"/>
                <w:szCs w:val="16"/>
                <w:color w:val="auto"/>
              </w:rPr>
            </w:pPr>
          </w:p>
        </w:tc>
        <w:tc>
          <w:tcPr>
            <w:tcW w:w="1780" w:type="dxa"/>
            <w:vAlign w:val="bottom"/>
            <w:tcBorders>
              <w:bottom w:val="single" w:sz="8" w:color="4A7EBB"/>
            </w:tcBorders>
            <w:shd w:val="clear" w:color="auto" w:fill="DBE5F1"/>
          </w:tcPr>
          <w:p>
            <w:pPr>
              <w:jc w:val="center"/>
              <w:spacing w:after="0" w:line="189" w:lineRule="exact"/>
              <w:rPr>
                <w:sz w:val="20"/>
                <w:szCs w:val="20"/>
                <w:color w:val="auto"/>
              </w:rPr>
            </w:pPr>
            <w:r>
              <w:rPr>
                <w:rFonts w:ascii="Arial" w:cs="Arial" w:eastAsia="Arial" w:hAnsi="Arial"/>
                <w:sz w:val="13"/>
                <w:szCs w:val="13"/>
                <w:b w:val="1"/>
                <w:bCs w:val="1"/>
                <w:color w:val="auto"/>
              </w:rPr>
              <w:t>Not Vested ($)</w:t>
            </w:r>
            <w:r>
              <w:rPr>
                <w:rFonts w:ascii="Arial" w:cs="Arial" w:eastAsia="Arial" w:hAnsi="Arial"/>
                <w:sz w:val="21"/>
                <w:szCs w:val="21"/>
                <w:b w:val="1"/>
                <w:bCs w:val="1"/>
                <w:color w:val="auto"/>
                <w:vertAlign w:val="superscript"/>
              </w:rPr>
              <w:t>(1)(2)</w:t>
            </w:r>
          </w:p>
        </w:tc>
        <w:tc>
          <w:tcPr>
            <w:tcW w:w="1640" w:type="dxa"/>
            <w:vAlign w:val="bottom"/>
            <w:tcBorders>
              <w:bottom w:val="single" w:sz="8" w:color="4A7EBB"/>
            </w:tcBorders>
            <w:shd w:val="clear" w:color="auto" w:fill="DBE5F1"/>
          </w:tcPr>
          <w:p>
            <w:pPr>
              <w:jc w:val="center"/>
              <w:ind w:left="109"/>
              <w:spacing w:after="0" w:line="189" w:lineRule="exact"/>
              <w:rPr>
                <w:sz w:val="20"/>
                <w:szCs w:val="20"/>
                <w:color w:val="auto"/>
              </w:rPr>
            </w:pPr>
            <w:r>
              <w:rPr>
                <w:rFonts w:ascii="Arial" w:cs="Arial" w:eastAsia="Arial" w:hAnsi="Arial"/>
                <w:sz w:val="13"/>
                <w:szCs w:val="13"/>
                <w:b w:val="1"/>
                <w:bCs w:val="1"/>
                <w:color w:val="auto"/>
              </w:rPr>
              <w:t>Vested (#)</w:t>
            </w:r>
            <w:r>
              <w:rPr>
                <w:rFonts w:ascii="Arial" w:cs="Arial" w:eastAsia="Arial" w:hAnsi="Arial"/>
                <w:sz w:val="21"/>
                <w:szCs w:val="21"/>
                <w:b w:val="1"/>
                <w:bCs w:val="1"/>
                <w:color w:val="auto"/>
                <w:vertAlign w:val="superscript"/>
              </w:rPr>
              <w:t>(3)</w:t>
            </w:r>
          </w:p>
        </w:tc>
        <w:tc>
          <w:tcPr>
            <w:tcW w:w="260" w:type="dxa"/>
            <w:vAlign w:val="bottom"/>
            <w:tcBorders>
              <w:bottom w:val="single" w:sz="8" w:color="4A7EBB"/>
            </w:tcBorders>
            <w:shd w:val="clear" w:color="auto" w:fill="DBE5F1"/>
          </w:tcPr>
          <w:p>
            <w:pPr>
              <w:spacing w:after="0"/>
              <w:rPr>
                <w:sz w:val="16"/>
                <w:szCs w:val="16"/>
                <w:color w:val="auto"/>
              </w:rPr>
            </w:pPr>
          </w:p>
        </w:tc>
        <w:tc>
          <w:tcPr>
            <w:tcW w:w="1620" w:type="dxa"/>
            <w:vAlign w:val="bottom"/>
            <w:tcBorders>
              <w:bottom w:val="single" w:sz="8" w:color="4A7EBB"/>
            </w:tcBorders>
            <w:shd w:val="clear" w:color="auto" w:fill="DBE5F1"/>
          </w:tcPr>
          <w:p>
            <w:pPr>
              <w:jc w:val="center"/>
              <w:ind w:right="29"/>
              <w:spacing w:after="0" w:line="189" w:lineRule="exact"/>
              <w:rPr>
                <w:sz w:val="20"/>
                <w:szCs w:val="20"/>
                <w:color w:val="auto"/>
              </w:rPr>
            </w:pPr>
            <w:r>
              <w:rPr>
                <w:rFonts w:ascii="Arial" w:cs="Arial" w:eastAsia="Arial" w:hAnsi="Arial"/>
                <w:sz w:val="13"/>
                <w:szCs w:val="13"/>
                <w:b w:val="1"/>
                <w:bCs w:val="1"/>
                <w:color w:val="auto"/>
                <w:w w:val="99"/>
              </w:rPr>
              <w:t>Vested ($)</w:t>
            </w:r>
            <w:r>
              <w:rPr>
                <w:rFonts w:ascii="Arial" w:cs="Arial" w:eastAsia="Arial" w:hAnsi="Arial"/>
                <w:sz w:val="21"/>
                <w:szCs w:val="21"/>
                <w:b w:val="1"/>
                <w:bCs w:val="1"/>
                <w:color w:val="auto"/>
                <w:w w:val="99"/>
                <w:vertAlign w:val="superscript"/>
              </w:rPr>
              <w:t>(2)(3)</w:t>
            </w:r>
          </w:p>
        </w:tc>
      </w:tr>
      <w:tr>
        <w:trPr>
          <w:trHeight w:val="146"/>
        </w:trPr>
        <w:tc>
          <w:tcPr>
            <w:tcW w:w="3260" w:type="dxa"/>
            <w:vAlign w:val="bottom"/>
            <w:gridSpan w:val="2"/>
          </w:tcPr>
          <w:p>
            <w:pPr>
              <w:ind w:left="120"/>
              <w:spacing w:after="0" w:line="147" w:lineRule="exact"/>
              <w:rPr>
                <w:sz w:val="20"/>
                <w:szCs w:val="20"/>
                <w:color w:val="auto"/>
              </w:rPr>
            </w:pPr>
            <w:r>
              <w:rPr>
                <w:rFonts w:ascii="Arial" w:cs="Arial" w:eastAsia="Arial" w:hAnsi="Arial"/>
                <w:sz w:val="14"/>
                <w:szCs w:val="14"/>
                <w:b w:val="1"/>
                <w:bCs w:val="1"/>
                <w:color w:val="auto"/>
              </w:rPr>
              <w:t>Morris Goldfarb</w:t>
            </w:r>
          </w:p>
        </w:tc>
        <w:tc>
          <w:tcPr>
            <w:tcW w:w="1140" w:type="dxa"/>
            <w:vAlign w:val="bottom"/>
          </w:tcPr>
          <w:p>
            <w:pPr>
              <w:jc w:val="center"/>
              <w:spacing w:after="0" w:line="147" w:lineRule="exact"/>
              <w:rPr>
                <w:sz w:val="20"/>
                <w:szCs w:val="20"/>
                <w:color w:val="auto"/>
              </w:rPr>
            </w:pPr>
            <w:r>
              <w:rPr>
                <w:rFonts w:ascii="Arial" w:cs="Arial" w:eastAsia="Arial" w:hAnsi="Arial"/>
                <w:sz w:val="14"/>
                <w:szCs w:val="14"/>
                <w:color w:val="auto"/>
              </w:rPr>
              <w:t>89,786</w:t>
            </w:r>
          </w:p>
        </w:tc>
        <w:tc>
          <w:tcPr>
            <w:tcW w:w="220" w:type="dxa"/>
            <w:vAlign w:val="bottom"/>
          </w:tcPr>
          <w:p>
            <w:pPr>
              <w:jc w:val="center"/>
              <w:spacing w:after="0"/>
              <w:rPr>
                <w:sz w:val="20"/>
                <w:szCs w:val="20"/>
                <w:color w:val="auto"/>
              </w:rPr>
            </w:pPr>
            <w:r>
              <w:rPr>
                <w:rFonts w:ascii="Arial" w:cs="Arial" w:eastAsia="Arial" w:hAnsi="Arial"/>
                <w:sz w:val="12"/>
                <w:szCs w:val="12"/>
                <w:color w:val="auto"/>
                <w:w w:val="95"/>
              </w:rPr>
              <w:t>(4)</w:t>
            </w:r>
          </w:p>
        </w:tc>
        <w:tc>
          <w:tcPr>
            <w:tcW w:w="1780" w:type="dxa"/>
            <w:vAlign w:val="bottom"/>
          </w:tcPr>
          <w:p>
            <w:pPr>
              <w:jc w:val="center"/>
              <w:spacing w:after="0" w:line="147" w:lineRule="exact"/>
              <w:rPr>
                <w:sz w:val="20"/>
                <w:szCs w:val="20"/>
                <w:color w:val="auto"/>
              </w:rPr>
            </w:pPr>
            <w:r>
              <w:rPr>
                <w:rFonts w:ascii="Arial" w:cs="Arial" w:eastAsia="Arial" w:hAnsi="Arial"/>
                <w:sz w:val="14"/>
                <w:szCs w:val="14"/>
                <w:color w:val="auto"/>
              </w:rPr>
              <w:t>2,635,219</w:t>
            </w:r>
          </w:p>
        </w:tc>
        <w:tc>
          <w:tcPr>
            <w:tcW w:w="1640" w:type="dxa"/>
            <w:vAlign w:val="bottom"/>
          </w:tcPr>
          <w:p>
            <w:pPr>
              <w:jc w:val="center"/>
              <w:ind w:left="129"/>
              <w:spacing w:after="0" w:line="147" w:lineRule="exact"/>
              <w:rPr>
                <w:sz w:val="20"/>
                <w:szCs w:val="20"/>
                <w:color w:val="auto"/>
              </w:rPr>
            </w:pPr>
            <w:r>
              <w:rPr>
                <w:rFonts w:ascii="Arial" w:cs="Arial" w:eastAsia="Arial" w:hAnsi="Arial"/>
                <w:sz w:val="14"/>
                <w:szCs w:val="14"/>
                <w:color w:val="auto"/>
              </w:rPr>
              <w:t>134,680</w:t>
            </w:r>
          </w:p>
        </w:tc>
        <w:tc>
          <w:tcPr>
            <w:tcW w:w="260" w:type="dxa"/>
            <w:vAlign w:val="bottom"/>
          </w:tcPr>
          <w:p>
            <w:pPr>
              <w:jc w:val="right"/>
              <w:ind w:right="39"/>
              <w:spacing w:after="0"/>
              <w:rPr>
                <w:sz w:val="20"/>
                <w:szCs w:val="20"/>
                <w:color w:val="auto"/>
              </w:rPr>
            </w:pPr>
            <w:r>
              <w:rPr>
                <w:rFonts w:ascii="Arial" w:cs="Arial" w:eastAsia="Arial" w:hAnsi="Arial"/>
                <w:sz w:val="12"/>
                <w:szCs w:val="12"/>
                <w:color w:val="auto"/>
                <w:w w:val="95"/>
              </w:rPr>
              <w:t>(4)</w:t>
            </w:r>
          </w:p>
        </w:tc>
        <w:tc>
          <w:tcPr>
            <w:tcW w:w="1620" w:type="dxa"/>
            <w:vAlign w:val="bottom"/>
          </w:tcPr>
          <w:p>
            <w:pPr>
              <w:jc w:val="center"/>
              <w:spacing w:after="0" w:line="147" w:lineRule="exact"/>
              <w:rPr>
                <w:sz w:val="20"/>
                <w:szCs w:val="20"/>
                <w:color w:val="auto"/>
              </w:rPr>
            </w:pPr>
            <w:r>
              <w:rPr>
                <w:rFonts w:ascii="Arial" w:cs="Arial" w:eastAsia="Arial" w:hAnsi="Arial"/>
                <w:sz w:val="14"/>
                <w:szCs w:val="14"/>
                <w:color w:val="auto"/>
              </w:rPr>
              <w:t>3,952,858</w:t>
            </w:r>
          </w:p>
        </w:tc>
      </w:tr>
      <w:tr>
        <w:trPr>
          <w:trHeight w:val="162"/>
        </w:trPr>
        <w:tc>
          <w:tcPr>
            <w:tcW w:w="3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rPr>
              <w:t>83,333</w:t>
            </w:r>
          </w:p>
        </w:tc>
        <w:tc>
          <w:tcPr>
            <w:tcW w:w="220" w:type="dxa"/>
            <w:vAlign w:val="bottom"/>
          </w:tcPr>
          <w:p>
            <w:pPr>
              <w:jc w:val="center"/>
              <w:spacing w:after="0"/>
              <w:rPr>
                <w:sz w:val="20"/>
                <w:szCs w:val="20"/>
                <w:color w:val="auto"/>
              </w:rPr>
            </w:pPr>
            <w:r>
              <w:rPr>
                <w:rFonts w:ascii="Arial" w:cs="Arial" w:eastAsia="Arial" w:hAnsi="Arial"/>
                <w:sz w:val="12"/>
                <w:szCs w:val="12"/>
                <w:color w:val="auto"/>
                <w:w w:val="95"/>
              </w:rPr>
              <w:t>(7)</w:t>
            </w:r>
          </w:p>
        </w:tc>
        <w:tc>
          <w:tcPr>
            <w:tcW w:w="1780" w:type="dxa"/>
            <w:vAlign w:val="bottom"/>
          </w:tcPr>
          <w:p>
            <w:pPr>
              <w:jc w:val="center"/>
              <w:spacing w:after="0"/>
              <w:rPr>
                <w:sz w:val="20"/>
                <w:szCs w:val="20"/>
                <w:color w:val="auto"/>
              </w:rPr>
            </w:pPr>
            <w:r>
              <w:rPr>
                <w:rFonts w:ascii="Arial" w:cs="Arial" w:eastAsia="Arial" w:hAnsi="Arial"/>
                <w:sz w:val="14"/>
                <w:szCs w:val="14"/>
                <w:color w:val="auto"/>
              </w:rPr>
              <w:t>2,445,824</w:t>
            </w:r>
          </w:p>
        </w:tc>
        <w:tc>
          <w:tcPr>
            <w:tcW w:w="1640" w:type="dxa"/>
            <w:vAlign w:val="bottom"/>
          </w:tcPr>
          <w:p>
            <w:pPr>
              <w:jc w:val="center"/>
              <w:ind w:left="129"/>
              <w:spacing w:after="0"/>
              <w:rPr>
                <w:sz w:val="20"/>
                <w:szCs w:val="20"/>
                <w:color w:val="auto"/>
              </w:rPr>
            </w:pPr>
            <w:r>
              <w:rPr>
                <w:rFonts w:ascii="Arial" w:cs="Arial" w:eastAsia="Arial" w:hAnsi="Arial"/>
                <w:sz w:val="14"/>
                <w:szCs w:val="14"/>
                <w:color w:val="auto"/>
              </w:rPr>
              <w:t>125,000</w:t>
            </w:r>
          </w:p>
        </w:tc>
        <w:tc>
          <w:tcPr>
            <w:tcW w:w="260" w:type="dxa"/>
            <w:vAlign w:val="bottom"/>
          </w:tcPr>
          <w:p>
            <w:pPr>
              <w:jc w:val="right"/>
              <w:ind w:right="39"/>
              <w:spacing w:after="0"/>
              <w:rPr>
                <w:sz w:val="20"/>
                <w:szCs w:val="20"/>
                <w:color w:val="auto"/>
              </w:rPr>
            </w:pPr>
            <w:r>
              <w:rPr>
                <w:rFonts w:ascii="Arial" w:cs="Arial" w:eastAsia="Arial" w:hAnsi="Arial"/>
                <w:sz w:val="12"/>
                <w:szCs w:val="12"/>
                <w:color w:val="auto"/>
                <w:w w:val="95"/>
              </w:rPr>
              <w:t>(7)</w:t>
            </w:r>
          </w:p>
        </w:tc>
        <w:tc>
          <w:tcPr>
            <w:tcW w:w="1620" w:type="dxa"/>
            <w:vAlign w:val="bottom"/>
          </w:tcPr>
          <w:p>
            <w:pPr>
              <w:jc w:val="center"/>
              <w:spacing w:after="0"/>
              <w:rPr>
                <w:sz w:val="20"/>
                <w:szCs w:val="20"/>
                <w:color w:val="auto"/>
              </w:rPr>
            </w:pPr>
            <w:r>
              <w:rPr>
                <w:rFonts w:ascii="Arial" w:cs="Arial" w:eastAsia="Arial" w:hAnsi="Arial"/>
                <w:sz w:val="14"/>
                <w:szCs w:val="14"/>
                <w:color w:val="auto"/>
              </w:rPr>
              <w:t>3,668,750</w:t>
            </w:r>
          </w:p>
        </w:tc>
      </w:tr>
      <w:tr>
        <w:trPr>
          <w:trHeight w:val="162"/>
        </w:trPr>
        <w:tc>
          <w:tcPr>
            <w:tcW w:w="3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rPr>
              <w:t>700,000</w:t>
            </w:r>
          </w:p>
        </w:tc>
        <w:tc>
          <w:tcPr>
            <w:tcW w:w="220" w:type="dxa"/>
            <w:vAlign w:val="bottom"/>
          </w:tcPr>
          <w:p>
            <w:pPr>
              <w:jc w:val="center"/>
              <w:spacing w:after="0"/>
              <w:rPr>
                <w:sz w:val="20"/>
                <w:szCs w:val="20"/>
                <w:color w:val="auto"/>
              </w:rPr>
            </w:pPr>
            <w:r>
              <w:rPr>
                <w:rFonts w:ascii="Arial" w:cs="Arial" w:eastAsia="Arial" w:hAnsi="Arial"/>
                <w:sz w:val="12"/>
                <w:szCs w:val="12"/>
                <w:color w:val="auto"/>
                <w:w w:val="95"/>
              </w:rPr>
              <w:t>(8)</w:t>
            </w:r>
          </w:p>
        </w:tc>
        <w:tc>
          <w:tcPr>
            <w:tcW w:w="1780" w:type="dxa"/>
            <w:vAlign w:val="bottom"/>
          </w:tcPr>
          <w:p>
            <w:pPr>
              <w:jc w:val="center"/>
              <w:spacing w:after="0"/>
              <w:rPr>
                <w:sz w:val="20"/>
                <w:szCs w:val="20"/>
                <w:color w:val="auto"/>
              </w:rPr>
            </w:pPr>
            <w:r>
              <w:rPr>
                <w:rFonts w:ascii="Arial" w:cs="Arial" w:eastAsia="Arial" w:hAnsi="Arial"/>
                <w:sz w:val="14"/>
                <w:szCs w:val="14"/>
                <w:color w:val="auto"/>
              </w:rPr>
              <w:t>20,545,000</w:t>
            </w:r>
          </w:p>
        </w:tc>
        <w:tc>
          <w:tcPr>
            <w:tcW w:w="1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1"/>
        </w:trPr>
        <w:tc>
          <w:tcPr>
            <w:tcW w:w="3060" w:type="dxa"/>
            <w:vAlign w:val="bottom"/>
            <w:tcBorders>
              <w:bottom w:val="single" w:sz="8" w:color="4A7EBB"/>
            </w:tcBorders>
          </w:tcPr>
          <w:p>
            <w:pPr>
              <w:spacing w:after="0"/>
              <w:rPr>
                <w:sz w:val="14"/>
                <w:szCs w:val="14"/>
                <w:color w:val="auto"/>
              </w:rPr>
            </w:pPr>
          </w:p>
        </w:tc>
        <w:tc>
          <w:tcPr>
            <w:tcW w:w="200" w:type="dxa"/>
            <w:vAlign w:val="bottom"/>
            <w:tcBorders>
              <w:bottom w:val="single" w:sz="8" w:color="4A7EBB"/>
            </w:tcBorders>
          </w:tcPr>
          <w:p>
            <w:pPr>
              <w:spacing w:after="0"/>
              <w:rPr>
                <w:sz w:val="14"/>
                <w:szCs w:val="14"/>
                <w:color w:val="auto"/>
              </w:rPr>
            </w:pPr>
          </w:p>
        </w:tc>
        <w:tc>
          <w:tcPr>
            <w:tcW w:w="1140" w:type="dxa"/>
            <w:vAlign w:val="bottom"/>
            <w:tcBorders>
              <w:bottom w:val="single" w:sz="8" w:color="4A7EBB"/>
            </w:tcBorders>
          </w:tcPr>
          <w:p>
            <w:pPr>
              <w:jc w:val="center"/>
              <w:spacing w:after="0"/>
              <w:rPr>
                <w:sz w:val="20"/>
                <w:szCs w:val="20"/>
                <w:color w:val="auto"/>
              </w:rPr>
            </w:pPr>
            <w:r>
              <w:rPr>
                <w:rFonts w:ascii="Arial" w:cs="Arial" w:eastAsia="Arial" w:hAnsi="Arial"/>
                <w:sz w:val="14"/>
                <w:szCs w:val="14"/>
                <w:color w:val="auto"/>
              </w:rPr>
              <w:t>338,585</w:t>
            </w:r>
          </w:p>
        </w:tc>
        <w:tc>
          <w:tcPr>
            <w:tcW w:w="220" w:type="dxa"/>
            <w:vAlign w:val="bottom"/>
            <w:tcBorders>
              <w:bottom w:val="single" w:sz="8" w:color="4A7EBB"/>
            </w:tcBorders>
          </w:tcPr>
          <w:p>
            <w:pPr>
              <w:jc w:val="center"/>
              <w:spacing w:after="0"/>
              <w:rPr>
                <w:sz w:val="20"/>
                <w:szCs w:val="20"/>
                <w:color w:val="auto"/>
              </w:rPr>
            </w:pPr>
            <w:r>
              <w:rPr>
                <w:rFonts w:ascii="Arial" w:cs="Arial" w:eastAsia="Arial" w:hAnsi="Arial"/>
                <w:sz w:val="12"/>
                <w:szCs w:val="12"/>
                <w:color w:val="auto"/>
                <w:w w:val="95"/>
              </w:rPr>
              <w:t>(9)</w:t>
            </w:r>
          </w:p>
        </w:tc>
        <w:tc>
          <w:tcPr>
            <w:tcW w:w="1780" w:type="dxa"/>
            <w:vAlign w:val="bottom"/>
            <w:tcBorders>
              <w:bottom w:val="single" w:sz="8" w:color="4A7EBB"/>
            </w:tcBorders>
          </w:tcPr>
          <w:p>
            <w:pPr>
              <w:jc w:val="center"/>
              <w:spacing w:after="0"/>
              <w:rPr>
                <w:sz w:val="20"/>
                <w:szCs w:val="20"/>
                <w:color w:val="auto"/>
              </w:rPr>
            </w:pPr>
            <w:r>
              <w:rPr>
                <w:rFonts w:ascii="Arial" w:cs="Arial" w:eastAsia="Arial" w:hAnsi="Arial"/>
                <w:sz w:val="14"/>
                <w:szCs w:val="14"/>
                <w:color w:val="auto"/>
              </w:rPr>
              <w:t>9,937,470</w:t>
            </w:r>
          </w:p>
        </w:tc>
        <w:tc>
          <w:tcPr>
            <w:tcW w:w="1640" w:type="dxa"/>
            <w:vAlign w:val="bottom"/>
            <w:tcBorders>
              <w:bottom w:val="single" w:sz="8" w:color="4A7EBB"/>
            </w:tcBorders>
          </w:tcPr>
          <w:p>
            <w:pPr>
              <w:spacing w:after="0"/>
              <w:rPr>
                <w:sz w:val="14"/>
                <w:szCs w:val="14"/>
                <w:color w:val="auto"/>
              </w:rPr>
            </w:pPr>
          </w:p>
        </w:tc>
        <w:tc>
          <w:tcPr>
            <w:tcW w:w="260" w:type="dxa"/>
            <w:vAlign w:val="bottom"/>
            <w:tcBorders>
              <w:bottom w:val="single" w:sz="8" w:color="4A7EBB"/>
            </w:tcBorders>
          </w:tcPr>
          <w:p>
            <w:pPr>
              <w:spacing w:after="0"/>
              <w:rPr>
                <w:sz w:val="14"/>
                <w:szCs w:val="14"/>
                <w:color w:val="auto"/>
              </w:rPr>
            </w:pPr>
          </w:p>
        </w:tc>
        <w:tc>
          <w:tcPr>
            <w:tcW w:w="1620" w:type="dxa"/>
            <w:vAlign w:val="bottom"/>
            <w:tcBorders>
              <w:bottom w:val="single" w:sz="8" w:color="4A7EBB"/>
            </w:tcBorders>
          </w:tcPr>
          <w:p>
            <w:pPr>
              <w:spacing w:after="0"/>
              <w:rPr>
                <w:sz w:val="14"/>
                <w:szCs w:val="14"/>
                <w:color w:val="auto"/>
              </w:rPr>
            </w:pPr>
          </w:p>
        </w:tc>
      </w:tr>
      <w:tr>
        <w:trPr>
          <w:trHeight w:val="156"/>
        </w:trPr>
        <w:tc>
          <w:tcPr>
            <w:tcW w:w="3060" w:type="dxa"/>
            <w:vAlign w:val="bottom"/>
            <w:shd w:val="clear" w:color="auto" w:fill="F2F2F2"/>
          </w:tcPr>
          <w:p>
            <w:pPr>
              <w:ind w:left="120"/>
              <w:spacing w:after="0" w:line="155" w:lineRule="exact"/>
              <w:rPr>
                <w:sz w:val="20"/>
                <w:szCs w:val="20"/>
                <w:color w:val="auto"/>
              </w:rPr>
            </w:pPr>
            <w:r>
              <w:rPr>
                <w:rFonts w:ascii="Arial" w:cs="Arial" w:eastAsia="Arial" w:hAnsi="Arial"/>
                <w:sz w:val="14"/>
                <w:szCs w:val="14"/>
                <w:b w:val="1"/>
                <w:bCs w:val="1"/>
                <w:color w:val="auto"/>
              </w:rPr>
              <w:t>Neal S. Nackman</w:t>
            </w:r>
          </w:p>
        </w:tc>
        <w:tc>
          <w:tcPr>
            <w:tcW w:w="200" w:type="dxa"/>
            <w:vAlign w:val="bottom"/>
            <w:tcBorders>
              <w:right w:val="single" w:sz="8" w:color="F2F2F2"/>
            </w:tcBorders>
            <w:shd w:val="clear" w:color="auto" w:fill="F2F2F2"/>
          </w:tcPr>
          <w:p>
            <w:pPr>
              <w:spacing w:after="0"/>
              <w:rPr>
                <w:sz w:val="13"/>
                <w:szCs w:val="13"/>
                <w:color w:val="auto"/>
              </w:rPr>
            </w:pPr>
          </w:p>
        </w:tc>
        <w:tc>
          <w:tcPr>
            <w:tcW w:w="1140" w:type="dxa"/>
            <w:vAlign w:val="bottom"/>
            <w:shd w:val="clear" w:color="auto" w:fill="F2F2F2"/>
          </w:tcPr>
          <w:p>
            <w:pPr>
              <w:jc w:val="center"/>
              <w:spacing w:after="0" w:line="155" w:lineRule="exact"/>
              <w:rPr>
                <w:sz w:val="20"/>
                <w:szCs w:val="20"/>
                <w:color w:val="auto"/>
              </w:rPr>
            </w:pPr>
            <w:r>
              <w:rPr>
                <w:rFonts w:ascii="Arial" w:cs="Arial" w:eastAsia="Arial" w:hAnsi="Arial"/>
                <w:sz w:val="14"/>
                <w:szCs w:val="14"/>
                <w:color w:val="auto"/>
              </w:rPr>
              <w:t>9,352</w:t>
            </w:r>
          </w:p>
        </w:tc>
        <w:tc>
          <w:tcPr>
            <w:tcW w:w="220" w:type="dxa"/>
            <w:vAlign w:val="bottom"/>
            <w:shd w:val="clear" w:color="auto" w:fill="F2F2F2"/>
          </w:tcPr>
          <w:p>
            <w:pPr>
              <w:jc w:val="center"/>
              <w:spacing w:after="0"/>
              <w:rPr>
                <w:sz w:val="20"/>
                <w:szCs w:val="20"/>
                <w:color w:val="auto"/>
              </w:rPr>
            </w:pPr>
            <w:r>
              <w:rPr>
                <w:rFonts w:ascii="Arial" w:cs="Arial" w:eastAsia="Arial" w:hAnsi="Arial"/>
                <w:sz w:val="12"/>
                <w:szCs w:val="12"/>
                <w:color w:val="auto"/>
                <w:w w:val="95"/>
              </w:rPr>
              <w:t>(4)</w:t>
            </w:r>
          </w:p>
        </w:tc>
        <w:tc>
          <w:tcPr>
            <w:tcW w:w="1780" w:type="dxa"/>
            <w:vAlign w:val="bottom"/>
            <w:shd w:val="clear" w:color="auto" w:fill="F2F2F2"/>
          </w:tcPr>
          <w:p>
            <w:pPr>
              <w:jc w:val="center"/>
              <w:spacing w:after="0" w:line="155" w:lineRule="exact"/>
              <w:rPr>
                <w:sz w:val="20"/>
                <w:szCs w:val="20"/>
                <w:color w:val="auto"/>
              </w:rPr>
            </w:pPr>
            <w:r>
              <w:rPr>
                <w:rFonts w:ascii="Arial" w:cs="Arial" w:eastAsia="Arial" w:hAnsi="Arial"/>
                <w:sz w:val="14"/>
                <w:szCs w:val="14"/>
                <w:color w:val="auto"/>
              </w:rPr>
              <w:t>274,481</w:t>
            </w:r>
          </w:p>
        </w:tc>
        <w:tc>
          <w:tcPr>
            <w:tcW w:w="1640" w:type="dxa"/>
            <w:vAlign w:val="bottom"/>
            <w:shd w:val="clear" w:color="auto" w:fill="F2F2F2"/>
          </w:tcPr>
          <w:p>
            <w:pPr>
              <w:jc w:val="center"/>
              <w:ind w:left="129"/>
              <w:spacing w:after="0" w:line="155" w:lineRule="exact"/>
              <w:rPr>
                <w:sz w:val="20"/>
                <w:szCs w:val="20"/>
                <w:color w:val="auto"/>
              </w:rPr>
            </w:pPr>
            <w:r>
              <w:rPr>
                <w:rFonts w:ascii="Arial" w:cs="Arial" w:eastAsia="Arial" w:hAnsi="Arial"/>
                <w:sz w:val="14"/>
                <w:szCs w:val="14"/>
                <w:color w:val="auto"/>
              </w:rPr>
              <w:t>9,352</w:t>
            </w:r>
          </w:p>
        </w:tc>
        <w:tc>
          <w:tcPr>
            <w:tcW w:w="260" w:type="dxa"/>
            <w:vAlign w:val="bottom"/>
            <w:shd w:val="clear" w:color="auto" w:fill="F2F2F2"/>
          </w:tcPr>
          <w:p>
            <w:pPr>
              <w:jc w:val="right"/>
              <w:ind w:right="39"/>
              <w:spacing w:after="0"/>
              <w:rPr>
                <w:sz w:val="20"/>
                <w:szCs w:val="20"/>
                <w:color w:val="auto"/>
              </w:rPr>
            </w:pPr>
            <w:r>
              <w:rPr>
                <w:rFonts w:ascii="Arial" w:cs="Arial" w:eastAsia="Arial" w:hAnsi="Arial"/>
                <w:sz w:val="12"/>
                <w:szCs w:val="12"/>
                <w:color w:val="auto"/>
                <w:w w:val="95"/>
              </w:rPr>
              <w:t>(4)</w:t>
            </w:r>
          </w:p>
        </w:tc>
        <w:tc>
          <w:tcPr>
            <w:tcW w:w="1620" w:type="dxa"/>
            <w:vAlign w:val="bottom"/>
            <w:shd w:val="clear" w:color="auto" w:fill="F2F2F2"/>
          </w:tcPr>
          <w:p>
            <w:pPr>
              <w:jc w:val="center"/>
              <w:spacing w:after="0" w:line="155" w:lineRule="exact"/>
              <w:rPr>
                <w:sz w:val="20"/>
                <w:szCs w:val="20"/>
                <w:color w:val="auto"/>
              </w:rPr>
            </w:pPr>
            <w:r>
              <w:rPr>
                <w:rFonts w:ascii="Arial" w:cs="Arial" w:eastAsia="Arial" w:hAnsi="Arial"/>
                <w:sz w:val="14"/>
                <w:szCs w:val="14"/>
                <w:color w:val="auto"/>
              </w:rPr>
              <w:t>274,481</w:t>
            </w:r>
          </w:p>
        </w:tc>
      </w:tr>
      <w:tr>
        <w:trPr>
          <w:trHeight w:val="162"/>
        </w:trPr>
        <w:tc>
          <w:tcPr>
            <w:tcW w:w="3060" w:type="dxa"/>
            <w:vAlign w:val="bottom"/>
            <w:shd w:val="clear" w:color="auto" w:fill="F2F2F2"/>
          </w:tcPr>
          <w:p>
            <w:pPr>
              <w:spacing w:after="0"/>
              <w:rPr>
                <w:sz w:val="14"/>
                <w:szCs w:val="14"/>
                <w:color w:val="auto"/>
              </w:rPr>
            </w:pPr>
          </w:p>
        </w:tc>
        <w:tc>
          <w:tcPr>
            <w:tcW w:w="200" w:type="dxa"/>
            <w:vAlign w:val="bottom"/>
            <w:tcBorders>
              <w:right w:val="single" w:sz="8" w:color="F2F2F2"/>
            </w:tcBorders>
            <w:shd w:val="clear" w:color="auto" w:fill="F2F2F2"/>
          </w:tcPr>
          <w:p>
            <w:pPr>
              <w:spacing w:after="0"/>
              <w:rPr>
                <w:sz w:val="14"/>
                <w:szCs w:val="14"/>
                <w:color w:val="auto"/>
              </w:rPr>
            </w:pPr>
          </w:p>
        </w:tc>
        <w:tc>
          <w:tcPr>
            <w:tcW w:w="114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7,812</w:t>
            </w:r>
          </w:p>
        </w:tc>
        <w:tc>
          <w:tcPr>
            <w:tcW w:w="220" w:type="dxa"/>
            <w:vAlign w:val="bottom"/>
            <w:shd w:val="clear" w:color="auto" w:fill="F2F2F2"/>
          </w:tcPr>
          <w:p>
            <w:pPr>
              <w:jc w:val="center"/>
              <w:spacing w:after="0"/>
              <w:rPr>
                <w:sz w:val="20"/>
                <w:szCs w:val="20"/>
                <w:color w:val="auto"/>
              </w:rPr>
            </w:pPr>
            <w:r>
              <w:rPr>
                <w:rFonts w:ascii="Arial" w:cs="Arial" w:eastAsia="Arial" w:hAnsi="Arial"/>
                <w:sz w:val="12"/>
                <w:szCs w:val="12"/>
                <w:color w:val="auto"/>
                <w:w w:val="95"/>
              </w:rPr>
              <w:t>(7)</w:t>
            </w:r>
          </w:p>
        </w:tc>
        <w:tc>
          <w:tcPr>
            <w:tcW w:w="178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229,282</w:t>
            </w:r>
          </w:p>
        </w:tc>
        <w:tc>
          <w:tcPr>
            <w:tcW w:w="1640" w:type="dxa"/>
            <w:vAlign w:val="bottom"/>
            <w:shd w:val="clear" w:color="auto" w:fill="F2F2F2"/>
          </w:tcPr>
          <w:p>
            <w:pPr>
              <w:jc w:val="center"/>
              <w:ind w:left="129"/>
              <w:spacing w:after="0"/>
              <w:rPr>
                <w:sz w:val="20"/>
                <w:szCs w:val="20"/>
                <w:color w:val="auto"/>
              </w:rPr>
            </w:pPr>
            <w:r>
              <w:rPr>
                <w:rFonts w:ascii="Arial" w:cs="Arial" w:eastAsia="Arial" w:hAnsi="Arial"/>
                <w:sz w:val="14"/>
                <w:szCs w:val="14"/>
                <w:color w:val="auto"/>
              </w:rPr>
              <w:t>7,812</w:t>
            </w:r>
          </w:p>
        </w:tc>
        <w:tc>
          <w:tcPr>
            <w:tcW w:w="260" w:type="dxa"/>
            <w:vAlign w:val="bottom"/>
            <w:shd w:val="clear" w:color="auto" w:fill="F2F2F2"/>
          </w:tcPr>
          <w:p>
            <w:pPr>
              <w:jc w:val="right"/>
              <w:ind w:right="39"/>
              <w:spacing w:after="0"/>
              <w:rPr>
                <w:sz w:val="20"/>
                <w:szCs w:val="20"/>
                <w:color w:val="auto"/>
              </w:rPr>
            </w:pPr>
            <w:r>
              <w:rPr>
                <w:rFonts w:ascii="Arial" w:cs="Arial" w:eastAsia="Arial" w:hAnsi="Arial"/>
                <w:sz w:val="12"/>
                <w:szCs w:val="12"/>
                <w:color w:val="auto"/>
                <w:w w:val="95"/>
              </w:rPr>
              <w:t>(7)</w:t>
            </w:r>
          </w:p>
        </w:tc>
        <w:tc>
          <w:tcPr>
            <w:tcW w:w="162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229,282</w:t>
            </w:r>
          </w:p>
        </w:tc>
      </w:tr>
      <w:tr>
        <w:trPr>
          <w:trHeight w:val="162"/>
        </w:trPr>
        <w:tc>
          <w:tcPr>
            <w:tcW w:w="3060" w:type="dxa"/>
            <w:vAlign w:val="bottom"/>
            <w:tcBorders>
              <w:bottom w:val="single" w:sz="8" w:color="4A7EBB"/>
            </w:tcBorders>
            <w:shd w:val="clear" w:color="auto" w:fill="F2F2F2"/>
          </w:tcPr>
          <w:p>
            <w:pPr>
              <w:spacing w:after="0"/>
              <w:rPr>
                <w:sz w:val="14"/>
                <w:szCs w:val="14"/>
                <w:color w:val="auto"/>
              </w:rPr>
            </w:pPr>
          </w:p>
        </w:tc>
        <w:tc>
          <w:tcPr>
            <w:tcW w:w="200" w:type="dxa"/>
            <w:vAlign w:val="bottom"/>
            <w:tcBorders>
              <w:bottom w:val="single" w:sz="8" w:color="4A7EBB"/>
              <w:right w:val="single" w:sz="8" w:color="F2F2F2"/>
            </w:tcBorders>
            <w:shd w:val="clear" w:color="auto" w:fill="F2F2F2"/>
          </w:tcPr>
          <w:p>
            <w:pPr>
              <w:spacing w:after="0"/>
              <w:rPr>
                <w:sz w:val="14"/>
                <w:szCs w:val="14"/>
                <w:color w:val="auto"/>
              </w:rPr>
            </w:pPr>
          </w:p>
        </w:tc>
        <w:tc>
          <w:tcPr>
            <w:tcW w:w="1140" w:type="dxa"/>
            <w:vAlign w:val="bottom"/>
            <w:tcBorders>
              <w:bottom w:val="single" w:sz="8" w:color="4A7EBB"/>
            </w:tcBorders>
            <w:shd w:val="clear" w:color="auto" w:fill="F2F2F2"/>
          </w:tcPr>
          <w:p>
            <w:pPr>
              <w:jc w:val="center"/>
              <w:spacing w:after="0"/>
              <w:rPr>
                <w:sz w:val="20"/>
                <w:szCs w:val="20"/>
                <w:color w:val="auto"/>
              </w:rPr>
            </w:pPr>
            <w:r>
              <w:rPr>
                <w:rFonts w:ascii="Arial" w:cs="Arial" w:eastAsia="Arial" w:hAnsi="Arial"/>
                <w:sz w:val="14"/>
                <w:szCs w:val="14"/>
                <w:color w:val="auto"/>
              </w:rPr>
              <w:t>36,172</w:t>
            </w:r>
          </w:p>
        </w:tc>
        <w:tc>
          <w:tcPr>
            <w:tcW w:w="220" w:type="dxa"/>
            <w:vAlign w:val="bottom"/>
            <w:tcBorders>
              <w:bottom w:val="single" w:sz="8" w:color="4A7EBB"/>
            </w:tcBorders>
            <w:shd w:val="clear" w:color="auto" w:fill="F2F2F2"/>
          </w:tcPr>
          <w:p>
            <w:pPr>
              <w:jc w:val="center"/>
              <w:spacing w:after="0"/>
              <w:rPr>
                <w:sz w:val="20"/>
                <w:szCs w:val="20"/>
                <w:color w:val="auto"/>
              </w:rPr>
            </w:pPr>
            <w:r>
              <w:rPr>
                <w:rFonts w:ascii="Arial" w:cs="Arial" w:eastAsia="Arial" w:hAnsi="Arial"/>
                <w:sz w:val="12"/>
                <w:szCs w:val="12"/>
                <w:color w:val="auto"/>
                <w:w w:val="95"/>
              </w:rPr>
              <w:t>(9)</w:t>
            </w:r>
          </w:p>
        </w:tc>
        <w:tc>
          <w:tcPr>
            <w:tcW w:w="1780" w:type="dxa"/>
            <w:vAlign w:val="bottom"/>
            <w:tcBorders>
              <w:bottom w:val="single" w:sz="8" w:color="4A7EBB"/>
            </w:tcBorders>
            <w:shd w:val="clear" w:color="auto" w:fill="F2F2F2"/>
          </w:tcPr>
          <w:p>
            <w:pPr>
              <w:jc w:val="center"/>
              <w:spacing w:after="0"/>
              <w:rPr>
                <w:sz w:val="20"/>
                <w:szCs w:val="20"/>
                <w:color w:val="auto"/>
              </w:rPr>
            </w:pPr>
            <w:r>
              <w:rPr>
                <w:rFonts w:ascii="Arial" w:cs="Arial" w:eastAsia="Arial" w:hAnsi="Arial"/>
                <w:sz w:val="14"/>
                <w:szCs w:val="14"/>
                <w:color w:val="auto"/>
              </w:rPr>
              <w:t>1,061,648</w:t>
            </w:r>
          </w:p>
        </w:tc>
        <w:tc>
          <w:tcPr>
            <w:tcW w:w="1640" w:type="dxa"/>
            <w:vAlign w:val="bottom"/>
            <w:tcBorders>
              <w:bottom w:val="single" w:sz="8" w:color="4A7EBB"/>
            </w:tcBorders>
            <w:shd w:val="clear" w:color="auto" w:fill="F2F2F2"/>
          </w:tcPr>
          <w:p>
            <w:pPr>
              <w:spacing w:after="0"/>
              <w:rPr>
                <w:sz w:val="14"/>
                <w:szCs w:val="14"/>
                <w:color w:val="auto"/>
              </w:rPr>
            </w:pPr>
          </w:p>
        </w:tc>
        <w:tc>
          <w:tcPr>
            <w:tcW w:w="260" w:type="dxa"/>
            <w:vAlign w:val="bottom"/>
            <w:tcBorders>
              <w:bottom w:val="single" w:sz="8" w:color="4A7EBB"/>
            </w:tcBorders>
            <w:shd w:val="clear" w:color="auto" w:fill="F2F2F2"/>
          </w:tcPr>
          <w:p>
            <w:pPr>
              <w:spacing w:after="0"/>
              <w:rPr>
                <w:sz w:val="14"/>
                <w:szCs w:val="14"/>
                <w:color w:val="auto"/>
              </w:rPr>
            </w:pPr>
          </w:p>
        </w:tc>
        <w:tc>
          <w:tcPr>
            <w:tcW w:w="1620" w:type="dxa"/>
            <w:vAlign w:val="bottom"/>
            <w:tcBorders>
              <w:bottom w:val="single" w:sz="8" w:color="4A7EBB"/>
            </w:tcBorders>
            <w:shd w:val="clear" w:color="auto" w:fill="F2F2F2"/>
          </w:tcPr>
          <w:p>
            <w:pPr>
              <w:spacing w:after="0"/>
              <w:rPr>
                <w:sz w:val="14"/>
                <w:szCs w:val="14"/>
                <w:color w:val="auto"/>
              </w:rPr>
            </w:pPr>
          </w:p>
        </w:tc>
      </w:tr>
      <w:tr>
        <w:trPr>
          <w:trHeight w:val="146"/>
        </w:trPr>
        <w:tc>
          <w:tcPr>
            <w:tcW w:w="3260" w:type="dxa"/>
            <w:vAlign w:val="bottom"/>
            <w:gridSpan w:val="2"/>
          </w:tcPr>
          <w:p>
            <w:pPr>
              <w:ind w:left="120"/>
              <w:spacing w:after="0" w:line="147" w:lineRule="exact"/>
              <w:rPr>
                <w:sz w:val="20"/>
                <w:szCs w:val="20"/>
                <w:color w:val="auto"/>
              </w:rPr>
            </w:pPr>
            <w:r>
              <w:rPr>
                <w:rFonts w:ascii="Arial" w:cs="Arial" w:eastAsia="Arial" w:hAnsi="Arial"/>
                <w:sz w:val="14"/>
                <w:szCs w:val="14"/>
                <w:b w:val="1"/>
                <w:bCs w:val="1"/>
                <w:color w:val="auto"/>
              </w:rPr>
              <w:t>Sammy Aaron</w:t>
            </w:r>
          </w:p>
        </w:tc>
        <w:tc>
          <w:tcPr>
            <w:tcW w:w="1140" w:type="dxa"/>
            <w:vAlign w:val="bottom"/>
          </w:tcPr>
          <w:p>
            <w:pPr>
              <w:jc w:val="center"/>
              <w:spacing w:after="0" w:line="147" w:lineRule="exact"/>
              <w:rPr>
                <w:sz w:val="20"/>
                <w:szCs w:val="20"/>
                <w:color w:val="auto"/>
              </w:rPr>
            </w:pPr>
            <w:r>
              <w:rPr>
                <w:rFonts w:ascii="Arial" w:cs="Arial" w:eastAsia="Arial" w:hAnsi="Arial"/>
                <w:sz w:val="14"/>
                <w:szCs w:val="14"/>
                <w:color w:val="auto"/>
              </w:rPr>
              <w:t>67,340</w:t>
            </w:r>
          </w:p>
        </w:tc>
        <w:tc>
          <w:tcPr>
            <w:tcW w:w="220" w:type="dxa"/>
            <w:vAlign w:val="bottom"/>
          </w:tcPr>
          <w:p>
            <w:pPr>
              <w:jc w:val="center"/>
              <w:spacing w:after="0"/>
              <w:rPr>
                <w:sz w:val="20"/>
                <w:szCs w:val="20"/>
                <w:color w:val="auto"/>
              </w:rPr>
            </w:pPr>
            <w:r>
              <w:rPr>
                <w:rFonts w:ascii="Arial" w:cs="Arial" w:eastAsia="Arial" w:hAnsi="Arial"/>
                <w:sz w:val="12"/>
                <w:szCs w:val="12"/>
                <w:color w:val="auto"/>
                <w:w w:val="95"/>
              </w:rPr>
              <w:t>(4)</w:t>
            </w:r>
          </w:p>
        </w:tc>
        <w:tc>
          <w:tcPr>
            <w:tcW w:w="1780" w:type="dxa"/>
            <w:vAlign w:val="bottom"/>
          </w:tcPr>
          <w:p>
            <w:pPr>
              <w:jc w:val="center"/>
              <w:spacing w:after="0" w:line="147" w:lineRule="exact"/>
              <w:rPr>
                <w:sz w:val="20"/>
                <w:szCs w:val="20"/>
                <w:color w:val="auto"/>
              </w:rPr>
            </w:pPr>
            <w:r>
              <w:rPr>
                <w:rFonts w:ascii="Arial" w:cs="Arial" w:eastAsia="Arial" w:hAnsi="Arial"/>
                <w:sz w:val="14"/>
                <w:szCs w:val="14"/>
                <w:color w:val="auto"/>
              </w:rPr>
              <w:t>1,976,429</w:t>
            </w:r>
          </w:p>
        </w:tc>
        <w:tc>
          <w:tcPr>
            <w:tcW w:w="1640" w:type="dxa"/>
            <w:vAlign w:val="bottom"/>
          </w:tcPr>
          <w:p>
            <w:pPr>
              <w:jc w:val="center"/>
              <w:ind w:left="129"/>
              <w:spacing w:after="0" w:line="147" w:lineRule="exact"/>
              <w:rPr>
                <w:sz w:val="20"/>
                <w:szCs w:val="20"/>
                <w:color w:val="auto"/>
              </w:rPr>
            </w:pPr>
            <w:r>
              <w:rPr>
                <w:rFonts w:ascii="Arial" w:cs="Arial" w:eastAsia="Arial" w:hAnsi="Arial"/>
                <w:sz w:val="14"/>
                <w:szCs w:val="14"/>
                <w:color w:val="auto"/>
              </w:rPr>
              <w:t>101,010</w:t>
            </w:r>
          </w:p>
        </w:tc>
        <w:tc>
          <w:tcPr>
            <w:tcW w:w="260" w:type="dxa"/>
            <w:vAlign w:val="bottom"/>
          </w:tcPr>
          <w:p>
            <w:pPr>
              <w:jc w:val="right"/>
              <w:ind w:right="39"/>
              <w:spacing w:after="0"/>
              <w:rPr>
                <w:sz w:val="20"/>
                <w:szCs w:val="20"/>
                <w:color w:val="auto"/>
              </w:rPr>
            </w:pPr>
            <w:r>
              <w:rPr>
                <w:rFonts w:ascii="Arial" w:cs="Arial" w:eastAsia="Arial" w:hAnsi="Arial"/>
                <w:sz w:val="12"/>
                <w:szCs w:val="12"/>
                <w:color w:val="auto"/>
                <w:w w:val="95"/>
              </w:rPr>
              <w:t>(4)</w:t>
            </w:r>
          </w:p>
        </w:tc>
        <w:tc>
          <w:tcPr>
            <w:tcW w:w="1620" w:type="dxa"/>
            <w:vAlign w:val="bottom"/>
          </w:tcPr>
          <w:p>
            <w:pPr>
              <w:jc w:val="center"/>
              <w:spacing w:after="0" w:line="147" w:lineRule="exact"/>
              <w:rPr>
                <w:sz w:val="20"/>
                <w:szCs w:val="20"/>
                <w:color w:val="auto"/>
              </w:rPr>
            </w:pPr>
            <w:r>
              <w:rPr>
                <w:rFonts w:ascii="Arial" w:cs="Arial" w:eastAsia="Arial" w:hAnsi="Arial"/>
                <w:sz w:val="14"/>
                <w:szCs w:val="14"/>
                <w:color w:val="auto"/>
              </w:rPr>
              <w:t>2,964,644</w:t>
            </w:r>
          </w:p>
        </w:tc>
      </w:tr>
      <w:tr>
        <w:trPr>
          <w:trHeight w:val="162"/>
        </w:trPr>
        <w:tc>
          <w:tcPr>
            <w:tcW w:w="3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rPr>
              <w:t>62,500</w:t>
            </w:r>
          </w:p>
        </w:tc>
        <w:tc>
          <w:tcPr>
            <w:tcW w:w="220" w:type="dxa"/>
            <w:vAlign w:val="bottom"/>
          </w:tcPr>
          <w:p>
            <w:pPr>
              <w:jc w:val="center"/>
              <w:spacing w:after="0"/>
              <w:rPr>
                <w:sz w:val="20"/>
                <w:szCs w:val="20"/>
                <w:color w:val="auto"/>
              </w:rPr>
            </w:pPr>
            <w:r>
              <w:rPr>
                <w:rFonts w:ascii="Arial" w:cs="Arial" w:eastAsia="Arial" w:hAnsi="Arial"/>
                <w:sz w:val="12"/>
                <w:szCs w:val="12"/>
                <w:color w:val="auto"/>
                <w:w w:val="95"/>
              </w:rPr>
              <w:t>(7)</w:t>
            </w:r>
          </w:p>
        </w:tc>
        <w:tc>
          <w:tcPr>
            <w:tcW w:w="1780" w:type="dxa"/>
            <w:vAlign w:val="bottom"/>
          </w:tcPr>
          <w:p>
            <w:pPr>
              <w:jc w:val="center"/>
              <w:spacing w:after="0"/>
              <w:rPr>
                <w:sz w:val="20"/>
                <w:szCs w:val="20"/>
                <w:color w:val="auto"/>
              </w:rPr>
            </w:pPr>
            <w:r>
              <w:rPr>
                <w:rFonts w:ascii="Arial" w:cs="Arial" w:eastAsia="Arial" w:hAnsi="Arial"/>
                <w:sz w:val="14"/>
                <w:szCs w:val="14"/>
                <w:color w:val="auto"/>
              </w:rPr>
              <w:t>1,834,375</w:t>
            </w:r>
          </w:p>
        </w:tc>
        <w:tc>
          <w:tcPr>
            <w:tcW w:w="1640" w:type="dxa"/>
            <w:vAlign w:val="bottom"/>
          </w:tcPr>
          <w:p>
            <w:pPr>
              <w:jc w:val="center"/>
              <w:ind w:left="129"/>
              <w:spacing w:after="0"/>
              <w:rPr>
                <w:sz w:val="20"/>
                <w:szCs w:val="20"/>
                <w:color w:val="auto"/>
              </w:rPr>
            </w:pPr>
            <w:r>
              <w:rPr>
                <w:rFonts w:ascii="Arial" w:cs="Arial" w:eastAsia="Arial" w:hAnsi="Arial"/>
                <w:sz w:val="14"/>
                <w:szCs w:val="14"/>
                <w:color w:val="auto"/>
              </w:rPr>
              <w:t>93,750</w:t>
            </w:r>
          </w:p>
        </w:tc>
        <w:tc>
          <w:tcPr>
            <w:tcW w:w="260" w:type="dxa"/>
            <w:vAlign w:val="bottom"/>
          </w:tcPr>
          <w:p>
            <w:pPr>
              <w:jc w:val="right"/>
              <w:ind w:right="39"/>
              <w:spacing w:after="0"/>
              <w:rPr>
                <w:sz w:val="20"/>
                <w:szCs w:val="20"/>
                <w:color w:val="auto"/>
              </w:rPr>
            </w:pPr>
            <w:r>
              <w:rPr>
                <w:rFonts w:ascii="Arial" w:cs="Arial" w:eastAsia="Arial" w:hAnsi="Arial"/>
                <w:sz w:val="12"/>
                <w:szCs w:val="12"/>
                <w:color w:val="auto"/>
                <w:w w:val="95"/>
              </w:rPr>
              <w:t>(7)</w:t>
            </w:r>
          </w:p>
        </w:tc>
        <w:tc>
          <w:tcPr>
            <w:tcW w:w="1620" w:type="dxa"/>
            <w:vAlign w:val="bottom"/>
          </w:tcPr>
          <w:p>
            <w:pPr>
              <w:jc w:val="center"/>
              <w:spacing w:after="0"/>
              <w:rPr>
                <w:sz w:val="20"/>
                <w:szCs w:val="20"/>
                <w:color w:val="auto"/>
              </w:rPr>
            </w:pPr>
            <w:r>
              <w:rPr>
                <w:rFonts w:ascii="Arial" w:cs="Arial" w:eastAsia="Arial" w:hAnsi="Arial"/>
                <w:sz w:val="14"/>
                <w:szCs w:val="14"/>
                <w:color w:val="auto"/>
              </w:rPr>
              <w:t>2,751,563</w:t>
            </w:r>
          </w:p>
        </w:tc>
      </w:tr>
      <w:tr>
        <w:trPr>
          <w:trHeight w:val="171"/>
        </w:trPr>
        <w:tc>
          <w:tcPr>
            <w:tcW w:w="3060" w:type="dxa"/>
            <w:vAlign w:val="bottom"/>
            <w:tcBorders>
              <w:bottom w:val="single" w:sz="8" w:color="4A7EBB"/>
            </w:tcBorders>
          </w:tcPr>
          <w:p>
            <w:pPr>
              <w:spacing w:after="0"/>
              <w:rPr>
                <w:sz w:val="14"/>
                <w:szCs w:val="14"/>
                <w:color w:val="auto"/>
              </w:rPr>
            </w:pPr>
          </w:p>
        </w:tc>
        <w:tc>
          <w:tcPr>
            <w:tcW w:w="200" w:type="dxa"/>
            <w:vAlign w:val="bottom"/>
            <w:tcBorders>
              <w:bottom w:val="single" w:sz="8" w:color="4A7EBB"/>
            </w:tcBorders>
          </w:tcPr>
          <w:p>
            <w:pPr>
              <w:spacing w:after="0"/>
              <w:rPr>
                <w:sz w:val="14"/>
                <w:szCs w:val="14"/>
                <w:color w:val="auto"/>
              </w:rPr>
            </w:pPr>
          </w:p>
        </w:tc>
        <w:tc>
          <w:tcPr>
            <w:tcW w:w="1140" w:type="dxa"/>
            <w:vAlign w:val="bottom"/>
            <w:tcBorders>
              <w:bottom w:val="single" w:sz="8" w:color="4A7EBB"/>
            </w:tcBorders>
          </w:tcPr>
          <w:p>
            <w:pPr>
              <w:jc w:val="center"/>
              <w:spacing w:after="0"/>
              <w:rPr>
                <w:sz w:val="20"/>
                <w:szCs w:val="20"/>
                <w:color w:val="auto"/>
              </w:rPr>
            </w:pPr>
            <w:r>
              <w:rPr>
                <w:rFonts w:ascii="Arial" w:cs="Arial" w:eastAsia="Arial" w:hAnsi="Arial"/>
                <w:sz w:val="14"/>
                <w:szCs w:val="14"/>
                <w:color w:val="auto"/>
              </w:rPr>
              <w:t>217,040</w:t>
            </w:r>
          </w:p>
        </w:tc>
        <w:tc>
          <w:tcPr>
            <w:tcW w:w="220" w:type="dxa"/>
            <w:vAlign w:val="bottom"/>
            <w:tcBorders>
              <w:bottom w:val="single" w:sz="8" w:color="4A7EBB"/>
            </w:tcBorders>
          </w:tcPr>
          <w:p>
            <w:pPr>
              <w:jc w:val="center"/>
              <w:spacing w:after="0"/>
              <w:rPr>
                <w:sz w:val="20"/>
                <w:szCs w:val="20"/>
                <w:color w:val="auto"/>
              </w:rPr>
            </w:pPr>
            <w:r>
              <w:rPr>
                <w:rFonts w:ascii="Arial" w:cs="Arial" w:eastAsia="Arial" w:hAnsi="Arial"/>
                <w:sz w:val="12"/>
                <w:szCs w:val="12"/>
                <w:color w:val="auto"/>
                <w:w w:val="95"/>
              </w:rPr>
              <w:t>(9)</w:t>
            </w:r>
          </w:p>
        </w:tc>
        <w:tc>
          <w:tcPr>
            <w:tcW w:w="1780" w:type="dxa"/>
            <w:vAlign w:val="bottom"/>
            <w:tcBorders>
              <w:bottom w:val="single" w:sz="8" w:color="4A7EBB"/>
            </w:tcBorders>
          </w:tcPr>
          <w:p>
            <w:pPr>
              <w:jc w:val="center"/>
              <w:spacing w:after="0"/>
              <w:rPr>
                <w:sz w:val="20"/>
                <w:szCs w:val="20"/>
                <w:color w:val="auto"/>
              </w:rPr>
            </w:pPr>
            <w:r>
              <w:rPr>
                <w:rFonts w:ascii="Arial" w:cs="Arial" w:eastAsia="Arial" w:hAnsi="Arial"/>
                <w:sz w:val="14"/>
                <w:szCs w:val="14"/>
                <w:color w:val="auto"/>
              </w:rPr>
              <w:t>6,370,124</w:t>
            </w:r>
          </w:p>
        </w:tc>
        <w:tc>
          <w:tcPr>
            <w:tcW w:w="1640" w:type="dxa"/>
            <w:vAlign w:val="bottom"/>
            <w:tcBorders>
              <w:bottom w:val="single" w:sz="8" w:color="4A7EBB"/>
            </w:tcBorders>
          </w:tcPr>
          <w:p>
            <w:pPr>
              <w:spacing w:after="0"/>
              <w:rPr>
                <w:sz w:val="14"/>
                <w:szCs w:val="14"/>
                <w:color w:val="auto"/>
              </w:rPr>
            </w:pPr>
          </w:p>
        </w:tc>
        <w:tc>
          <w:tcPr>
            <w:tcW w:w="260" w:type="dxa"/>
            <w:vAlign w:val="bottom"/>
            <w:tcBorders>
              <w:bottom w:val="single" w:sz="8" w:color="4A7EBB"/>
            </w:tcBorders>
          </w:tcPr>
          <w:p>
            <w:pPr>
              <w:spacing w:after="0"/>
              <w:rPr>
                <w:sz w:val="14"/>
                <w:szCs w:val="14"/>
                <w:color w:val="auto"/>
              </w:rPr>
            </w:pPr>
          </w:p>
        </w:tc>
        <w:tc>
          <w:tcPr>
            <w:tcW w:w="1620" w:type="dxa"/>
            <w:vAlign w:val="bottom"/>
            <w:tcBorders>
              <w:bottom w:val="single" w:sz="8" w:color="4A7EBB"/>
            </w:tcBorders>
          </w:tcPr>
          <w:p>
            <w:pPr>
              <w:spacing w:after="0"/>
              <w:rPr>
                <w:sz w:val="14"/>
                <w:szCs w:val="14"/>
                <w:color w:val="auto"/>
              </w:rPr>
            </w:pPr>
          </w:p>
        </w:tc>
      </w:tr>
      <w:tr>
        <w:trPr>
          <w:trHeight w:val="155"/>
        </w:trPr>
        <w:tc>
          <w:tcPr>
            <w:tcW w:w="3060" w:type="dxa"/>
            <w:vAlign w:val="bottom"/>
            <w:shd w:val="clear" w:color="auto" w:fill="F2F2F2"/>
          </w:tcPr>
          <w:p>
            <w:pPr>
              <w:ind w:left="120"/>
              <w:spacing w:after="0" w:line="155" w:lineRule="exact"/>
              <w:rPr>
                <w:sz w:val="20"/>
                <w:szCs w:val="20"/>
                <w:color w:val="auto"/>
              </w:rPr>
            </w:pPr>
            <w:r>
              <w:rPr>
                <w:rFonts w:ascii="Arial" w:cs="Arial" w:eastAsia="Arial" w:hAnsi="Arial"/>
                <w:sz w:val="14"/>
                <w:szCs w:val="14"/>
                <w:b w:val="1"/>
                <w:bCs w:val="1"/>
                <w:color w:val="auto"/>
              </w:rPr>
              <w:t>Jeffrey Goldfarb</w:t>
            </w:r>
          </w:p>
        </w:tc>
        <w:tc>
          <w:tcPr>
            <w:tcW w:w="200" w:type="dxa"/>
            <w:vAlign w:val="bottom"/>
            <w:tcBorders>
              <w:right w:val="single" w:sz="8" w:color="F2F2F2"/>
            </w:tcBorders>
            <w:shd w:val="clear" w:color="auto" w:fill="F2F2F2"/>
          </w:tcPr>
          <w:p>
            <w:pPr>
              <w:spacing w:after="0"/>
              <w:rPr>
                <w:sz w:val="13"/>
                <w:szCs w:val="13"/>
                <w:color w:val="auto"/>
              </w:rPr>
            </w:pPr>
          </w:p>
        </w:tc>
        <w:tc>
          <w:tcPr>
            <w:tcW w:w="1140" w:type="dxa"/>
            <w:vAlign w:val="bottom"/>
            <w:shd w:val="clear" w:color="auto" w:fill="F2F2F2"/>
          </w:tcPr>
          <w:p>
            <w:pPr>
              <w:jc w:val="center"/>
              <w:spacing w:after="0" w:line="155" w:lineRule="exact"/>
              <w:rPr>
                <w:sz w:val="20"/>
                <w:szCs w:val="20"/>
                <w:color w:val="auto"/>
              </w:rPr>
            </w:pPr>
            <w:r>
              <w:rPr>
                <w:rFonts w:ascii="Arial" w:cs="Arial" w:eastAsia="Arial" w:hAnsi="Arial"/>
                <w:sz w:val="14"/>
                <w:szCs w:val="14"/>
                <w:color w:val="auto"/>
              </w:rPr>
              <w:t>26,187</w:t>
            </w:r>
          </w:p>
        </w:tc>
        <w:tc>
          <w:tcPr>
            <w:tcW w:w="220" w:type="dxa"/>
            <w:vAlign w:val="bottom"/>
            <w:shd w:val="clear" w:color="auto" w:fill="F2F2F2"/>
          </w:tcPr>
          <w:p>
            <w:pPr>
              <w:jc w:val="center"/>
              <w:spacing w:after="0"/>
              <w:rPr>
                <w:sz w:val="20"/>
                <w:szCs w:val="20"/>
                <w:color w:val="auto"/>
              </w:rPr>
            </w:pPr>
            <w:r>
              <w:rPr>
                <w:rFonts w:ascii="Arial" w:cs="Arial" w:eastAsia="Arial" w:hAnsi="Arial"/>
                <w:sz w:val="12"/>
                <w:szCs w:val="12"/>
                <w:color w:val="auto"/>
                <w:w w:val="95"/>
              </w:rPr>
              <w:t>(4)</w:t>
            </w:r>
          </w:p>
        </w:tc>
        <w:tc>
          <w:tcPr>
            <w:tcW w:w="1780" w:type="dxa"/>
            <w:vAlign w:val="bottom"/>
            <w:shd w:val="clear" w:color="auto" w:fill="F2F2F2"/>
          </w:tcPr>
          <w:p>
            <w:pPr>
              <w:jc w:val="center"/>
              <w:spacing w:after="0" w:line="155" w:lineRule="exact"/>
              <w:rPr>
                <w:sz w:val="20"/>
                <w:szCs w:val="20"/>
                <w:color w:val="auto"/>
              </w:rPr>
            </w:pPr>
            <w:r>
              <w:rPr>
                <w:rFonts w:ascii="Arial" w:cs="Arial" w:eastAsia="Arial" w:hAnsi="Arial"/>
                <w:sz w:val="14"/>
                <w:szCs w:val="14"/>
                <w:color w:val="auto"/>
              </w:rPr>
              <w:t>768,588</w:t>
            </w:r>
          </w:p>
        </w:tc>
        <w:tc>
          <w:tcPr>
            <w:tcW w:w="1640" w:type="dxa"/>
            <w:vAlign w:val="bottom"/>
            <w:shd w:val="clear" w:color="auto" w:fill="F2F2F2"/>
          </w:tcPr>
          <w:p>
            <w:pPr>
              <w:jc w:val="center"/>
              <w:ind w:left="129"/>
              <w:spacing w:after="0" w:line="155" w:lineRule="exact"/>
              <w:rPr>
                <w:sz w:val="20"/>
                <w:szCs w:val="20"/>
                <w:color w:val="auto"/>
              </w:rPr>
            </w:pPr>
            <w:r>
              <w:rPr>
                <w:rFonts w:ascii="Arial" w:cs="Arial" w:eastAsia="Arial" w:hAnsi="Arial"/>
                <w:sz w:val="14"/>
                <w:szCs w:val="14"/>
                <w:color w:val="auto"/>
              </w:rPr>
              <w:t>39,281</w:t>
            </w:r>
          </w:p>
        </w:tc>
        <w:tc>
          <w:tcPr>
            <w:tcW w:w="260" w:type="dxa"/>
            <w:vAlign w:val="bottom"/>
            <w:shd w:val="clear" w:color="auto" w:fill="F2F2F2"/>
          </w:tcPr>
          <w:p>
            <w:pPr>
              <w:jc w:val="right"/>
              <w:ind w:right="39"/>
              <w:spacing w:after="0"/>
              <w:rPr>
                <w:sz w:val="20"/>
                <w:szCs w:val="20"/>
                <w:color w:val="auto"/>
              </w:rPr>
            </w:pPr>
            <w:r>
              <w:rPr>
                <w:rFonts w:ascii="Arial" w:cs="Arial" w:eastAsia="Arial" w:hAnsi="Arial"/>
                <w:sz w:val="12"/>
                <w:szCs w:val="12"/>
                <w:color w:val="auto"/>
                <w:w w:val="95"/>
              </w:rPr>
              <w:t>(4)</w:t>
            </w:r>
          </w:p>
        </w:tc>
        <w:tc>
          <w:tcPr>
            <w:tcW w:w="1620" w:type="dxa"/>
            <w:vAlign w:val="bottom"/>
            <w:shd w:val="clear" w:color="auto" w:fill="F2F2F2"/>
          </w:tcPr>
          <w:p>
            <w:pPr>
              <w:jc w:val="center"/>
              <w:spacing w:after="0" w:line="155" w:lineRule="exact"/>
              <w:rPr>
                <w:sz w:val="20"/>
                <w:szCs w:val="20"/>
                <w:color w:val="auto"/>
              </w:rPr>
            </w:pPr>
            <w:r>
              <w:rPr>
                <w:rFonts w:ascii="Arial" w:cs="Arial" w:eastAsia="Arial" w:hAnsi="Arial"/>
                <w:sz w:val="14"/>
                <w:szCs w:val="14"/>
                <w:color w:val="auto"/>
              </w:rPr>
              <w:t>1,152,897</w:t>
            </w:r>
          </w:p>
        </w:tc>
      </w:tr>
      <w:tr>
        <w:trPr>
          <w:trHeight w:val="162"/>
        </w:trPr>
        <w:tc>
          <w:tcPr>
            <w:tcW w:w="3060" w:type="dxa"/>
            <w:vAlign w:val="bottom"/>
            <w:shd w:val="clear" w:color="auto" w:fill="F2F2F2"/>
          </w:tcPr>
          <w:p>
            <w:pPr>
              <w:spacing w:after="0"/>
              <w:rPr>
                <w:sz w:val="14"/>
                <w:szCs w:val="14"/>
                <w:color w:val="auto"/>
              </w:rPr>
            </w:pPr>
          </w:p>
        </w:tc>
        <w:tc>
          <w:tcPr>
            <w:tcW w:w="200" w:type="dxa"/>
            <w:vAlign w:val="bottom"/>
            <w:tcBorders>
              <w:right w:val="single" w:sz="8" w:color="F2F2F2"/>
            </w:tcBorders>
            <w:shd w:val="clear" w:color="auto" w:fill="F2F2F2"/>
          </w:tcPr>
          <w:p>
            <w:pPr>
              <w:spacing w:after="0"/>
              <w:rPr>
                <w:sz w:val="14"/>
                <w:szCs w:val="14"/>
                <w:color w:val="auto"/>
              </w:rPr>
            </w:pPr>
          </w:p>
        </w:tc>
        <w:tc>
          <w:tcPr>
            <w:tcW w:w="114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7"/>
              </w:rPr>
              <w:t>37,411</w:t>
            </w:r>
          </w:p>
        </w:tc>
        <w:tc>
          <w:tcPr>
            <w:tcW w:w="220" w:type="dxa"/>
            <w:vAlign w:val="bottom"/>
            <w:shd w:val="clear" w:color="auto" w:fill="F2F2F2"/>
          </w:tcPr>
          <w:p>
            <w:pPr>
              <w:jc w:val="center"/>
              <w:spacing w:after="0"/>
              <w:rPr>
                <w:sz w:val="20"/>
                <w:szCs w:val="20"/>
                <w:color w:val="auto"/>
              </w:rPr>
            </w:pPr>
            <w:r>
              <w:rPr>
                <w:rFonts w:ascii="Arial" w:cs="Arial" w:eastAsia="Arial" w:hAnsi="Arial"/>
                <w:sz w:val="12"/>
                <w:szCs w:val="12"/>
                <w:color w:val="auto"/>
                <w:w w:val="95"/>
              </w:rPr>
              <w:t>(5)</w:t>
            </w:r>
          </w:p>
        </w:tc>
        <w:tc>
          <w:tcPr>
            <w:tcW w:w="178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1,098,013</w:t>
            </w:r>
          </w:p>
        </w:tc>
        <w:tc>
          <w:tcPr>
            <w:tcW w:w="1640" w:type="dxa"/>
            <w:vAlign w:val="bottom"/>
            <w:shd w:val="clear" w:color="auto" w:fill="F2F2F2"/>
          </w:tcPr>
          <w:p>
            <w:pPr>
              <w:jc w:val="center"/>
              <w:ind w:left="129"/>
              <w:spacing w:after="0"/>
              <w:rPr>
                <w:sz w:val="20"/>
                <w:szCs w:val="20"/>
                <w:color w:val="auto"/>
              </w:rPr>
            </w:pPr>
            <w:r>
              <w:rPr>
                <w:rFonts w:ascii="Arial" w:cs="Arial" w:eastAsia="Arial" w:hAnsi="Arial"/>
                <w:sz w:val="14"/>
                <w:szCs w:val="14"/>
                <w:color w:val="auto"/>
              </w:rPr>
              <w:t>36,458</w:t>
            </w:r>
          </w:p>
        </w:tc>
        <w:tc>
          <w:tcPr>
            <w:tcW w:w="260" w:type="dxa"/>
            <w:vAlign w:val="bottom"/>
            <w:shd w:val="clear" w:color="auto" w:fill="F2F2F2"/>
          </w:tcPr>
          <w:p>
            <w:pPr>
              <w:jc w:val="right"/>
              <w:ind w:right="39"/>
              <w:spacing w:after="0"/>
              <w:rPr>
                <w:sz w:val="20"/>
                <w:szCs w:val="20"/>
                <w:color w:val="auto"/>
              </w:rPr>
            </w:pPr>
            <w:r>
              <w:rPr>
                <w:rFonts w:ascii="Arial" w:cs="Arial" w:eastAsia="Arial" w:hAnsi="Arial"/>
                <w:sz w:val="12"/>
                <w:szCs w:val="12"/>
                <w:color w:val="auto"/>
                <w:w w:val="95"/>
              </w:rPr>
              <w:t>(7)</w:t>
            </w:r>
          </w:p>
        </w:tc>
        <w:tc>
          <w:tcPr>
            <w:tcW w:w="162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1,070,042</w:t>
            </w:r>
          </w:p>
        </w:tc>
      </w:tr>
      <w:tr>
        <w:trPr>
          <w:trHeight w:val="162"/>
        </w:trPr>
        <w:tc>
          <w:tcPr>
            <w:tcW w:w="3060" w:type="dxa"/>
            <w:vAlign w:val="bottom"/>
            <w:shd w:val="clear" w:color="auto" w:fill="F2F2F2"/>
          </w:tcPr>
          <w:p>
            <w:pPr>
              <w:spacing w:after="0"/>
              <w:rPr>
                <w:sz w:val="14"/>
                <w:szCs w:val="14"/>
                <w:color w:val="auto"/>
              </w:rPr>
            </w:pPr>
          </w:p>
        </w:tc>
        <w:tc>
          <w:tcPr>
            <w:tcW w:w="200" w:type="dxa"/>
            <w:vAlign w:val="bottom"/>
            <w:tcBorders>
              <w:right w:val="single" w:sz="8" w:color="F2F2F2"/>
            </w:tcBorders>
            <w:shd w:val="clear" w:color="auto" w:fill="F2F2F2"/>
          </w:tcPr>
          <w:p>
            <w:pPr>
              <w:spacing w:after="0"/>
              <w:rPr>
                <w:sz w:val="14"/>
                <w:szCs w:val="14"/>
                <w:color w:val="auto"/>
              </w:rPr>
            </w:pPr>
          </w:p>
        </w:tc>
        <w:tc>
          <w:tcPr>
            <w:tcW w:w="114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159,184</w:t>
            </w:r>
          </w:p>
        </w:tc>
        <w:tc>
          <w:tcPr>
            <w:tcW w:w="220" w:type="dxa"/>
            <w:vAlign w:val="bottom"/>
            <w:shd w:val="clear" w:color="auto" w:fill="F2F2F2"/>
          </w:tcPr>
          <w:p>
            <w:pPr>
              <w:jc w:val="center"/>
              <w:spacing w:after="0"/>
              <w:rPr>
                <w:sz w:val="20"/>
                <w:szCs w:val="20"/>
                <w:color w:val="auto"/>
              </w:rPr>
            </w:pPr>
            <w:r>
              <w:rPr>
                <w:rFonts w:ascii="Arial" w:cs="Arial" w:eastAsia="Arial" w:hAnsi="Arial"/>
                <w:sz w:val="12"/>
                <w:szCs w:val="12"/>
                <w:color w:val="auto"/>
                <w:w w:val="95"/>
              </w:rPr>
              <w:t>(6)</w:t>
            </w:r>
          </w:p>
        </w:tc>
        <w:tc>
          <w:tcPr>
            <w:tcW w:w="178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4,672,050</w:t>
            </w:r>
          </w:p>
        </w:tc>
        <w:tc>
          <w:tcPr>
            <w:tcW w:w="1640" w:type="dxa"/>
            <w:vAlign w:val="bottom"/>
            <w:shd w:val="clear" w:color="auto" w:fill="F2F2F2"/>
          </w:tcPr>
          <w:p>
            <w:pPr>
              <w:spacing w:after="0"/>
              <w:rPr>
                <w:sz w:val="14"/>
                <w:szCs w:val="14"/>
                <w:color w:val="auto"/>
              </w:rPr>
            </w:pPr>
          </w:p>
        </w:tc>
        <w:tc>
          <w:tcPr>
            <w:tcW w:w="260" w:type="dxa"/>
            <w:vAlign w:val="bottom"/>
            <w:shd w:val="clear" w:color="auto" w:fill="F2F2F2"/>
          </w:tcPr>
          <w:p>
            <w:pPr>
              <w:spacing w:after="0"/>
              <w:rPr>
                <w:sz w:val="14"/>
                <w:szCs w:val="14"/>
                <w:color w:val="auto"/>
              </w:rPr>
            </w:pPr>
          </w:p>
        </w:tc>
        <w:tc>
          <w:tcPr>
            <w:tcW w:w="1620" w:type="dxa"/>
            <w:vAlign w:val="bottom"/>
            <w:shd w:val="clear" w:color="auto" w:fill="F2F2F2"/>
          </w:tcPr>
          <w:p>
            <w:pPr>
              <w:spacing w:after="0"/>
              <w:rPr>
                <w:sz w:val="14"/>
                <w:szCs w:val="14"/>
                <w:color w:val="auto"/>
              </w:rPr>
            </w:pPr>
          </w:p>
        </w:tc>
      </w:tr>
      <w:tr>
        <w:trPr>
          <w:trHeight w:val="162"/>
        </w:trPr>
        <w:tc>
          <w:tcPr>
            <w:tcW w:w="3060" w:type="dxa"/>
            <w:vAlign w:val="bottom"/>
            <w:shd w:val="clear" w:color="auto" w:fill="F2F2F2"/>
          </w:tcPr>
          <w:p>
            <w:pPr>
              <w:spacing w:after="0"/>
              <w:rPr>
                <w:sz w:val="14"/>
                <w:szCs w:val="14"/>
                <w:color w:val="auto"/>
              </w:rPr>
            </w:pPr>
          </w:p>
        </w:tc>
        <w:tc>
          <w:tcPr>
            <w:tcW w:w="200" w:type="dxa"/>
            <w:vAlign w:val="bottom"/>
            <w:tcBorders>
              <w:right w:val="single" w:sz="8" w:color="F2F2F2"/>
            </w:tcBorders>
            <w:shd w:val="clear" w:color="auto" w:fill="F2F2F2"/>
          </w:tcPr>
          <w:p>
            <w:pPr>
              <w:spacing w:after="0"/>
              <w:rPr>
                <w:sz w:val="14"/>
                <w:szCs w:val="14"/>
                <w:color w:val="auto"/>
              </w:rPr>
            </w:pPr>
          </w:p>
        </w:tc>
        <w:tc>
          <w:tcPr>
            <w:tcW w:w="114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24,305</w:t>
            </w:r>
          </w:p>
        </w:tc>
        <w:tc>
          <w:tcPr>
            <w:tcW w:w="220" w:type="dxa"/>
            <w:vAlign w:val="bottom"/>
            <w:shd w:val="clear" w:color="auto" w:fill="F2F2F2"/>
          </w:tcPr>
          <w:p>
            <w:pPr>
              <w:jc w:val="center"/>
              <w:spacing w:after="0"/>
              <w:rPr>
                <w:sz w:val="20"/>
                <w:szCs w:val="20"/>
                <w:color w:val="auto"/>
              </w:rPr>
            </w:pPr>
            <w:r>
              <w:rPr>
                <w:rFonts w:ascii="Arial" w:cs="Arial" w:eastAsia="Arial" w:hAnsi="Arial"/>
                <w:sz w:val="12"/>
                <w:szCs w:val="12"/>
                <w:color w:val="auto"/>
                <w:w w:val="95"/>
              </w:rPr>
              <w:t>(7)</w:t>
            </w:r>
          </w:p>
        </w:tc>
        <w:tc>
          <w:tcPr>
            <w:tcW w:w="178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713,352</w:t>
            </w:r>
          </w:p>
        </w:tc>
        <w:tc>
          <w:tcPr>
            <w:tcW w:w="1640" w:type="dxa"/>
            <w:vAlign w:val="bottom"/>
            <w:shd w:val="clear" w:color="auto" w:fill="F2F2F2"/>
          </w:tcPr>
          <w:p>
            <w:pPr>
              <w:spacing w:after="0"/>
              <w:rPr>
                <w:sz w:val="14"/>
                <w:szCs w:val="14"/>
                <w:color w:val="auto"/>
              </w:rPr>
            </w:pPr>
          </w:p>
        </w:tc>
        <w:tc>
          <w:tcPr>
            <w:tcW w:w="260" w:type="dxa"/>
            <w:vAlign w:val="bottom"/>
            <w:shd w:val="clear" w:color="auto" w:fill="F2F2F2"/>
          </w:tcPr>
          <w:p>
            <w:pPr>
              <w:spacing w:after="0"/>
              <w:rPr>
                <w:sz w:val="14"/>
                <w:szCs w:val="14"/>
                <w:color w:val="auto"/>
              </w:rPr>
            </w:pPr>
          </w:p>
        </w:tc>
        <w:tc>
          <w:tcPr>
            <w:tcW w:w="1620" w:type="dxa"/>
            <w:vAlign w:val="bottom"/>
            <w:shd w:val="clear" w:color="auto" w:fill="F2F2F2"/>
          </w:tcPr>
          <w:p>
            <w:pPr>
              <w:spacing w:after="0"/>
              <w:rPr>
                <w:sz w:val="14"/>
                <w:szCs w:val="14"/>
                <w:color w:val="auto"/>
              </w:rPr>
            </w:pPr>
          </w:p>
        </w:tc>
      </w:tr>
      <w:tr>
        <w:trPr>
          <w:trHeight w:val="162"/>
        </w:trPr>
        <w:tc>
          <w:tcPr>
            <w:tcW w:w="3060" w:type="dxa"/>
            <w:vAlign w:val="bottom"/>
            <w:tcBorders>
              <w:bottom w:val="single" w:sz="8" w:color="4A7EBB"/>
            </w:tcBorders>
            <w:shd w:val="clear" w:color="auto" w:fill="F2F2F2"/>
          </w:tcPr>
          <w:p>
            <w:pPr>
              <w:spacing w:after="0"/>
              <w:rPr>
                <w:sz w:val="14"/>
                <w:szCs w:val="14"/>
                <w:color w:val="auto"/>
              </w:rPr>
            </w:pPr>
          </w:p>
        </w:tc>
        <w:tc>
          <w:tcPr>
            <w:tcW w:w="200" w:type="dxa"/>
            <w:vAlign w:val="bottom"/>
            <w:tcBorders>
              <w:bottom w:val="single" w:sz="8" w:color="4A7EBB"/>
              <w:right w:val="single" w:sz="8" w:color="F2F2F2"/>
            </w:tcBorders>
            <w:shd w:val="clear" w:color="auto" w:fill="F2F2F2"/>
          </w:tcPr>
          <w:p>
            <w:pPr>
              <w:spacing w:after="0"/>
              <w:rPr>
                <w:sz w:val="14"/>
                <w:szCs w:val="14"/>
                <w:color w:val="auto"/>
              </w:rPr>
            </w:pPr>
          </w:p>
        </w:tc>
        <w:tc>
          <w:tcPr>
            <w:tcW w:w="1140" w:type="dxa"/>
            <w:vAlign w:val="bottom"/>
            <w:tcBorders>
              <w:bottom w:val="single" w:sz="8" w:color="4A7EBB"/>
            </w:tcBorders>
            <w:shd w:val="clear" w:color="auto" w:fill="F2F2F2"/>
          </w:tcPr>
          <w:p>
            <w:pPr>
              <w:jc w:val="center"/>
              <w:spacing w:after="0"/>
              <w:rPr>
                <w:sz w:val="20"/>
                <w:szCs w:val="20"/>
                <w:color w:val="auto"/>
              </w:rPr>
            </w:pPr>
            <w:r>
              <w:rPr>
                <w:rFonts w:ascii="Arial" w:cs="Arial" w:eastAsia="Arial" w:hAnsi="Arial"/>
                <w:sz w:val="14"/>
                <w:szCs w:val="14"/>
                <w:color w:val="auto"/>
              </w:rPr>
              <w:t>108,520</w:t>
            </w:r>
          </w:p>
        </w:tc>
        <w:tc>
          <w:tcPr>
            <w:tcW w:w="220" w:type="dxa"/>
            <w:vAlign w:val="bottom"/>
            <w:tcBorders>
              <w:bottom w:val="single" w:sz="8" w:color="4A7EBB"/>
            </w:tcBorders>
            <w:shd w:val="clear" w:color="auto" w:fill="F2F2F2"/>
          </w:tcPr>
          <w:p>
            <w:pPr>
              <w:jc w:val="center"/>
              <w:spacing w:after="0"/>
              <w:rPr>
                <w:sz w:val="20"/>
                <w:szCs w:val="20"/>
                <w:color w:val="auto"/>
              </w:rPr>
            </w:pPr>
            <w:r>
              <w:rPr>
                <w:rFonts w:ascii="Arial" w:cs="Arial" w:eastAsia="Arial" w:hAnsi="Arial"/>
                <w:sz w:val="12"/>
                <w:szCs w:val="12"/>
                <w:color w:val="auto"/>
                <w:w w:val="95"/>
              </w:rPr>
              <w:t>(9)</w:t>
            </w:r>
          </w:p>
        </w:tc>
        <w:tc>
          <w:tcPr>
            <w:tcW w:w="1780" w:type="dxa"/>
            <w:vAlign w:val="bottom"/>
            <w:tcBorders>
              <w:bottom w:val="single" w:sz="8" w:color="4A7EBB"/>
            </w:tcBorders>
            <w:shd w:val="clear" w:color="auto" w:fill="F2F2F2"/>
          </w:tcPr>
          <w:p>
            <w:pPr>
              <w:jc w:val="center"/>
              <w:spacing w:after="0"/>
              <w:rPr>
                <w:sz w:val="20"/>
                <w:szCs w:val="20"/>
                <w:color w:val="auto"/>
              </w:rPr>
            </w:pPr>
            <w:r>
              <w:rPr>
                <w:rFonts w:ascii="Arial" w:cs="Arial" w:eastAsia="Arial" w:hAnsi="Arial"/>
                <w:sz w:val="14"/>
                <w:szCs w:val="14"/>
                <w:color w:val="auto"/>
              </w:rPr>
              <w:t>3,185,062</w:t>
            </w:r>
          </w:p>
        </w:tc>
        <w:tc>
          <w:tcPr>
            <w:tcW w:w="1640" w:type="dxa"/>
            <w:vAlign w:val="bottom"/>
            <w:tcBorders>
              <w:bottom w:val="single" w:sz="8" w:color="4A7EBB"/>
            </w:tcBorders>
            <w:shd w:val="clear" w:color="auto" w:fill="F2F2F2"/>
          </w:tcPr>
          <w:p>
            <w:pPr>
              <w:spacing w:after="0"/>
              <w:rPr>
                <w:sz w:val="14"/>
                <w:szCs w:val="14"/>
                <w:color w:val="auto"/>
              </w:rPr>
            </w:pPr>
          </w:p>
        </w:tc>
        <w:tc>
          <w:tcPr>
            <w:tcW w:w="260" w:type="dxa"/>
            <w:vAlign w:val="bottom"/>
            <w:tcBorders>
              <w:bottom w:val="single" w:sz="8" w:color="4A7EBB"/>
            </w:tcBorders>
            <w:shd w:val="clear" w:color="auto" w:fill="F2F2F2"/>
          </w:tcPr>
          <w:p>
            <w:pPr>
              <w:spacing w:after="0"/>
              <w:rPr>
                <w:sz w:val="14"/>
                <w:szCs w:val="14"/>
                <w:color w:val="auto"/>
              </w:rPr>
            </w:pPr>
          </w:p>
        </w:tc>
        <w:tc>
          <w:tcPr>
            <w:tcW w:w="1620" w:type="dxa"/>
            <w:vAlign w:val="bottom"/>
            <w:tcBorders>
              <w:bottom w:val="single" w:sz="8" w:color="4A7EBB"/>
            </w:tcBorders>
            <w:shd w:val="clear" w:color="auto" w:fill="F2F2F2"/>
          </w:tcPr>
          <w:p>
            <w:pPr>
              <w:spacing w:after="0"/>
              <w:rPr>
                <w:sz w:val="14"/>
                <w:szCs w:val="14"/>
                <w:color w:val="auto"/>
              </w:rPr>
            </w:pPr>
          </w:p>
        </w:tc>
      </w:tr>
      <w:tr>
        <w:trPr>
          <w:trHeight w:val="146"/>
        </w:trPr>
        <w:tc>
          <w:tcPr>
            <w:tcW w:w="3260" w:type="dxa"/>
            <w:vAlign w:val="bottom"/>
            <w:gridSpan w:val="2"/>
          </w:tcPr>
          <w:p>
            <w:pPr>
              <w:ind w:left="120"/>
              <w:spacing w:after="0" w:line="147" w:lineRule="exact"/>
              <w:rPr>
                <w:sz w:val="20"/>
                <w:szCs w:val="20"/>
                <w:color w:val="auto"/>
              </w:rPr>
            </w:pPr>
            <w:r>
              <w:rPr>
                <w:rFonts w:ascii="Arial" w:cs="Arial" w:eastAsia="Arial" w:hAnsi="Arial"/>
                <w:sz w:val="14"/>
                <w:szCs w:val="14"/>
                <w:b w:val="1"/>
                <w:bCs w:val="1"/>
                <w:color w:val="auto"/>
              </w:rPr>
              <w:t>Dana Perlman</w:t>
            </w:r>
          </w:p>
        </w:tc>
        <w:tc>
          <w:tcPr>
            <w:tcW w:w="1140" w:type="dxa"/>
            <w:vAlign w:val="bottom"/>
          </w:tcPr>
          <w:p>
            <w:pPr>
              <w:jc w:val="center"/>
              <w:spacing w:after="0" w:line="147" w:lineRule="exact"/>
              <w:rPr>
                <w:sz w:val="20"/>
                <w:szCs w:val="20"/>
                <w:color w:val="auto"/>
              </w:rPr>
            </w:pPr>
            <w:r>
              <w:rPr>
                <w:rFonts w:ascii="Arial" w:cs="Arial" w:eastAsia="Arial" w:hAnsi="Arial"/>
                <w:sz w:val="14"/>
                <w:szCs w:val="14"/>
                <w:color w:val="auto"/>
                <w:w w:val="97"/>
              </w:rPr>
              <w:t>11,223</w:t>
            </w:r>
          </w:p>
        </w:tc>
        <w:tc>
          <w:tcPr>
            <w:tcW w:w="220" w:type="dxa"/>
            <w:vAlign w:val="bottom"/>
          </w:tcPr>
          <w:p>
            <w:pPr>
              <w:jc w:val="center"/>
              <w:spacing w:after="0"/>
              <w:rPr>
                <w:sz w:val="20"/>
                <w:szCs w:val="20"/>
                <w:color w:val="auto"/>
              </w:rPr>
            </w:pPr>
            <w:r>
              <w:rPr>
                <w:rFonts w:ascii="Arial" w:cs="Arial" w:eastAsia="Arial" w:hAnsi="Arial"/>
                <w:sz w:val="12"/>
                <w:szCs w:val="12"/>
                <w:color w:val="auto"/>
                <w:w w:val="95"/>
              </w:rPr>
              <w:t>(4)</w:t>
            </w:r>
          </w:p>
        </w:tc>
        <w:tc>
          <w:tcPr>
            <w:tcW w:w="1780" w:type="dxa"/>
            <w:vAlign w:val="bottom"/>
          </w:tcPr>
          <w:p>
            <w:pPr>
              <w:jc w:val="center"/>
              <w:spacing w:after="0" w:line="147" w:lineRule="exact"/>
              <w:rPr>
                <w:sz w:val="20"/>
                <w:szCs w:val="20"/>
                <w:color w:val="auto"/>
              </w:rPr>
            </w:pPr>
            <w:r>
              <w:rPr>
                <w:rFonts w:ascii="Arial" w:cs="Arial" w:eastAsia="Arial" w:hAnsi="Arial"/>
                <w:sz w:val="14"/>
                <w:szCs w:val="14"/>
                <w:color w:val="auto"/>
              </w:rPr>
              <w:t>329,395</w:t>
            </w:r>
          </w:p>
        </w:tc>
        <w:tc>
          <w:tcPr>
            <w:tcW w:w="1640" w:type="dxa"/>
            <w:vAlign w:val="bottom"/>
          </w:tcPr>
          <w:p>
            <w:pPr>
              <w:jc w:val="center"/>
              <w:ind w:left="149"/>
              <w:spacing w:after="0" w:line="147" w:lineRule="exact"/>
              <w:rPr>
                <w:sz w:val="20"/>
                <w:szCs w:val="20"/>
                <w:color w:val="auto"/>
              </w:rPr>
            </w:pPr>
            <w:r>
              <w:rPr>
                <w:rFonts w:ascii="Arial" w:cs="Arial" w:eastAsia="Arial" w:hAnsi="Arial"/>
                <w:sz w:val="14"/>
                <w:szCs w:val="14"/>
                <w:color w:val="auto"/>
                <w:w w:val="97"/>
              </w:rPr>
              <w:t>11,223</w:t>
            </w:r>
          </w:p>
        </w:tc>
        <w:tc>
          <w:tcPr>
            <w:tcW w:w="260" w:type="dxa"/>
            <w:vAlign w:val="bottom"/>
          </w:tcPr>
          <w:p>
            <w:pPr>
              <w:jc w:val="right"/>
              <w:ind w:right="39"/>
              <w:spacing w:after="0"/>
              <w:rPr>
                <w:sz w:val="20"/>
                <w:szCs w:val="20"/>
                <w:color w:val="auto"/>
              </w:rPr>
            </w:pPr>
            <w:r>
              <w:rPr>
                <w:rFonts w:ascii="Arial" w:cs="Arial" w:eastAsia="Arial" w:hAnsi="Arial"/>
                <w:sz w:val="12"/>
                <w:szCs w:val="12"/>
                <w:color w:val="auto"/>
                <w:w w:val="95"/>
              </w:rPr>
              <w:t>(4)</w:t>
            </w:r>
          </w:p>
        </w:tc>
        <w:tc>
          <w:tcPr>
            <w:tcW w:w="1620" w:type="dxa"/>
            <w:vAlign w:val="bottom"/>
          </w:tcPr>
          <w:p>
            <w:pPr>
              <w:jc w:val="center"/>
              <w:spacing w:after="0" w:line="147" w:lineRule="exact"/>
              <w:rPr>
                <w:sz w:val="20"/>
                <w:szCs w:val="20"/>
                <w:color w:val="auto"/>
              </w:rPr>
            </w:pPr>
            <w:r>
              <w:rPr>
                <w:rFonts w:ascii="Arial" w:cs="Arial" w:eastAsia="Arial" w:hAnsi="Arial"/>
                <w:sz w:val="14"/>
                <w:szCs w:val="14"/>
                <w:color w:val="auto"/>
              </w:rPr>
              <w:t>329,395</w:t>
            </w:r>
          </w:p>
        </w:tc>
      </w:tr>
      <w:tr>
        <w:trPr>
          <w:trHeight w:val="162"/>
        </w:trPr>
        <w:tc>
          <w:tcPr>
            <w:tcW w:w="3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rPr>
              <w:t>63,673</w:t>
            </w:r>
          </w:p>
        </w:tc>
        <w:tc>
          <w:tcPr>
            <w:tcW w:w="220" w:type="dxa"/>
            <w:vAlign w:val="bottom"/>
          </w:tcPr>
          <w:p>
            <w:pPr>
              <w:jc w:val="center"/>
              <w:spacing w:after="0"/>
              <w:rPr>
                <w:sz w:val="20"/>
                <w:szCs w:val="20"/>
                <w:color w:val="auto"/>
              </w:rPr>
            </w:pPr>
            <w:r>
              <w:rPr>
                <w:rFonts w:ascii="Arial" w:cs="Arial" w:eastAsia="Arial" w:hAnsi="Arial"/>
                <w:sz w:val="12"/>
                <w:szCs w:val="12"/>
                <w:color w:val="auto"/>
                <w:w w:val="95"/>
              </w:rPr>
              <w:t>(6)</w:t>
            </w:r>
          </w:p>
        </w:tc>
        <w:tc>
          <w:tcPr>
            <w:tcW w:w="1780" w:type="dxa"/>
            <w:vAlign w:val="bottom"/>
          </w:tcPr>
          <w:p>
            <w:pPr>
              <w:jc w:val="center"/>
              <w:spacing w:after="0"/>
              <w:rPr>
                <w:sz w:val="20"/>
                <w:szCs w:val="20"/>
                <w:color w:val="auto"/>
              </w:rPr>
            </w:pPr>
            <w:r>
              <w:rPr>
                <w:rFonts w:ascii="Arial" w:cs="Arial" w:eastAsia="Arial" w:hAnsi="Arial"/>
                <w:sz w:val="14"/>
                <w:szCs w:val="14"/>
                <w:color w:val="auto"/>
              </w:rPr>
              <w:t>1,868,803</w:t>
            </w:r>
          </w:p>
        </w:tc>
        <w:tc>
          <w:tcPr>
            <w:tcW w:w="1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1"/>
        </w:trPr>
        <w:tc>
          <w:tcPr>
            <w:tcW w:w="30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9,490</w:t>
            </w:r>
          </w:p>
        </w:tc>
        <w:tc>
          <w:tcPr>
            <w:tcW w:w="2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3"/>
              </w:rPr>
              <w:t>(10)</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278,532</w:t>
            </w:r>
          </w:p>
        </w:tc>
        <w:tc>
          <w:tcPr>
            <w:tcW w:w="1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1943100</wp:posOffset>
            </wp:positionH>
            <wp:positionV relativeFrom="paragraph">
              <wp:posOffset>-2425065</wp:posOffset>
            </wp:positionV>
            <wp:extent cx="102870" cy="52260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02870" cy="522605"/>
                    </a:xfrm>
                    <a:prstGeom prst="rect">
                      <a:avLst/>
                    </a:prstGeom>
                    <a:noFill/>
                  </pic:spPr>
                </pic:pic>
              </a:graphicData>
            </a:graphic>
          </wp:anchor>
        </w:drawing>
      </w:r>
    </w:p>
    <w:p>
      <w:pPr>
        <w:spacing w:after="0" w:line="168" w:lineRule="exact"/>
        <w:rPr>
          <w:sz w:val="20"/>
          <w:szCs w:val="20"/>
          <w:color w:val="auto"/>
        </w:rPr>
      </w:pPr>
    </w:p>
    <w:p>
      <w:pPr>
        <w:jc w:val="both"/>
        <w:ind w:left="340" w:hanging="332"/>
        <w:spacing w:after="0" w:line="266" w:lineRule="auto"/>
        <w:tabs>
          <w:tab w:leader="none" w:pos="340" w:val="left"/>
        </w:tabs>
        <w:numPr>
          <w:ilvl w:val="0"/>
          <w:numId w:val="73"/>
        </w:numPr>
        <w:rPr>
          <w:rFonts w:ascii="Arial" w:cs="Arial" w:eastAsia="Arial" w:hAnsi="Arial"/>
          <w:sz w:val="16"/>
          <w:szCs w:val="16"/>
          <w:color w:val="auto"/>
        </w:rPr>
      </w:pPr>
      <w:r>
        <w:rPr>
          <w:rFonts w:ascii="Arial" w:cs="Arial" w:eastAsia="Arial" w:hAnsi="Arial"/>
          <w:sz w:val="16"/>
          <w:szCs w:val="16"/>
          <w:color w:val="auto"/>
        </w:rPr>
        <w:t>Reflects (i) RSUs, (ii) PSUs issued in fiscal 2024 where performance conditions have been satisfied at maximum performance of 150% of target and (iii) Inducement PSUs for which market based conditions have been satisfied at target performance which remained subject to a cliff time vesting condition as of January 31, 2026.</w:t>
      </w:r>
    </w:p>
    <w:p>
      <w:pPr>
        <w:spacing w:after="0" w:line="144" w:lineRule="exact"/>
        <w:rPr>
          <w:rFonts w:ascii="Arial" w:cs="Arial" w:eastAsia="Arial" w:hAnsi="Arial"/>
          <w:sz w:val="16"/>
          <w:szCs w:val="16"/>
          <w:color w:val="auto"/>
        </w:rPr>
      </w:pPr>
    </w:p>
    <w:p>
      <w:pPr>
        <w:ind w:left="340" w:hanging="332"/>
        <w:spacing w:after="0"/>
        <w:tabs>
          <w:tab w:leader="none" w:pos="340" w:val="left"/>
        </w:tabs>
        <w:numPr>
          <w:ilvl w:val="0"/>
          <w:numId w:val="73"/>
        </w:numPr>
        <w:rPr>
          <w:rFonts w:ascii="Arial" w:cs="Arial" w:eastAsia="Arial" w:hAnsi="Arial"/>
          <w:sz w:val="16"/>
          <w:szCs w:val="16"/>
          <w:color w:val="auto"/>
        </w:rPr>
      </w:pPr>
      <w:r>
        <w:rPr>
          <w:rFonts w:ascii="Arial" w:cs="Arial" w:eastAsia="Arial" w:hAnsi="Arial"/>
          <w:sz w:val="16"/>
          <w:szCs w:val="16"/>
          <w:color w:val="auto"/>
        </w:rPr>
        <w:t>Market value of unvested PSUs and RSUs assume a price of $29.35 per share of our Common Stock as of January 31, 2026.</w:t>
      </w:r>
    </w:p>
    <w:p>
      <w:pPr>
        <w:spacing w:after="0" w:line="194" w:lineRule="exact"/>
        <w:rPr>
          <w:rFonts w:ascii="Arial" w:cs="Arial" w:eastAsia="Arial" w:hAnsi="Arial"/>
          <w:sz w:val="16"/>
          <w:szCs w:val="16"/>
          <w:color w:val="auto"/>
        </w:rPr>
      </w:pPr>
    </w:p>
    <w:p>
      <w:pPr>
        <w:ind w:left="340" w:right="20" w:hanging="332"/>
        <w:spacing w:after="0" w:line="286" w:lineRule="auto"/>
        <w:tabs>
          <w:tab w:leader="none" w:pos="340" w:val="left"/>
        </w:tabs>
        <w:numPr>
          <w:ilvl w:val="0"/>
          <w:numId w:val="73"/>
        </w:numPr>
        <w:rPr>
          <w:rFonts w:ascii="Arial" w:cs="Arial" w:eastAsia="Arial" w:hAnsi="Arial"/>
          <w:sz w:val="16"/>
          <w:szCs w:val="16"/>
          <w:color w:val="auto"/>
        </w:rPr>
      </w:pPr>
      <w:r>
        <w:rPr>
          <w:rFonts w:ascii="Arial" w:cs="Arial" w:eastAsia="Arial" w:hAnsi="Arial"/>
          <w:sz w:val="16"/>
          <w:szCs w:val="16"/>
          <w:color w:val="auto"/>
        </w:rPr>
        <w:t>Reflects PSUs issued for which neither performance goals nor time vesting conditions had been satisfied as of January 31, 2026 and are included at target performance.</w:t>
      </w:r>
    </w:p>
    <w:p>
      <w:pPr>
        <w:spacing w:after="0" w:line="128" w:lineRule="exact"/>
        <w:rPr>
          <w:rFonts w:ascii="Arial" w:cs="Arial" w:eastAsia="Arial" w:hAnsi="Arial"/>
          <w:sz w:val="16"/>
          <w:szCs w:val="16"/>
          <w:color w:val="auto"/>
        </w:rPr>
      </w:pPr>
    </w:p>
    <w:p>
      <w:pPr>
        <w:jc w:val="both"/>
        <w:ind w:left="340" w:hanging="332"/>
        <w:spacing w:after="0" w:line="259" w:lineRule="auto"/>
        <w:tabs>
          <w:tab w:leader="none" w:pos="340" w:val="left"/>
        </w:tabs>
        <w:numPr>
          <w:ilvl w:val="0"/>
          <w:numId w:val="73"/>
        </w:numPr>
        <w:rPr>
          <w:rFonts w:ascii="Arial" w:cs="Arial" w:eastAsia="Arial" w:hAnsi="Arial"/>
          <w:sz w:val="16"/>
          <w:szCs w:val="16"/>
          <w:color w:val="auto"/>
        </w:rPr>
      </w:pPr>
      <w:r>
        <w:rPr>
          <w:rFonts w:ascii="Arial" w:cs="Arial" w:eastAsia="Arial" w:hAnsi="Arial"/>
          <w:sz w:val="16"/>
          <w:szCs w:val="16"/>
          <w:color w:val="auto"/>
        </w:rPr>
        <w:t>Reflects RSUs and PSUs issued in fiscal 2026 under the 2023 Long-Term Incentive Plan (the “2023 Plan”). If the performance conditions of such PSUs are satisfied, each Named Executive Officer’s right to receive these shares of Common Stock will become fully vested on April 1, 2028. Each Named Executive Officer’s right to receive these shares of Common Stock for RSUs will become vested on April 1, 2028, upon satisfaction of the time vesting requirement of these RSUs.</w:t>
      </w:r>
    </w:p>
    <w:p>
      <w:pPr>
        <w:spacing w:after="0" w:line="150" w:lineRule="exact"/>
        <w:rPr>
          <w:rFonts w:ascii="Arial" w:cs="Arial" w:eastAsia="Arial" w:hAnsi="Arial"/>
          <w:sz w:val="16"/>
          <w:szCs w:val="16"/>
          <w:color w:val="auto"/>
        </w:rPr>
      </w:pPr>
    </w:p>
    <w:p>
      <w:pPr>
        <w:ind w:left="340" w:right="20" w:hanging="332"/>
        <w:spacing w:after="0" w:line="286" w:lineRule="auto"/>
        <w:tabs>
          <w:tab w:leader="none" w:pos="340" w:val="left"/>
        </w:tabs>
        <w:numPr>
          <w:ilvl w:val="0"/>
          <w:numId w:val="73"/>
        </w:numPr>
        <w:rPr>
          <w:rFonts w:ascii="Arial" w:cs="Arial" w:eastAsia="Arial" w:hAnsi="Arial"/>
          <w:sz w:val="16"/>
          <w:szCs w:val="16"/>
          <w:color w:val="auto"/>
        </w:rPr>
      </w:pPr>
      <w:r>
        <w:rPr>
          <w:rFonts w:ascii="Arial" w:cs="Arial" w:eastAsia="Arial" w:hAnsi="Arial"/>
          <w:sz w:val="16"/>
          <w:szCs w:val="16"/>
          <w:color w:val="auto"/>
        </w:rPr>
        <w:t>Reflects RSUs issued to Jeffrey Goldfarb in fiscal 2026 granted under the 2023 Plan. Jeffrey Goldfarb’s right to receive these shares of Common Stock for RSUs will become vested on April 1, 2030, upon satisfaction of the time vesting requirement of these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262255</wp:posOffset>
            </wp:positionV>
            <wp:extent cx="629221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ind w:left="7560"/>
        <w:spacing w:after="0"/>
        <w:rPr>
          <w:sz w:val="20"/>
          <w:szCs w:val="20"/>
          <w:color w:val="auto"/>
        </w:rPr>
      </w:pPr>
      <w:r>
        <w:rPr>
          <w:rFonts w:ascii="Arial" w:cs="Arial" w:eastAsia="Arial" w:hAnsi="Arial"/>
          <w:sz w:val="16"/>
          <w:szCs w:val="16"/>
          <w:color w:val="auto"/>
        </w:rPr>
        <w:t xml:space="preserve">2026 PROXY STATEMENT </w:t>
      </w:r>
      <w:r>
        <w:rPr>
          <w:rFonts w:ascii="Arial" w:cs="Arial" w:eastAsia="Arial" w:hAnsi="Arial"/>
          <w:sz w:val="19"/>
          <w:szCs w:val="19"/>
          <w:color w:val="808080"/>
        </w:rPr>
        <w:t>/</w:t>
      </w:r>
      <w:r>
        <w:rPr>
          <w:rFonts w:ascii="Arial" w:cs="Arial" w:eastAsia="Arial" w:hAnsi="Arial"/>
          <w:sz w:val="16"/>
          <w:szCs w:val="16"/>
          <w:color w:val="auto"/>
        </w:rPr>
        <w:t xml:space="preserve"> </w:t>
      </w:r>
      <w:r>
        <w:rPr>
          <w:rFonts w:ascii="Arial" w:cs="Arial" w:eastAsia="Arial" w:hAnsi="Arial"/>
          <w:sz w:val="19"/>
          <w:szCs w:val="19"/>
          <w:b w:val="1"/>
          <w:bCs w:val="1"/>
          <w:color w:val="4A7EBB"/>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356235</wp:posOffset>
            </wp:positionV>
            <wp:extent cx="6292215" cy="254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17780</wp:posOffset>
            </wp:positionV>
            <wp:extent cx="624903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249035" cy="8255"/>
                    </a:xfrm>
                    <a:prstGeom prst="rect">
                      <a:avLst/>
                    </a:prstGeom>
                    <a:noFill/>
                  </pic:spPr>
                </pic:pic>
              </a:graphicData>
            </a:graphic>
          </wp:anchor>
        </w:drawing>
      </w:r>
    </w:p>
    <w:p>
      <w:pPr>
        <w:spacing w:after="0" w:line="223" w:lineRule="exact"/>
        <w:rPr>
          <w:sz w:val="20"/>
          <w:szCs w:val="20"/>
          <w:color w:val="auto"/>
        </w:rPr>
      </w:pPr>
    </w:p>
    <w:p>
      <w:pPr>
        <w:jc w:val="both"/>
        <w:ind w:left="340" w:right="20" w:hanging="332"/>
        <w:spacing w:after="0" w:line="266" w:lineRule="auto"/>
        <w:tabs>
          <w:tab w:leader="none" w:pos="3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Reflects RSUs issued to Jeffrey Goldfarb and Dana Perlman in fiscal 2026 granted under the 2023 Plan. Jeffrey Goldfarb and Dana Perlman’s right to receive these shares of Common Stock for RSUs will become vested on December 12, 2030, upon satisfaction of the time vesting requirement of these RSUs.</w:t>
      </w:r>
    </w:p>
    <w:p>
      <w:pPr>
        <w:spacing w:after="0" w:line="144" w:lineRule="exact"/>
        <w:rPr>
          <w:rFonts w:ascii="Arial" w:cs="Arial" w:eastAsia="Arial" w:hAnsi="Arial"/>
          <w:sz w:val="16"/>
          <w:szCs w:val="16"/>
          <w:color w:val="auto"/>
        </w:rPr>
      </w:pPr>
    </w:p>
    <w:p>
      <w:pPr>
        <w:jc w:val="both"/>
        <w:ind w:left="340" w:hanging="332"/>
        <w:spacing w:after="0" w:line="259" w:lineRule="auto"/>
        <w:tabs>
          <w:tab w:leader="none" w:pos="3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Reflects RSUs and PSUs issued in fiscal 2025 under the 2023 Plan. If the performance conditions of such PSUs are satisfied, each Named Executive Officer’s right to receive these shares of Common Stock will become fully vested on March 28, 2027. Each Named Executive Officer’s right to receive these shares of Common Stock for RSUs will become vested on March 27, 2027, upon satisfaction of the time vesting requirement of these RSUs.</w:t>
      </w:r>
    </w:p>
    <w:p>
      <w:pPr>
        <w:spacing w:after="0" w:line="150" w:lineRule="exact"/>
        <w:rPr>
          <w:rFonts w:ascii="Arial" w:cs="Arial" w:eastAsia="Arial" w:hAnsi="Arial"/>
          <w:sz w:val="16"/>
          <w:szCs w:val="16"/>
          <w:color w:val="auto"/>
        </w:rPr>
      </w:pPr>
    </w:p>
    <w:p>
      <w:pPr>
        <w:jc w:val="both"/>
        <w:ind w:left="340" w:hanging="332"/>
        <w:spacing w:after="0" w:line="256" w:lineRule="auto"/>
        <w:tabs>
          <w:tab w:leader="none" w:pos="3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Reflects Inducement PSUs issued to Morris Goldfarb in fiscal 2024 of which 380,000 shares were granted under the 2015 Long-Term Incentive Plan (the “2015 Plan”), as amended, and 320,000 shares were granted under the 2023 Plan, respectively. As the market based conditions of such Inducement PSUs have been satisfied at target performance, Morris Goldfarb’s right to receive these shares of Common Stock will become vested on August 9, 2026 upon satisfaction of the time vesting requirement related to these Inducement PSUs.</w:t>
      </w:r>
    </w:p>
    <w:p>
      <w:pPr>
        <w:spacing w:after="0" w:line="152" w:lineRule="exact"/>
        <w:rPr>
          <w:rFonts w:ascii="Arial" w:cs="Arial" w:eastAsia="Arial" w:hAnsi="Arial"/>
          <w:sz w:val="16"/>
          <w:szCs w:val="16"/>
          <w:color w:val="auto"/>
        </w:rPr>
      </w:pPr>
    </w:p>
    <w:p>
      <w:pPr>
        <w:jc w:val="both"/>
        <w:ind w:left="340" w:hanging="332"/>
        <w:spacing w:after="0" w:line="266" w:lineRule="auto"/>
        <w:tabs>
          <w:tab w:leader="none" w:pos="3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Reflects RSUs and PSUs issued in fiscal 2024 under the 2015 Plan. The performance conditions of such PSUs have been satisfied at maximum performance of 150% of target. As such, each Named Executive Officer’s right to receive these shares of Common Stock for both the RSUs and PSUs will become fully vested on June 15, 2026, upon satisfaction of the time vesting requirement.</w:t>
      </w:r>
    </w:p>
    <w:p>
      <w:pPr>
        <w:spacing w:after="0" w:line="144" w:lineRule="exact"/>
        <w:rPr>
          <w:rFonts w:ascii="Arial" w:cs="Arial" w:eastAsia="Arial" w:hAnsi="Arial"/>
          <w:sz w:val="16"/>
          <w:szCs w:val="16"/>
          <w:color w:val="auto"/>
        </w:rPr>
      </w:pPr>
    </w:p>
    <w:p>
      <w:pPr>
        <w:ind w:left="340" w:right="20" w:hanging="332"/>
        <w:spacing w:after="0" w:line="286" w:lineRule="auto"/>
        <w:tabs>
          <w:tab w:leader="none" w:pos="3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Reflects RSUs issued to Dana Perlman in fiscal 2024 under the 2023 Plan. Her right to receive these shares of Common Stock for RSUs will become vested on January 9, 2027, upon satisfaction of the time vesting requirement of these RSUs.</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b w:val="1"/>
          <w:bCs w:val="1"/>
          <w:color w:val="4A7EBB"/>
        </w:rPr>
        <w:t>FISCAL 2026 OPTION EXERCISES AND STOCK VESTED</w:t>
      </w:r>
    </w:p>
    <w:p>
      <w:pPr>
        <w:spacing w:after="0" w:line="175"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The following table sets forth information as to all shares vested for the Named Executive Officers during the fiscal year ended January 31, 2026. No options were outstanding or exercised during the fiscal year ended January 31, 2026.</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460" w:type="dxa"/>
            <w:vAlign w:val="bottom"/>
            <w:tcBorders>
              <w:top w:val="single" w:sz="8" w:color="4A7EBB"/>
              <w:bottom w:val="single" w:sz="8" w:color="4A7EBB"/>
            </w:tcBorders>
            <w:vMerge w:val="restart"/>
            <w:shd w:val="clear" w:color="auto" w:fill="DBE5F1"/>
          </w:tcPr>
          <w:p>
            <w:pPr>
              <w:ind w:left="120"/>
              <w:spacing w:after="0"/>
              <w:rPr>
                <w:sz w:val="20"/>
                <w:szCs w:val="20"/>
                <w:color w:val="auto"/>
              </w:rPr>
            </w:pPr>
            <w:r>
              <w:rPr>
                <w:rFonts w:ascii="Arial" w:cs="Arial" w:eastAsia="Arial" w:hAnsi="Arial"/>
                <w:sz w:val="14"/>
                <w:szCs w:val="14"/>
                <w:b w:val="1"/>
                <w:bCs w:val="1"/>
                <w:color w:val="auto"/>
              </w:rPr>
              <w:t>Name</w:t>
            </w:r>
          </w:p>
        </w:tc>
        <w:tc>
          <w:tcPr>
            <w:tcW w:w="160" w:type="dxa"/>
            <w:vAlign w:val="bottom"/>
            <w:tcBorders>
              <w:top w:val="single" w:sz="8" w:color="4A7EBB"/>
              <w:bottom w:val="single" w:sz="8" w:color="4A7EBB"/>
            </w:tcBorders>
            <w:vMerge w:val="restart"/>
            <w:shd w:val="clear" w:color="auto" w:fill="DBE5F1"/>
          </w:tcPr>
          <w:p>
            <w:pPr>
              <w:ind w:left="80"/>
              <w:spacing w:after="0"/>
              <w:rPr>
                <w:sz w:val="20"/>
                <w:szCs w:val="20"/>
                <w:color w:val="auto"/>
              </w:rPr>
            </w:pPr>
            <w:r>
              <w:rPr>
                <w:rFonts w:ascii="Arial" w:cs="Arial" w:eastAsia="Arial" w:hAnsi="Arial"/>
                <w:sz w:val="14"/>
                <w:szCs w:val="14"/>
                <w:b w:val="1"/>
                <w:bCs w:val="1"/>
                <w:color w:val="auto"/>
                <w:shd w:val="clear" w:color="auto" w:fill="DBE5F1"/>
              </w:rPr>
              <w:t>​</w:t>
            </w:r>
          </w:p>
        </w:tc>
        <w:tc>
          <w:tcPr>
            <w:tcW w:w="3860" w:type="dxa"/>
            <w:vAlign w:val="bottom"/>
            <w:tcBorders>
              <w:top w:val="single" w:sz="8" w:color="4A7EBB"/>
              <w:bottom w:val="single" w:sz="8" w:color="4A7EBB"/>
            </w:tcBorders>
            <w:gridSpan w:val="2"/>
            <w:shd w:val="clear" w:color="auto" w:fill="DBE5F1"/>
          </w:tcPr>
          <w:p>
            <w:pPr>
              <w:jc w:val="right"/>
              <w:ind w:right="680"/>
              <w:spacing w:after="0"/>
              <w:rPr>
                <w:sz w:val="20"/>
                <w:szCs w:val="20"/>
                <w:color w:val="auto"/>
              </w:rPr>
            </w:pPr>
            <w:r>
              <w:rPr>
                <w:rFonts w:ascii="Arial" w:cs="Arial" w:eastAsia="Arial" w:hAnsi="Arial"/>
                <w:sz w:val="14"/>
                <w:szCs w:val="14"/>
                <w:b w:val="1"/>
                <w:bCs w:val="1"/>
                <w:color w:val="auto"/>
              </w:rPr>
              <w:t>Stock Awards</w:t>
            </w:r>
          </w:p>
        </w:tc>
        <w:tc>
          <w:tcPr>
            <w:tcW w:w="1440" w:type="dxa"/>
            <w:vAlign w:val="bottom"/>
            <w:tcBorders>
              <w:top w:val="single" w:sz="8" w:color="4A7EBB"/>
              <w:bottom w:val="single" w:sz="8" w:color="4A7EBB"/>
            </w:tcBorders>
            <w:shd w:val="clear" w:color="auto" w:fill="DBE5F1"/>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460" w:type="dxa"/>
            <w:vAlign w:val="bottom"/>
            <w:tcBorders>
              <w:bottom w:val="single" w:sz="8" w:color="4A7EBB"/>
            </w:tcBorders>
            <w:vMerge w:val="continue"/>
            <w:shd w:val="clear" w:color="auto" w:fill="DBE5F1"/>
          </w:tcPr>
          <w:p>
            <w:pPr>
              <w:spacing w:after="0"/>
              <w:rPr>
                <w:sz w:val="13"/>
                <w:szCs w:val="13"/>
                <w:color w:val="auto"/>
              </w:rPr>
            </w:pPr>
          </w:p>
        </w:tc>
        <w:tc>
          <w:tcPr>
            <w:tcW w:w="160" w:type="dxa"/>
            <w:vAlign w:val="bottom"/>
            <w:tcBorders>
              <w:bottom w:val="single" w:sz="8" w:color="4A7EBB"/>
            </w:tcBorders>
            <w:vMerge w:val="continue"/>
            <w:shd w:val="clear" w:color="auto" w:fill="DBE5F1"/>
          </w:tcPr>
          <w:p>
            <w:pPr>
              <w:spacing w:after="0"/>
              <w:rPr>
                <w:sz w:val="13"/>
                <w:szCs w:val="13"/>
                <w:color w:val="auto"/>
              </w:rPr>
            </w:pPr>
          </w:p>
        </w:tc>
        <w:tc>
          <w:tcPr>
            <w:tcW w:w="2940" w:type="dxa"/>
            <w:vAlign w:val="bottom"/>
            <w:tcBorders>
              <w:bottom w:val="single" w:sz="8" w:color="4A7EBB"/>
            </w:tcBorders>
            <w:shd w:val="clear" w:color="auto" w:fill="DBE5F1"/>
          </w:tcPr>
          <w:p>
            <w:pPr>
              <w:jc w:val="right"/>
              <w:spacing w:after="0" w:line="155" w:lineRule="exact"/>
              <w:rPr>
                <w:sz w:val="20"/>
                <w:szCs w:val="20"/>
                <w:color w:val="auto"/>
              </w:rPr>
            </w:pPr>
            <w:r>
              <w:rPr>
                <w:rFonts w:ascii="Arial" w:cs="Arial" w:eastAsia="Arial" w:hAnsi="Arial"/>
                <w:sz w:val="14"/>
                <w:szCs w:val="14"/>
                <w:b w:val="1"/>
                <w:bCs w:val="1"/>
                <w:color w:val="auto"/>
                <w:shd w:val="clear" w:color="auto" w:fill="DBE5F1"/>
              </w:rPr>
              <w:t>​​Number of Shares Acquired on Vesting (#)</w:t>
            </w:r>
          </w:p>
        </w:tc>
        <w:tc>
          <w:tcPr>
            <w:tcW w:w="2360" w:type="dxa"/>
            <w:vAlign w:val="bottom"/>
            <w:tcBorders>
              <w:bottom w:val="single" w:sz="8" w:color="4A7EBB"/>
            </w:tcBorders>
            <w:gridSpan w:val="2"/>
            <w:shd w:val="clear" w:color="auto" w:fill="DBE5F1"/>
          </w:tcPr>
          <w:p>
            <w:pPr>
              <w:jc w:val="right"/>
              <w:spacing w:after="0" w:line="156" w:lineRule="exact"/>
              <w:rPr>
                <w:sz w:val="20"/>
                <w:szCs w:val="20"/>
                <w:color w:val="auto"/>
              </w:rPr>
            </w:pPr>
            <w:r>
              <w:rPr>
                <w:rFonts w:ascii="Arial" w:cs="Arial" w:eastAsia="Arial" w:hAnsi="Arial"/>
                <w:sz w:val="11"/>
                <w:szCs w:val="11"/>
                <w:b w:val="1"/>
                <w:bCs w:val="1"/>
                <w:color w:val="auto"/>
                <w:shd w:val="clear" w:color="auto" w:fill="DBE5F1"/>
              </w:rPr>
              <w:t>​​​Value Realized on Vesting ($)</w:t>
            </w:r>
            <w:r>
              <w:rPr>
                <w:rFonts w:ascii="Arial" w:cs="Arial" w:eastAsia="Arial" w:hAnsi="Arial"/>
                <w:sz w:val="18"/>
                <w:szCs w:val="18"/>
                <w:b w:val="1"/>
                <w:bCs w:val="1"/>
                <w:color w:val="auto"/>
                <w:vertAlign w:val="superscript"/>
                <w:shd w:val="clear" w:color="auto" w:fill="DBE5F1"/>
              </w:rPr>
              <w:t>(2)</w:t>
            </w:r>
          </w:p>
        </w:tc>
        <w:tc>
          <w:tcPr>
            <w:tcW w:w="0" w:type="dxa"/>
            <w:vAlign w:val="bottom"/>
          </w:tcPr>
          <w:p>
            <w:pPr>
              <w:spacing w:after="0"/>
              <w:rPr>
                <w:sz w:val="1"/>
                <w:szCs w:val="1"/>
                <w:color w:val="auto"/>
              </w:rPr>
            </w:pPr>
          </w:p>
        </w:tc>
      </w:tr>
      <w:tr>
        <w:trPr>
          <w:trHeight w:val="183"/>
        </w:trPr>
        <w:tc>
          <w:tcPr>
            <w:tcW w:w="4460" w:type="dxa"/>
            <w:vAlign w:val="bottom"/>
            <w:tcBorders>
              <w:bottom w:val="single" w:sz="8" w:color="4A7EBB"/>
            </w:tcBorders>
          </w:tcPr>
          <w:p>
            <w:pPr>
              <w:ind w:left="120"/>
              <w:spacing w:after="0"/>
              <w:rPr>
                <w:sz w:val="20"/>
                <w:szCs w:val="20"/>
                <w:color w:val="auto"/>
              </w:rPr>
            </w:pPr>
            <w:r>
              <w:rPr>
                <w:rFonts w:ascii="Arial" w:cs="Arial" w:eastAsia="Arial" w:hAnsi="Arial"/>
                <w:sz w:val="14"/>
                <w:szCs w:val="14"/>
                <w:b w:val="1"/>
                <w:bCs w:val="1"/>
                <w:color w:val="auto"/>
              </w:rPr>
              <w:t>Morris Goldfarb</w:t>
            </w:r>
          </w:p>
        </w:tc>
        <w:tc>
          <w:tcPr>
            <w:tcW w:w="3100" w:type="dxa"/>
            <w:vAlign w:val="bottom"/>
            <w:tcBorders>
              <w:bottom w:val="single" w:sz="8" w:color="4A7EBB"/>
            </w:tcBorders>
            <w:gridSpan w:val="2"/>
          </w:tcPr>
          <w:p>
            <w:pPr>
              <w:jc w:val="right"/>
              <w:spacing w:after="0"/>
              <w:rPr>
                <w:sz w:val="20"/>
                <w:szCs w:val="20"/>
                <w:color w:val="auto"/>
              </w:rPr>
            </w:pPr>
            <w:r>
              <w:rPr>
                <w:rFonts w:ascii="Arial" w:cs="Arial" w:eastAsia="Arial" w:hAnsi="Arial"/>
                <w:sz w:val="14"/>
                <w:szCs w:val="14"/>
                <w:color w:val="auto"/>
              </w:rPr>
              <w:t>87,937</w:t>
            </w:r>
          </w:p>
        </w:tc>
        <w:tc>
          <w:tcPr>
            <w:tcW w:w="920" w:type="dxa"/>
            <w:vAlign w:val="bottom"/>
            <w:tcBorders>
              <w:bottom w:val="single" w:sz="8" w:color="4A7EBB"/>
            </w:tcBorders>
          </w:tcPr>
          <w:p>
            <w:pPr>
              <w:jc w:val="right"/>
              <w:ind w:right="680"/>
              <w:spacing w:after="0"/>
              <w:rPr>
                <w:sz w:val="20"/>
                <w:szCs w:val="20"/>
                <w:color w:val="auto"/>
              </w:rPr>
            </w:pPr>
            <w:r>
              <w:rPr>
                <w:rFonts w:ascii="Arial" w:cs="Arial" w:eastAsia="Arial" w:hAnsi="Arial"/>
                <w:sz w:val="12"/>
                <w:szCs w:val="12"/>
                <w:color w:val="auto"/>
              </w:rPr>
              <w:t>(1)</w:t>
            </w:r>
          </w:p>
        </w:tc>
        <w:tc>
          <w:tcPr>
            <w:tcW w:w="1440" w:type="dxa"/>
            <w:vAlign w:val="bottom"/>
            <w:tcBorders>
              <w:bottom w:val="single" w:sz="8" w:color="4A7EBB"/>
            </w:tcBorders>
          </w:tcPr>
          <w:p>
            <w:pPr>
              <w:jc w:val="right"/>
              <w:spacing w:after="0"/>
              <w:rPr>
                <w:sz w:val="20"/>
                <w:szCs w:val="20"/>
                <w:color w:val="auto"/>
              </w:rPr>
            </w:pPr>
            <w:r>
              <w:rPr>
                <w:rFonts w:ascii="Arial" w:cs="Arial" w:eastAsia="Arial" w:hAnsi="Arial"/>
                <w:sz w:val="14"/>
                <w:szCs w:val="14"/>
                <w:color w:val="auto"/>
              </w:rPr>
              <w:t>2,416,509</w:t>
            </w:r>
          </w:p>
        </w:tc>
        <w:tc>
          <w:tcPr>
            <w:tcW w:w="0" w:type="dxa"/>
            <w:vAlign w:val="bottom"/>
          </w:tcPr>
          <w:p>
            <w:pPr>
              <w:spacing w:after="0"/>
              <w:rPr>
                <w:sz w:val="1"/>
                <w:szCs w:val="1"/>
                <w:color w:val="auto"/>
              </w:rPr>
            </w:pPr>
          </w:p>
        </w:tc>
      </w:tr>
      <w:tr>
        <w:trPr>
          <w:trHeight w:val="183"/>
        </w:trPr>
        <w:tc>
          <w:tcPr>
            <w:tcW w:w="4460" w:type="dxa"/>
            <w:vAlign w:val="bottom"/>
            <w:tcBorders>
              <w:bottom w:val="single" w:sz="8" w:color="4A7EBB"/>
            </w:tcBorders>
            <w:shd w:val="clear" w:color="auto" w:fill="F2F2F2"/>
          </w:tcPr>
          <w:p>
            <w:pPr>
              <w:ind w:left="120"/>
              <w:spacing w:after="0"/>
              <w:rPr>
                <w:sz w:val="20"/>
                <w:szCs w:val="20"/>
                <w:color w:val="auto"/>
              </w:rPr>
            </w:pPr>
            <w:r>
              <w:rPr>
                <w:rFonts w:ascii="Arial" w:cs="Arial" w:eastAsia="Arial" w:hAnsi="Arial"/>
                <w:sz w:val="14"/>
                <w:szCs w:val="14"/>
                <w:b w:val="1"/>
                <w:bCs w:val="1"/>
                <w:color w:val="auto"/>
              </w:rPr>
              <w:t>Neal S. Nackman</w:t>
            </w:r>
          </w:p>
        </w:tc>
        <w:tc>
          <w:tcPr>
            <w:tcW w:w="3100" w:type="dxa"/>
            <w:vAlign w:val="bottom"/>
            <w:tcBorders>
              <w:bottom w:val="single" w:sz="8" w:color="4A7EBB"/>
            </w:tcBorders>
            <w:gridSpan w:val="2"/>
            <w:shd w:val="clear" w:color="auto" w:fill="F2F2F2"/>
          </w:tcPr>
          <w:p>
            <w:pPr>
              <w:jc w:val="right"/>
              <w:spacing w:after="0"/>
              <w:rPr>
                <w:sz w:val="20"/>
                <w:szCs w:val="20"/>
                <w:color w:val="auto"/>
              </w:rPr>
            </w:pPr>
            <w:r>
              <w:rPr>
                <w:rFonts w:ascii="Arial" w:cs="Arial" w:eastAsia="Arial" w:hAnsi="Arial"/>
                <w:sz w:val="14"/>
                <w:szCs w:val="14"/>
                <w:color w:val="auto"/>
              </w:rPr>
              <w:t>12,840</w:t>
            </w:r>
          </w:p>
        </w:tc>
        <w:tc>
          <w:tcPr>
            <w:tcW w:w="920" w:type="dxa"/>
            <w:vAlign w:val="bottom"/>
            <w:tcBorders>
              <w:bottom w:val="single" w:sz="8" w:color="4A7EBB"/>
            </w:tcBorders>
            <w:shd w:val="clear" w:color="auto" w:fill="F2F2F2"/>
          </w:tcPr>
          <w:p>
            <w:pPr>
              <w:jc w:val="right"/>
              <w:ind w:right="680"/>
              <w:spacing w:after="0"/>
              <w:rPr>
                <w:sz w:val="20"/>
                <w:szCs w:val="20"/>
                <w:color w:val="auto"/>
              </w:rPr>
            </w:pPr>
            <w:r>
              <w:rPr>
                <w:rFonts w:ascii="Arial" w:cs="Arial" w:eastAsia="Arial" w:hAnsi="Arial"/>
                <w:sz w:val="12"/>
                <w:szCs w:val="12"/>
                <w:color w:val="auto"/>
              </w:rPr>
              <w:t>(1)</w:t>
            </w:r>
          </w:p>
        </w:tc>
        <w:tc>
          <w:tcPr>
            <w:tcW w:w="1440" w:type="dxa"/>
            <w:vAlign w:val="bottom"/>
            <w:tcBorders>
              <w:bottom w:val="single" w:sz="8" w:color="4A7EBB"/>
            </w:tcBorders>
            <w:shd w:val="clear" w:color="auto" w:fill="F2F2F2"/>
          </w:tcPr>
          <w:p>
            <w:pPr>
              <w:jc w:val="right"/>
              <w:spacing w:after="0"/>
              <w:rPr>
                <w:sz w:val="20"/>
                <w:szCs w:val="20"/>
                <w:color w:val="auto"/>
              </w:rPr>
            </w:pPr>
            <w:r>
              <w:rPr>
                <w:rFonts w:ascii="Arial" w:cs="Arial" w:eastAsia="Arial" w:hAnsi="Arial"/>
                <w:sz w:val="14"/>
                <w:szCs w:val="14"/>
                <w:color w:val="auto"/>
              </w:rPr>
              <w:t>352,843</w:t>
            </w:r>
          </w:p>
        </w:tc>
        <w:tc>
          <w:tcPr>
            <w:tcW w:w="0" w:type="dxa"/>
            <w:vAlign w:val="bottom"/>
          </w:tcPr>
          <w:p>
            <w:pPr>
              <w:spacing w:after="0"/>
              <w:rPr>
                <w:sz w:val="1"/>
                <w:szCs w:val="1"/>
                <w:color w:val="auto"/>
              </w:rPr>
            </w:pPr>
          </w:p>
        </w:tc>
      </w:tr>
      <w:tr>
        <w:trPr>
          <w:trHeight w:val="183"/>
        </w:trPr>
        <w:tc>
          <w:tcPr>
            <w:tcW w:w="4460" w:type="dxa"/>
            <w:vAlign w:val="bottom"/>
            <w:tcBorders>
              <w:bottom w:val="single" w:sz="8" w:color="4A7EBB"/>
            </w:tcBorders>
          </w:tcPr>
          <w:p>
            <w:pPr>
              <w:ind w:left="120"/>
              <w:spacing w:after="0"/>
              <w:rPr>
                <w:sz w:val="20"/>
                <w:szCs w:val="20"/>
                <w:color w:val="auto"/>
              </w:rPr>
            </w:pPr>
            <w:r>
              <w:rPr>
                <w:rFonts w:ascii="Arial" w:cs="Arial" w:eastAsia="Arial" w:hAnsi="Arial"/>
                <w:sz w:val="14"/>
                <w:szCs w:val="14"/>
                <w:b w:val="1"/>
                <w:bCs w:val="1"/>
                <w:color w:val="auto"/>
              </w:rPr>
              <w:t>Sammy Aaron</w:t>
            </w:r>
          </w:p>
        </w:tc>
        <w:tc>
          <w:tcPr>
            <w:tcW w:w="3100" w:type="dxa"/>
            <w:vAlign w:val="bottom"/>
            <w:tcBorders>
              <w:bottom w:val="single" w:sz="8" w:color="4A7EBB"/>
            </w:tcBorders>
            <w:gridSpan w:val="2"/>
          </w:tcPr>
          <w:p>
            <w:pPr>
              <w:jc w:val="right"/>
              <w:spacing w:after="0"/>
              <w:rPr>
                <w:sz w:val="20"/>
                <w:szCs w:val="20"/>
                <w:color w:val="auto"/>
              </w:rPr>
            </w:pPr>
            <w:r>
              <w:rPr>
                <w:rFonts w:ascii="Arial" w:cs="Arial" w:eastAsia="Arial" w:hAnsi="Arial"/>
                <w:sz w:val="14"/>
                <w:szCs w:val="14"/>
                <w:color w:val="auto"/>
              </w:rPr>
              <w:t>58,624</w:t>
            </w:r>
          </w:p>
        </w:tc>
        <w:tc>
          <w:tcPr>
            <w:tcW w:w="920" w:type="dxa"/>
            <w:vAlign w:val="bottom"/>
            <w:tcBorders>
              <w:bottom w:val="single" w:sz="8" w:color="4A7EBB"/>
            </w:tcBorders>
          </w:tcPr>
          <w:p>
            <w:pPr>
              <w:jc w:val="right"/>
              <w:ind w:right="680"/>
              <w:spacing w:after="0"/>
              <w:rPr>
                <w:sz w:val="20"/>
                <w:szCs w:val="20"/>
                <w:color w:val="auto"/>
              </w:rPr>
            </w:pPr>
            <w:r>
              <w:rPr>
                <w:rFonts w:ascii="Arial" w:cs="Arial" w:eastAsia="Arial" w:hAnsi="Arial"/>
                <w:sz w:val="12"/>
                <w:szCs w:val="12"/>
                <w:color w:val="auto"/>
              </w:rPr>
              <w:t>(1)</w:t>
            </w:r>
          </w:p>
        </w:tc>
        <w:tc>
          <w:tcPr>
            <w:tcW w:w="1440" w:type="dxa"/>
            <w:vAlign w:val="bottom"/>
            <w:tcBorders>
              <w:bottom w:val="single" w:sz="8" w:color="4A7EBB"/>
            </w:tcBorders>
          </w:tcPr>
          <w:p>
            <w:pPr>
              <w:jc w:val="right"/>
              <w:spacing w:after="0"/>
              <w:rPr>
                <w:sz w:val="20"/>
                <w:szCs w:val="20"/>
                <w:color w:val="auto"/>
              </w:rPr>
            </w:pPr>
            <w:r>
              <w:rPr>
                <w:rFonts w:ascii="Arial" w:cs="Arial" w:eastAsia="Arial" w:hAnsi="Arial"/>
                <w:sz w:val="14"/>
                <w:szCs w:val="14"/>
                <w:color w:val="auto"/>
              </w:rPr>
              <w:t>1,610,988</w:t>
            </w:r>
          </w:p>
        </w:tc>
        <w:tc>
          <w:tcPr>
            <w:tcW w:w="0" w:type="dxa"/>
            <w:vAlign w:val="bottom"/>
          </w:tcPr>
          <w:p>
            <w:pPr>
              <w:spacing w:after="0"/>
              <w:rPr>
                <w:sz w:val="1"/>
                <w:szCs w:val="1"/>
                <w:color w:val="auto"/>
              </w:rPr>
            </w:pPr>
          </w:p>
        </w:tc>
      </w:tr>
      <w:tr>
        <w:trPr>
          <w:trHeight w:val="183"/>
        </w:trPr>
        <w:tc>
          <w:tcPr>
            <w:tcW w:w="4460" w:type="dxa"/>
            <w:vAlign w:val="bottom"/>
            <w:tcBorders>
              <w:bottom w:val="single" w:sz="8" w:color="4A7EBB"/>
            </w:tcBorders>
            <w:shd w:val="clear" w:color="auto" w:fill="F2F2F2"/>
          </w:tcPr>
          <w:p>
            <w:pPr>
              <w:ind w:left="120"/>
              <w:spacing w:after="0"/>
              <w:rPr>
                <w:sz w:val="20"/>
                <w:szCs w:val="20"/>
                <w:color w:val="auto"/>
              </w:rPr>
            </w:pPr>
            <w:r>
              <w:rPr>
                <w:rFonts w:ascii="Arial" w:cs="Arial" w:eastAsia="Arial" w:hAnsi="Arial"/>
                <w:sz w:val="14"/>
                <w:szCs w:val="14"/>
                <w:b w:val="1"/>
                <w:bCs w:val="1"/>
                <w:color w:val="auto"/>
              </w:rPr>
              <w:t>Jeffrey Goldfarb</w:t>
            </w:r>
          </w:p>
        </w:tc>
        <w:tc>
          <w:tcPr>
            <w:tcW w:w="3100" w:type="dxa"/>
            <w:vAlign w:val="bottom"/>
            <w:tcBorders>
              <w:bottom w:val="single" w:sz="8" w:color="4A7EBB"/>
            </w:tcBorders>
            <w:gridSpan w:val="2"/>
            <w:shd w:val="clear" w:color="auto" w:fill="F2F2F2"/>
          </w:tcPr>
          <w:p>
            <w:pPr>
              <w:jc w:val="right"/>
              <w:spacing w:after="0"/>
              <w:rPr>
                <w:sz w:val="20"/>
                <w:szCs w:val="20"/>
                <w:color w:val="auto"/>
              </w:rPr>
            </w:pPr>
            <w:r>
              <w:rPr>
                <w:rFonts w:ascii="Arial" w:cs="Arial" w:eastAsia="Arial" w:hAnsi="Arial"/>
                <w:sz w:val="14"/>
                <w:szCs w:val="14"/>
                <w:color w:val="auto"/>
              </w:rPr>
              <w:t>38,526</w:t>
            </w:r>
          </w:p>
        </w:tc>
        <w:tc>
          <w:tcPr>
            <w:tcW w:w="920" w:type="dxa"/>
            <w:vAlign w:val="bottom"/>
            <w:tcBorders>
              <w:bottom w:val="single" w:sz="8" w:color="4A7EBB"/>
            </w:tcBorders>
            <w:shd w:val="clear" w:color="auto" w:fill="F2F2F2"/>
          </w:tcPr>
          <w:p>
            <w:pPr>
              <w:jc w:val="right"/>
              <w:ind w:right="680"/>
              <w:spacing w:after="0"/>
              <w:rPr>
                <w:sz w:val="20"/>
                <w:szCs w:val="20"/>
                <w:color w:val="auto"/>
              </w:rPr>
            </w:pPr>
            <w:r>
              <w:rPr>
                <w:rFonts w:ascii="Arial" w:cs="Arial" w:eastAsia="Arial" w:hAnsi="Arial"/>
                <w:sz w:val="12"/>
                <w:szCs w:val="12"/>
                <w:color w:val="auto"/>
              </w:rPr>
              <w:t>(1)</w:t>
            </w:r>
          </w:p>
        </w:tc>
        <w:tc>
          <w:tcPr>
            <w:tcW w:w="1440" w:type="dxa"/>
            <w:vAlign w:val="bottom"/>
            <w:tcBorders>
              <w:bottom w:val="single" w:sz="8" w:color="4A7EBB"/>
            </w:tcBorders>
            <w:shd w:val="clear" w:color="auto" w:fill="F2F2F2"/>
          </w:tcPr>
          <w:p>
            <w:pPr>
              <w:jc w:val="right"/>
              <w:spacing w:after="0"/>
              <w:rPr>
                <w:sz w:val="20"/>
                <w:szCs w:val="20"/>
                <w:color w:val="auto"/>
              </w:rPr>
            </w:pPr>
            <w:r>
              <w:rPr>
                <w:rFonts w:ascii="Arial" w:cs="Arial" w:eastAsia="Arial" w:hAnsi="Arial"/>
                <w:sz w:val="14"/>
                <w:szCs w:val="14"/>
                <w:color w:val="auto"/>
              </w:rPr>
              <w:t>1,058,694</w:t>
            </w:r>
          </w:p>
        </w:tc>
        <w:tc>
          <w:tcPr>
            <w:tcW w:w="0" w:type="dxa"/>
            <w:vAlign w:val="bottom"/>
          </w:tcPr>
          <w:p>
            <w:pPr>
              <w:spacing w:after="0"/>
              <w:rPr>
                <w:sz w:val="1"/>
                <w:szCs w:val="1"/>
                <w:color w:val="auto"/>
              </w:rPr>
            </w:pPr>
          </w:p>
        </w:tc>
      </w:tr>
      <w:tr>
        <w:trPr>
          <w:trHeight w:val="183"/>
        </w:trPr>
        <w:tc>
          <w:tcPr>
            <w:tcW w:w="4460" w:type="dxa"/>
            <w:vAlign w:val="bottom"/>
            <w:tcBorders>
              <w:bottom w:val="single" w:sz="8" w:color="4A7EBB"/>
            </w:tcBorders>
          </w:tcPr>
          <w:p>
            <w:pPr>
              <w:ind w:left="120"/>
              <w:spacing w:after="0"/>
              <w:rPr>
                <w:sz w:val="20"/>
                <w:szCs w:val="20"/>
                <w:color w:val="auto"/>
              </w:rPr>
            </w:pPr>
            <w:r>
              <w:rPr>
                <w:rFonts w:ascii="Arial" w:cs="Arial" w:eastAsia="Arial" w:hAnsi="Arial"/>
                <w:sz w:val="14"/>
                <w:szCs w:val="14"/>
                <w:b w:val="1"/>
                <w:bCs w:val="1"/>
                <w:color w:val="auto"/>
              </w:rPr>
              <w:t>Dana Perlman</w:t>
            </w:r>
          </w:p>
        </w:tc>
        <w:tc>
          <w:tcPr>
            <w:tcW w:w="3100" w:type="dxa"/>
            <w:vAlign w:val="bottom"/>
            <w:tcBorders>
              <w:bottom w:val="single" w:sz="8" w:color="4A7EBB"/>
            </w:tcBorders>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4A7EBB"/>
            </w:tcBorders>
          </w:tcPr>
          <w:p>
            <w:pPr>
              <w:spacing w:after="0"/>
              <w:rPr>
                <w:sz w:val="15"/>
                <w:szCs w:val="15"/>
                <w:color w:val="auto"/>
              </w:rPr>
            </w:pPr>
          </w:p>
        </w:tc>
        <w:tc>
          <w:tcPr>
            <w:tcW w:w="1440" w:type="dxa"/>
            <w:vAlign w:val="bottom"/>
            <w:tcBorders>
              <w:bottom w:val="single" w:sz="8" w:color="4A7EBB"/>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340" w:hanging="332"/>
        <w:spacing w:after="0"/>
        <w:tabs>
          <w:tab w:leader="none" w:pos="3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Reflects shares issued on vesting of RSUs on April 1, 2025.</w:t>
      </w:r>
    </w:p>
    <w:p>
      <w:pPr>
        <w:spacing w:after="0" w:line="140" w:lineRule="exact"/>
        <w:rPr>
          <w:rFonts w:ascii="Arial" w:cs="Arial" w:eastAsia="Arial" w:hAnsi="Arial"/>
          <w:sz w:val="16"/>
          <w:szCs w:val="16"/>
          <w:color w:val="auto"/>
        </w:rPr>
      </w:pPr>
    </w:p>
    <w:p>
      <w:pPr>
        <w:ind w:left="340" w:hanging="332"/>
        <w:spacing w:after="0"/>
        <w:tabs>
          <w:tab w:leader="none" w:pos="3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Reflects the aggregate value of the shares issued at a market price of $27.48 on April 1, 2025.</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4A7EBB"/>
        </w:rPr>
        <w:t>FISCAL 2026 NONQUALIFIED DEFERRED COMPENSATION</w:t>
      </w:r>
    </w:p>
    <w:p>
      <w:pPr>
        <w:spacing w:after="0" w:line="189"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following table sets forth information on deferred compensation plans of the Named Executive Officers that are not tax-qualified for the fiscal year ended January 31, 2026.</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40" w:type="dxa"/>
            <w:vAlign w:val="bottom"/>
            <w:tcBorders>
              <w:top w:val="single" w:sz="8" w:color="4A7EBB"/>
            </w:tcBorders>
            <w:shd w:val="clear" w:color="auto" w:fill="DBE5F1"/>
          </w:tcPr>
          <w:p>
            <w:pPr>
              <w:spacing w:after="0"/>
              <w:rPr>
                <w:sz w:val="17"/>
                <w:szCs w:val="17"/>
                <w:color w:val="auto"/>
              </w:rPr>
            </w:pPr>
          </w:p>
        </w:tc>
        <w:tc>
          <w:tcPr>
            <w:tcW w:w="1560" w:type="dxa"/>
            <w:vAlign w:val="bottom"/>
            <w:tcBorders>
              <w:top w:val="single" w:sz="8" w:color="4A7EBB"/>
            </w:tcBorders>
            <w:shd w:val="clear" w:color="auto" w:fill="DBE5F1"/>
          </w:tcPr>
          <w:p>
            <w:pPr>
              <w:ind w:left="100"/>
              <w:spacing w:after="0"/>
              <w:rPr>
                <w:sz w:val="20"/>
                <w:szCs w:val="20"/>
                <w:color w:val="auto"/>
              </w:rPr>
            </w:pPr>
            <w:r>
              <w:rPr>
                <w:rFonts w:ascii="Arial" w:cs="Arial" w:eastAsia="Arial" w:hAnsi="Arial"/>
                <w:sz w:val="16"/>
                <w:szCs w:val="16"/>
                <w:b w:val="1"/>
                <w:bCs w:val="1"/>
                <w:color w:val="auto"/>
              </w:rPr>
              <w:t>​​​   Executive</w:t>
            </w:r>
          </w:p>
        </w:tc>
        <w:tc>
          <w:tcPr>
            <w:tcW w:w="1440" w:type="dxa"/>
            <w:vAlign w:val="bottom"/>
            <w:tcBorders>
              <w:top w:val="single" w:sz="8" w:color="4A7EBB"/>
            </w:tcBorders>
            <w:shd w:val="clear" w:color="auto" w:fill="DBE5F1"/>
          </w:tcPr>
          <w:p>
            <w:pPr>
              <w:ind w:left="40"/>
              <w:spacing w:after="0"/>
              <w:rPr>
                <w:sz w:val="20"/>
                <w:szCs w:val="20"/>
                <w:color w:val="auto"/>
              </w:rPr>
            </w:pPr>
            <w:r>
              <w:rPr>
                <w:rFonts w:ascii="Arial" w:cs="Arial" w:eastAsia="Arial" w:hAnsi="Arial"/>
                <w:sz w:val="16"/>
                <w:szCs w:val="16"/>
                <w:b w:val="1"/>
                <w:bCs w:val="1"/>
                <w:color w:val="auto"/>
              </w:rPr>
              <w:t>​​​   Registrant</w:t>
            </w:r>
          </w:p>
        </w:tc>
        <w:tc>
          <w:tcPr>
            <w:tcW w:w="240" w:type="dxa"/>
            <w:vAlign w:val="bottom"/>
            <w:tcBorders>
              <w:top w:val="single" w:sz="8" w:color="4A7EBB"/>
            </w:tcBorders>
            <w:shd w:val="clear" w:color="auto" w:fill="DBE5F1"/>
          </w:tcPr>
          <w:p>
            <w:pPr>
              <w:jc w:val="right"/>
              <w:spacing w:after="0"/>
              <w:rPr>
                <w:sz w:val="20"/>
                <w:szCs w:val="20"/>
                <w:color w:val="auto"/>
              </w:rPr>
            </w:pPr>
            <w:r>
              <w:rPr>
                <w:rFonts w:ascii="Arial" w:cs="Arial" w:eastAsia="Arial" w:hAnsi="Arial"/>
                <w:sz w:val="16"/>
                <w:szCs w:val="16"/>
                <w:b w:val="1"/>
                <w:bCs w:val="1"/>
                <w:color w:val="auto"/>
              </w:rPr>
              <w:t>​​​</w:t>
            </w:r>
          </w:p>
        </w:tc>
        <w:tc>
          <w:tcPr>
            <w:tcW w:w="1260" w:type="dxa"/>
            <w:vAlign w:val="bottom"/>
            <w:tcBorders>
              <w:top w:val="single" w:sz="8" w:color="4A7EBB"/>
            </w:tcBorders>
            <w:shd w:val="clear" w:color="auto" w:fill="DBE5F1"/>
          </w:tcPr>
          <w:p>
            <w:pPr>
              <w:jc w:val="center"/>
              <w:spacing w:after="0"/>
              <w:rPr>
                <w:sz w:val="20"/>
                <w:szCs w:val="20"/>
                <w:color w:val="auto"/>
              </w:rPr>
            </w:pPr>
            <w:r>
              <w:rPr>
                <w:rFonts w:ascii="Arial" w:cs="Arial" w:eastAsia="Arial" w:hAnsi="Arial"/>
                <w:sz w:val="16"/>
                <w:szCs w:val="16"/>
                <w:b w:val="1"/>
                <w:bCs w:val="1"/>
                <w:color w:val="auto"/>
              </w:rPr>
              <w:t>Aggregate</w:t>
            </w:r>
          </w:p>
        </w:tc>
        <w:tc>
          <w:tcPr>
            <w:tcW w:w="280" w:type="dxa"/>
            <w:vAlign w:val="bottom"/>
            <w:tcBorders>
              <w:top w:val="single" w:sz="8" w:color="4A7EBB"/>
            </w:tcBorders>
            <w:shd w:val="clear" w:color="auto" w:fill="DBE5F1"/>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Borders>
              <w:top w:val="single" w:sz="8" w:color="4A7EBB"/>
            </w:tcBorders>
            <w:shd w:val="clear" w:color="auto" w:fill="DBE5F1"/>
          </w:tcPr>
          <w:p>
            <w:pPr>
              <w:jc w:val="center"/>
              <w:ind w:right="59"/>
              <w:spacing w:after="0"/>
              <w:rPr>
                <w:sz w:val="20"/>
                <w:szCs w:val="20"/>
                <w:color w:val="auto"/>
              </w:rPr>
            </w:pPr>
            <w:r>
              <w:rPr>
                <w:rFonts w:ascii="Arial" w:cs="Arial" w:eastAsia="Arial" w:hAnsi="Arial"/>
                <w:sz w:val="16"/>
                <w:szCs w:val="16"/>
                <w:b w:val="1"/>
                <w:bCs w:val="1"/>
                <w:color w:val="auto"/>
              </w:rPr>
              <w:t>Aggregate</w:t>
            </w:r>
          </w:p>
        </w:tc>
        <w:tc>
          <w:tcPr>
            <w:tcW w:w="340" w:type="dxa"/>
            <w:vAlign w:val="bottom"/>
            <w:tcBorders>
              <w:top w:val="single" w:sz="8" w:color="4A7EBB"/>
            </w:tcBorders>
            <w:shd w:val="clear" w:color="auto" w:fill="DBE5F1"/>
          </w:tcPr>
          <w:p>
            <w:pPr>
              <w:ind w:left="40"/>
              <w:spacing w:after="0"/>
              <w:rPr>
                <w:sz w:val="20"/>
                <w:szCs w:val="20"/>
                <w:color w:val="auto"/>
              </w:rPr>
            </w:pPr>
            <w:r>
              <w:rPr>
                <w:rFonts w:ascii="Arial" w:cs="Arial" w:eastAsia="Arial" w:hAnsi="Arial"/>
                <w:sz w:val="16"/>
                <w:szCs w:val="16"/>
                <w:b w:val="1"/>
                <w:bCs w:val="1"/>
                <w:color w:val="auto"/>
              </w:rPr>
              <w:t>​​​</w:t>
            </w:r>
          </w:p>
        </w:tc>
        <w:tc>
          <w:tcPr>
            <w:tcW w:w="1360" w:type="dxa"/>
            <w:vAlign w:val="bottom"/>
            <w:tcBorders>
              <w:top w:val="single" w:sz="8" w:color="4A7EBB"/>
            </w:tcBorders>
            <w:shd w:val="clear" w:color="auto" w:fill="DBE5F1"/>
          </w:tcPr>
          <w:p>
            <w:pPr>
              <w:jc w:val="center"/>
              <w:ind w:right="119"/>
              <w:spacing w:after="0"/>
              <w:rPr>
                <w:sz w:val="20"/>
                <w:szCs w:val="20"/>
                <w:color w:val="auto"/>
              </w:rPr>
            </w:pPr>
            <w:r>
              <w:rPr>
                <w:rFonts w:ascii="Arial" w:cs="Arial" w:eastAsia="Arial" w:hAnsi="Arial"/>
                <w:sz w:val="16"/>
                <w:szCs w:val="16"/>
                <w:b w:val="1"/>
                <w:bCs w:val="1"/>
                <w:color w:val="auto"/>
              </w:rPr>
              <w:t>Aggregate</w:t>
            </w:r>
          </w:p>
        </w:tc>
        <w:tc>
          <w:tcPr>
            <w:tcW w:w="180" w:type="dxa"/>
            <w:vAlign w:val="bottom"/>
            <w:tcBorders>
              <w:top w:val="single" w:sz="8" w:color="4A7EBB"/>
            </w:tcBorders>
            <w:shd w:val="clear" w:color="auto" w:fill="DBE5F1"/>
          </w:tcPr>
          <w:p>
            <w:pPr>
              <w:spacing w:after="0"/>
              <w:rPr>
                <w:sz w:val="17"/>
                <w:szCs w:val="17"/>
                <w:color w:val="auto"/>
              </w:rPr>
            </w:pPr>
          </w:p>
        </w:tc>
      </w:tr>
      <w:tr>
        <w:trPr>
          <w:trHeight w:val="189"/>
        </w:trPr>
        <w:tc>
          <w:tcPr>
            <w:tcW w:w="2040" w:type="dxa"/>
            <w:vAlign w:val="bottom"/>
            <w:shd w:val="clear" w:color="auto" w:fill="DBE5F1"/>
          </w:tcPr>
          <w:p>
            <w:pPr>
              <w:spacing w:after="0"/>
              <w:rPr>
                <w:sz w:val="16"/>
                <w:szCs w:val="16"/>
                <w:color w:val="auto"/>
              </w:rPr>
            </w:pPr>
          </w:p>
        </w:tc>
        <w:tc>
          <w:tcPr>
            <w:tcW w:w="1560" w:type="dxa"/>
            <w:vAlign w:val="bottom"/>
            <w:shd w:val="clear" w:color="auto" w:fill="DBE5F1"/>
          </w:tcPr>
          <w:p>
            <w:pPr>
              <w:jc w:val="center"/>
              <w:ind w:left="59"/>
              <w:spacing w:after="0"/>
              <w:rPr>
                <w:sz w:val="20"/>
                <w:szCs w:val="20"/>
                <w:color w:val="auto"/>
              </w:rPr>
            </w:pPr>
            <w:r>
              <w:rPr>
                <w:rFonts w:ascii="Arial" w:cs="Arial" w:eastAsia="Arial" w:hAnsi="Arial"/>
                <w:sz w:val="16"/>
                <w:szCs w:val="16"/>
                <w:b w:val="1"/>
                <w:bCs w:val="1"/>
                <w:color w:val="auto"/>
              </w:rPr>
              <w:t>Contributions</w:t>
            </w:r>
          </w:p>
        </w:tc>
        <w:tc>
          <w:tcPr>
            <w:tcW w:w="1440" w:type="dxa"/>
            <w:vAlign w:val="bottom"/>
            <w:shd w:val="clear" w:color="auto" w:fill="DBE5F1"/>
          </w:tcPr>
          <w:p>
            <w:pPr>
              <w:jc w:val="center"/>
              <w:ind w:left="59"/>
              <w:spacing w:after="0"/>
              <w:rPr>
                <w:sz w:val="20"/>
                <w:szCs w:val="20"/>
                <w:color w:val="auto"/>
              </w:rPr>
            </w:pPr>
            <w:r>
              <w:rPr>
                <w:rFonts w:ascii="Arial" w:cs="Arial" w:eastAsia="Arial" w:hAnsi="Arial"/>
                <w:sz w:val="16"/>
                <w:szCs w:val="16"/>
                <w:b w:val="1"/>
                <w:bCs w:val="1"/>
                <w:color w:val="auto"/>
              </w:rPr>
              <w:t>Contributions</w:t>
            </w:r>
          </w:p>
        </w:tc>
        <w:tc>
          <w:tcPr>
            <w:tcW w:w="240" w:type="dxa"/>
            <w:vAlign w:val="bottom"/>
            <w:shd w:val="clear" w:color="auto" w:fill="DBE5F1"/>
          </w:tcPr>
          <w:p>
            <w:pPr>
              <w:spacing w:after="0"/>
              <w:rPr>
                <w:sz w:val="16"/>
                <w:szCs w:val="16"/>
                <w:color w:val="auto"/>
              </w:rPr>
            </w:pPr>
          </w:p>
        </w:tc>
        <w:tc>
          <w:tcPr>
            <w:tcW w:w="1260" w:type="dxa"/>
            <w:vAlign w:val="bottom"/>
            <w:shd w:val="clear" w:color="auto" w:fill="DBE5F1"/>
          </w:tcPr>
          <w:p>
            <w:pPr>
              <w:jc w:val="center"/>
              <w:spacing w:after="0"/>
              <w:rPr>
                <w:sz w:val="20"/>
                <w:szCs w:val="20"/>
                <w:color w:val="auto"/>
              </w:rPr>
            </w:pPr>
            <w:r>
              <w:rPr>
                <w:rFonts w:ascii="Arial" w:cs="Arial" w:eastAsia="Arial" w:hAnsi="Arial"/>
                <w:sz w:val="16"/>
                <w:szCs w:val="16"/>
                <w:b w:val="1"/>
                <w:bCs w:val="1"/>
                <w:color w:val="auto"/>
              </w:rPr>
              <w:t>Earnings (Loss)</w:t>
            </w:r>
          </w:p>
        </w:tc>
        <w:tc>
          <w:tcPr>
            <w:tcW w:w="280" w:type="dxa"/>
            <w:vAlign w:val="bottom"/>
            <w:shd w:val="clear" w:color="auto" w:fill="DBE5F1"/>
          </w:tcPr>
          <w:p>
            <w:pPr>
              <w:spacing w:after="0"/>
              <w:rPr>
                <w:sz w:val="16"/>
                <w:szCs w:val="16"/>
                <w:color w:val="auto"/>
              </w:rPr>
            </w:pPr>
          </w:p>
        </w:tc>
        <w:tc>
          <w:tcPr>
            <w:tcW w:w="1220" w:type="dxa"/>
            <w:vAlign w:val="bottom"/>
            <w:shd w:val="clear" w:color="auto" w:fill="DBE5F1"/>
          </w:tcPr>
          <w:p>
            <w:pPr>
              <w:jc w:val="center"/>
              <w:ind w:right="59"/>
              <w:spacing w:after="0"/>
              <w:rPr>
                <w:sz w:val="20"/>
                <w:szCs w:val="20"/>
                <w:color w:val="auto"/>
              </w:rPr>
            </w:pPr>
            <w:r>
              <w:rPr>
                <w:rFonts w:ascii="Arial" w:cs="Arial" w:eastAsia="Arial" w:hAnsi="Arial"/>
                <w:sz w:val="16"/>
                <w:szCs w:val="16"/>
                <w:b w:val="1"/>
                <w:bCs w:val="1"/>
                <w:color w:val="auto"/>
              </w:rPr>
              <w:t>Withdrawals/</w:t>
            </w:r>
          </w:p>
        </w:tc>
        <w:tc>
          <w:tcPr>
            <w:tcW w:w="340" w:type="dxa"/>
            <w:vAlign w:val="bottom"/>
            <w:shd w:val="clear" w:color="auto" w:fill="DBE5F1"/>
          </w:tcPr>
          <w:p>
            <w:pPr>
              <w:spacing w:after="0"/>
              <w:rPr>
                <w:sz w:val="16"/>
                <w:szCs w:val="16"/>
                <w:color w:val="auto"/>
              </w:rPr>
            </w:pPr>
          </w:p>
        </w:tc>
        <w:tc>
          <w:tcPr>
            <w:tcW w:w="1360" w:type="dxa"/>
            <w:vAlign w:val="bottom"/>
            <w:shd w:val="clear" w:color="auto" w:fill="DBE5F1"/>
          </w:tcPr>
          <w:p>
            <w:pPr>
              <w:jc w:val="center"/>
              <w:ind w:right="119"/>
              <w:spacing w:after="0"/>
              <w:rPr>
                <w:sz w:val="20"/>
                <w:szCs w:val="20"/>
                <w:color w:val="auto"/>
              </w:rPr>
            </w:pPr>
            <w:r>
              <w:rPr>
                <w:rFonts w:ascii="Arial" w:cs="Arial" w:eastAsia="Arial" w:hAnsi="Arial"/>
                <w:sz w:val="16"/>
                <w:szCs w:val="16"/>
                <w:b w:val="1"/>
                <w:bCs w:val="1"/>
                <w:color w:val="auto"/>
                <w:w w:val="99"/>
              </w:rPr>
              <w:t>Balance at</w:t>
            </w:r>
          </w:p>
        </w:tc>
        <w:tc>
          <w:tcPr>
            <w:tcW w:w="180" w:type="dxa"/>
            <w:vAlign w:val="bottom"/>
            <w:shd w:val="clear" w:color="auto" w:fill="DBE5F1"/>
          </w:tcPr>
          <w:p>
            <w:pPr>
              <w:spacing w:after="0"/>
              <w:rPr>
                <w:sz w:val="16"/>
                <w:szCs w:val="16"/>
                <w:color w:val="auto"/>
              </w:rPr>
            </w:pPr>
          </w:p>
        </w:tc>
      </w:tr>
      <w:tr>
        <w:trPr>
          <w:trHeight w:val="189"/>
        </w:trPr>
        <w:tc>
          <w:tcPr>
            <w:tcW w:w="2040" w:type="dxa"/>
            <w:vAlign w:val="bottom"/>
            <w:tcBorders>
              <w:bottom w:val="single" w:sz="8" w:color="4A7EBB"/>
            </w:tcBorders>
            <w:shd w:val="clear" w:color="auto" w:fill="DBE5F1"/>
          </w:tcPr>
          <w:p>
            <w:pPr>
              <w:ind w:left="120"/>
              <w:spacing w:after="0"/>
              <w:rPr>
                <w:sz w:val="20"/>
                <w:szCs w:val="20"/>
                <w:color w:val="auto"/>
              </w:rPr>
            </w:pPr>
            <w:r>
              <w:rPr>
                <w:rFonts w:ascii="Arial" w:cs="Arial" w:eastAsia="Arial" w:hAnsi="Arial"/>
                <w:sz w:val="16"/>
                <w:szCs w:val="16"/>
                <w:b w:val="1"/>
                <w:bCs w:val="1"/>
                <w:color w:val="auto"/>
              </w:rPr>
              <w:t>Name</w:t>
            </w:r>
          </w:p>
        </w:tc>
        <w:tc>
          <w:tcPr>
            <w:tcW w:w="1560" w:type="dxa"/>
            <w:vAlign w:val="bottom"/>
            <w:tcBorders>
              <w:bottom w:val="single" w:sz="8" w:color="4A7EBB"/>
            </w:tcBorders>
            <w:shd w:val="clear" w:color="auto" w:fill="DBE5F1"/>
          </w:tcPr>
          <w:p>
            <w:pPr>
              <w:jc w:val="center"/>
              <w:ind w:left="59"/>
              <w:spacing w:after="0"/>
              <w:rPr>
                <w:sz w:val="20"/>
                <w:szCs w:val="20"/>
                <w:color w:val="auto"/>
              </w:rPr>
            </w:pPr>
            <w:r>
              <w:rPr>
                <w:rFonts w:ascii="Arial" w:cs="Arial" w:eastAsia="Arial" w:hAnsi="Arial"/>
                <w:sz w:val="16"/>
                <w:szCs w:val="16"/>
                <w:b w:val="1"/>
                <w:bCs w:val="1"/>
                <w:color w:val="auto"/>
              </w:rPr>
              <w:t>in Fiscal 2026 ($)</w:t>
            </w:r>
          </w:p>
        </w:tc>
        <w:tc>
          <w:tcPr>
            <w:tcW w:w="1440" w:type="dxa"/>
            <w:vAlign w:val="bottom"/>
            <w:tcBorders>
              <w:bottom w:val="single" w:sz="8" w:color="4A7EBB"/>
            </w:tcBorders>
            <w:shd w:val="clear" w:color="auto" w:fill="DBE5F1"/>
          </w:tcPr>
          <w:p>
            <w:pPr>
              <w:jc w:val="center"/>
              <w:ind w:left="59"/>
              <w:spacing w:after="0"/>
              <w:rPr>
                <w:sz w:val="20"/>
                <w:szCs w:val="20"/>
                <w:color w:val="auto"/>
              </w:rPr>
            </w:pPr>
            <w:r>
              <w:rPr>
                <w:rFonts w:ascii="Arial" w:cs="Arial" w:eastAsia="Arial" w:hAnsi="Arial"/>
                <w:sz w:val="16"/>
                <w:szCs w:val="16"/>
                <w:b w:val="1"/>
                <w:bCs w:val="1"/>
                <w:color w:val="auto"/>
              </w:rPr>
              <w:t>in Fiscal 2026 ($)</w:t>
            </w:r>
          </w:p>
        </w:tc>
        <w:tc>
          <w:tcPr>
            <w:tcW w:w="1500" w:type="dxa"/>
            <w:vAlign w:val="bottom"/>
            <w:tcBorders>
              <w:bottom w:val="single" w:sz="8" w:color="4A7EBB"/>
            </w:tcBorders>
            <w:gridSpan w:val="2"/>
            <w:shd w:val="clear" w:color="auto" w:fill="DBE5F1"/>
          </w:tcPr>
          <w:p>
            <w:pPr>
              <w:jc w:val="center"/>
              <w:ind w:left="124"/>
              <w:spacing w:after="0"/>
              <w:rPr>
                <w:sz w:val="20"/>
                <w:szCs w:val="20"/>
                <w:color w:val="auto"/>
              </w:rPr>
            </w:pPr>
            <w:r>
              <w:rPr>
                <w:rFonts w:ascii="Arial" w:cs="Arial" w:eastAsia="Arial" w:hAnsi="Arial"/>
                <w:sz w:val="16"/>
                <w:szCs w:val="16"/>
                <w:b w:val="1"/>
                <w:bCs w:val="1"/>
                <w:color w:val="auto"/>
              </w:rPr>
              <w:t>in Fiscal 2026 ($)</w:t>
            </w:r>
          </w:p>
        </w:tc>
        <w:tc>
          <w:tcPr>
            <w:tcW w:w="1500" w:type="dxa"/>
            <w:vAlign w:val="bottom"/>
            <w:tcBorders>
              <w:bottom w:val="single" w:sz="8" w:color="4A7EBB"/>
            </w:tcBorders>
            <w:gridSpan w:val="2"/>
            <w:shd w:val="clear" w:color="auto" w:fill="DBE5F1"/>
          </w:tcPr>
          <w:p>
            <w:pPr>
              <w:jc w:val="center"/>
              <w:ind w:left="64"/>
              <w:spacing w:after="0"/>
              <w:rPr>
                <w:sz w:val="20"/>
                <w:szCs w:val="20"/>
                <w:color w:val="auto"/>
              </w:rPr>
            </w:pPr>
            <w:r>
              <w:rPr>
                <w:rFonts w:ascii="Arial" w:cs="Arial" w:eastAsia="Arial" w:hAnsi="Arial"/>
                <w:sz w:val="16"/>
                <w:szCs w:val="16"/>
                <w:b w:val="1"/>
                <w:bCs w:val="1"/>
                <w:color w:val="auto"/>
              </w:rPr>
              <w:t>Distributions ($)</w:t>
            </w:r>
          </w:p>
        </w:tc>
        <w:tc>
          <w:tcPr>
            <w:tcW w:w="1700" w:type="dxa"/>
            <w:vAlign w:val="bottom"/>
            <w:tcBorders>
              <w:bottom w:val="single" w:sz="8" w:color="4A7EBB"/>
            </w:tcBorders>
            <w:gridSpan w:val="2"/>
            <w:shd w:val="clear" w:color="auto" w:fill="DBE5F1"/>
          </w:tcPr>
          <w:p>
            <w:pPr>
              <w:jc w:val="center"/>
              <w:ind w:left="59"/>
              <w:spacing w:after="0"/>
              <w:rPr>
                <w:sz w:val="20"/>
                <w:szCs w:val="20"/>
                <w:color w:val="auto"/>
              </w:rPr>
            </w:pPr>
            <w:r>
              <w:rPr>
                <w:rFonts w:ascii="Arial" w:cs="Arial" w:eastAsia="Arial" w:hAnsi="Arial"/>
                <w:sz w:val="16"/>
                <w:szCs w:val="16"/>
                <w:b w:val="1"/>
                <w:bCs w:val="1"/>
                <w:color w:val="auto"/>
                <w:w w:val="99"/>
              </w:rPr>
              <w:t>January 31, 2026 ($)</w:t>
            </w:r>
          </w:p>
        </w:tc>
        <w:tc>
          <w:tcPr>
            <w:tcW w:w="180" w:type="dxa"/>
            <w:vAlign w:val="bottom"/>
            <w:tcBorders>
              <w:bottom w:val="single" w:sz="8" w:color="4A7EBB"/>
            </w:tcBorders>
            <w:shd w:val="clear" w:color="auto" w:fill="DBE5F1"/>
          </w:tcPr>
          <w:p>
            <w:pPr>
              <w:spacing w:after="0"/>
              <w:rPr>
                <w:sz w:val="16"/>
                <w:szCs w:val="16"/>
                <w:color w:val="auto"/>
              </w:rPr>
            </w:pPr>
          </w:p>
        </w:tc>
      </w:tr>
      <w:tr>
        <w:trPr>
          <w:trHeight w:val="196"/>
        </w:trPr>
        <w:tc>
          <w:tcPr>
            <w:tcW w:w="2040" w:type="dxa"/>
            <w:vAlign w:val="bottom"/>
            <w:tcBorders>
              <w:bottom w:val="single" w:sz="8" w:color="808080"/>
            </w:tcBorders>
          </w:tcPr>
          <w:p>
            <w:pPr>
              <w:ind w:left="120"/>
              <w:spacing w:after="0"/>
              <w:rPr>
                <w:sz w:val="20"/>
                <w:szCs w:val="20"/>
                <w:color w:val="auto"/>
              </w:rPr>
            </w:pPr>
            <w:r>
              <w:rPr>
                <w:rFonts w:ascii="Arial" w:cs="Arial" w:eastAsia="Arial" w:hAnsi="Arial"/>
                <w:sz w:val="16"/>
                <w:szCs w:val="16"/>
                <w:b w:val="1"/>
                <w:bCs w:val="1"/>
                <w:color w:val="auto"/>
              </w:rPr>
              <w:t>Morris Goldfarb</w:t>
            </w:r>
          </w:p>
        </w:tc>
        <w:tc>
          <w:tcPr>
            <w:tcW w:w="1560" w:type="dxa"/>
            <w:vAlign w:val="bottom"/>
            <w:tcBorders>
              <w:bottom w:val="single" w:sz="8" w:color="808080"/>
            </w:tcBorders>
          </w:tcPr>
          <w:p>
            <w:pPr>
              <w:jc w:val="center"/>
              <w:ind w:left="119"/>
              <w:spacing w:after="0"/>
              <w:rPr>
                <w:sz w:val="20"/>
                <w:szCs w:val="20"/>
                <w:color w:val="auto"/>
              </w:rPr>
            </w:pPr>
            <w:r>
              <w:rPr>
                <w:rFonts w:ascii="Arial" w:cs="Arial" w:eastAsia="Arial" w:hAnsi="Arial"/>
                <w:sz w:val="16"/>
                <w:szCs w:val="16"/>
                <w:color w:val="auto"/>
                <w:w w:val="99"/>
              </w:rPr>
              <w:t>—</w:t>
            </w:r>
          </w:p>
        </w:tc>
        <w:tc>
          <w:tcPr>
            <w:tcW w:w="1440" w:type="dxa"/>
            <w:vAlign w:val="bottom"/>
            <w:tcBorders>
              <w:bottom w:val="single" w:sz="8" w:color="808080"/>
            </w:tcBorders>
          </w:tcPr>
          <w:p>
            <w:pPr>
              <w:jc w:val="center"/>
              <w:ind w:left="99"/>
              <w:spacing w:after="0"/>
              <w:rPr>
                <w:sz w:val="20"/>
                <w:szCs w:val="20"/>
                <w:color w:val="auto"/>
              </w:rPr>
            </w:pPr>
            <w:r>
              <w:rPr>
                <w:rFonts w:ascii="Arial" w:cs="Arial" w:eastAsia="Arial" w:hAnsi="Arial"/>
                <w:sz w:val="16"/>
                <w:szCs w:val="16"/>
                <w:color w:val="auto"/>
              </w:rPr>
              <w:t>100,000</w:t>
            </w:r>
          </w:p>
        </w:tc>
        <w:tc>
          <w:tcPr>
            <w:tcW w:w="24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rPr>
              <w:t>(1)</w:t>
            </w:r>
          </w:p>
        </w:tc>
        <w:tc>
          <w:tcPr>
            <w:tcW w:w="1260" w:type="dxa"/>
            <w:vAlign w:val="bottom"/>
            <w:tcBorders>
              <w:bottom w:val="single" w:sz="8" w:color="808080"/>
            </w:tcBorders>
          </w:tcPr>
          <w:p>
            <w:pPr>
              <w:jc w:val="right"/>
              <w:ind w:right="239"/>
              <w:spacing w:after="0"/>
              <w:rPr>
                <w:sz w:val="20"/>
                <w:szCs w:val="20"/>
                <w:color w:val="auto"/>
              </w:rPr>
            </w:pPr>
            <w:r>
              <w:rPr>
                <w:rFonts w:ascii="Arial" w:cs="Arial" w:eastAsia="Arial" w:hAnsi="Arial"/>
                <w:sz w:val="16"/>
                <w:szCs w:val="16"/>
                <w:color w:val="auto"/>
              </w:rPr>
              <w:t>395,238</w:t>
            </w:r>
          </w:p>
        </w:tc>
        <w:tc>
          <w:tcPr>
            <w:tcW w:w="280" w:type="dxa"/>
            <w:vAlign w:val="bottom"/>
            <w:tcBorders>
              <w:bottom w:val="single" w:sz="8" w:color="808080"/>
            </w:tcBorders>
          </w:tcPr>
          <w:p>
            <w:pPr>
              <w:jc w:val="right"/>
              <w:ind w:right="44"/>
              <w:spacing w:after="0"/>
              <w:rPr>
                <w:sz w:val="20"/>
                <w:szCs w:val="20"/>
                <w:color w:val="auto"/>
              </w:rPr>
            </w:pPr>
            <w:r>
              <w:rPr>
                <w:rFonts w:ascii="Arial" w:cs="Arial" w:eastAsia="Arial" w:hAnsi="Arial"/>
                <w:sz w:val="13"/>
                <w:szCs w:val="13"/>
                <w:color w:val="auto"/>
                <w:w w:val="87"/>
              </w:rPr>
              <w:t>(2)</w:t>
            </w:r>
          </w:p>
        </w:tc>
        <w:tc>
          <w:tcPr>
            <w:tcW w:w="1220" w:type="dxa"/>
            <w:vAlign w:val="bottom"/>
            <w:tcBorders>
              <w:bottom w:val="single" w:sz="8" w:color="808080"/>
            </w:tcBorders>
          </w:tcPr>
          <w:p>
            <w:pPr>
              <w:ind w:left="48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808080"/>
            </w:tcBorders>
          </w:tcPr>
          <w:p>
            <w:pPr>
              <w:spacing w:after="0"/>
              <w:rPr>
                <w:sz w:val="17"/>
                <w:szCs w:val="17"/>
                <w:color w:val="auto"/>
              </w:rPr>
            </w:pPr>
          </w:p>
        </w:tc>
        <w:tc>
          <w:tcPr>
            <w:tcW w:w="1360" w:type="dxa"/>
            <w:vAlign w:val="bottom"/>
            <w:tcBorders>
              <w:bottom w:val="single" w:sz="8" w:color="808080"/>
            </w:tcBorders>
          </w:tcPr>
          <w:p>
            <w:pPr>
              <w:jc w:val="right"/>
              <w:ind w:right="319"/>
              <w:spacing w:after="0"/>
              <w:rPr>
                <w:sz w:val="20"/>
                <w:szCs w:val="20"/>
                <w:color w:val="auto"/>
              </w:rPr>
            </w:pPr>
            <w:r>
              <w:rPr>
                <w:rFonts w:ascii="Arial" w:cs="Arial" w:eastAsia="Arial" w:hAnsi="Arial"/>
                <w:sz w:val="16"/>
                <w:szCs w:val="16"/>
                <w:color w:val="auto"/>
              </w:rPr>
              <w:t>4,501,397</w:t>
            </w:r>
          </w:p>
        </w:tc>
        <w:tc>
          <w:tcPr>
            <w:tcW w:w="18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w w:val="87"/>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4274820</wp:posOffset>
            </wp:positionH>
            <wp:positionV relativeFrom="paragraph">
              <wp:posOffset>-145415</wp:posOffset>
            </wp:positionV>
            <wp:extent cx="8255" cy="14605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255" cy="146050"/>
                    </a:xfrm>
                    <a:prstGeom prst="rect">
                      <a:avLst/>
                    </a:prstGeom>
                    <a:noFill/>
                  </pic:spPr>
                </pic:pic>
              </a:graphicData>
            </a:graphic>
          </wp:anchor>
        </w:drawing>
        <w:drawing>
          <wp:anchor simplePos="0" relativeHeight="251657728" behindDoc="1" locked="0" layoutInCell="0" allowOverlap="1">
            <wp:simplePos x="0" y="0"/>
            <wp:positionH relativeFrom="column">
              <wp:posOffset>3323590</wp:posOffset>
            </wp:positionH>
            <wp:positionV relativeFrom="paragraph">
              <wp:posOffset>-145415</wp:posOffset>
            </wp:positionV>
            <wp:extent cx="8890" cy="14605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890" cy="146050"/>
                    </a:xfrm>
                    <a:prstGeom prst="rect">
                      <a:avLst/>
                    </a:prstGeom>
                    <a:noFill/>
                  </pic:spPr>
                </pic:pic>
              </a:graphicData>
            </a:graphic>
          </wp:anchor>
        </w:drawing>
      </w:r>
    </w:p>
    <w:p>
      <w:pPr>
        <w:spacing w:after="0" w:line="168" w:lineRule="exact"/>
        <w:rPr>
          <w:sz w:val="20"/>
          <w:szCs w:val="20"/>
          <w:color w:val="auto"/>
        </w:rPr>
      </w:pPr>
    </w:p>
    <w:p>
      <w:pPr>
        <w:ind w:left="340" w:hanging="332"/>
        <w:spacing w:after="0"/>
        <w:tabs>
          <w:tab w:leader="none" w:pos="3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Amount has been reported as “All Other Compensation” in the Fiscal 2026 Summary Compensation Table.</w:t>
      </w:r>
    </w:p>
    <w:p>
      <w:pPr>
        <w:spacing w:after="0" w:line="194" w:lineRule="exact"/>
        <w:rPr>
          <w:rFonts w:ascii="Arial" w:cs="Arial" w:eastAsia="Arial" w:hAnsi="Arial"/>
          <w:sz w:val="16"/>
          <w:szCs w:val="16"/>
          <w:color w:val="auto"/>
        </w:rPr>
      </w:pPr>
    </w:p>
    <w:p>
      <w:pPr>
        <w:jc w:val="both"/>
        <w:ind w:left="340" w:hanging="332"/>
        <w:spacing w:after="0" w:line="256" w:lineRule="auto"/>
        <w:tabs>
          <w:tab w:leader="none" w:pos="3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Since G-III does not pay above market interest or provide any other preference to Morris Goldfarb, these amounts are not included in his compensation as reported in the Summary Compensation Table for those years. Purchases and sales of securities are recorded on a settlement date basis. Interest income compounds daily and is credited monthly on an accrual basis, and dividends are recorded on a payment date basis. Aggregate earnings (loss) includes the plan’s gains and losses on investments bought and sold, as well as held during the year.</w:t>
      </w:r>
    </w:p>
    <w:p>
      <w:pPr>
        <w:spacing w:after="0" w:line="152" w:lineRule="exact"/>
        <w:rPr>
          <w:rFonts w:ascii="Arial" w:cs="Arial" w:eastAsia="Arial" w:hAnsi="Arial"/>
          <w:sz w:val="16"/>
          <w:szCs w:val="16"/>
          <w:color w:val="auto"/>
        </w:rPr>
      </w:pPr>
    </w:p>
    <w:p>
      <w:pPr>
        <w:ind w:left="340" w:hanging="332"/>
        <w:spacing w:after="0" w:line="286" w:lineRule="auto"/>
        <w:tabs>
          <w:tab w:leader="none" w:pos="3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Reflects the aggregate amount of contributions by G-III for Morris Goldfarb during his career with G-III plus the investment earnings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262255</wp:posOffset>
            </wp:positionV>
            <wp:extent cx="629221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288925</wp:posOffset>
            </wp:positionH>
            <wp:positionV relativeFrom="paragraph">
              <wp:posOffset>313690</wp:posOffset>
            </wp:positionV>
            <wp:extent cx="265430" cy="14541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65430" cy="14541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ind w:left="280" w:hanging="271"/>
        <w:spacing w:after="0"/>
        <w:tabs>
          <w:tab w:leader="none" w:pos="280" w:val="left"/>
        </w:tabs>
        <w:numPr>
          <w:ilvl w:val="0"/>
          <w:numId w:val="77"/>
        </w:numPr>
        <w:rPr>
          <w:rFonts w:ascii="Arial" w:cs="Arial" w:eastAsia="Arial" w:hAnsi="Arial"/>
          <w:sz w:val="20"/>
          <w:szCs w:val="20"/>
          <w:b w:val="1"/>
          <w:bCs w:val="1"/>
          <w:color w:val="4A7EBB"/>
        </w:rPr>
      </w:pPr>
      <w:r>
        <w:rPr>
          <w:rFonts w:ascii="Arial" w:cs="Arial" w:eastAsia="Arial" w:hAnsi="Arial"/>
          <w:sz w:val="20"/>
          <w:szCs w:val="20"/>
          <w:color w:val="80808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356235</wp:posOffset>
            </wp:positionV>
            <wp:extent cx="6292215"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17780</wp:posOffset>
            </wp:positionV>
            <wp:extent cx="629221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3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POTENTIAL PAYMENTS UPON TERMINATION OR CHANGE-IN-CONTROL</w:t>
      </w:r>
    </w:p>
    <w:p>
      <w:pPr>
        <w:spacing w:after="0" w:line="17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have entered into employment agreements with each of Morris Goldfarb, Sammy Aaron, Jeffrey Goldfarb and Dana Perlman, and executive transition agreements with each of Neal Nackman and Jeffrey Goldfarb, which require us to make payments and provide benefits to them in the event of a termination of employment in connection with a change in control or in certain other circumstances.</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4A7EBB"/>
        </w:rPr>
        <w:t>SEVERANCE AND CHANGE IN CONTROL ARRANGEMENTS WITH MORRIS GOLDFARB</w:t>
      </w:r>
    </w:p>
    <w:p>
      <w:pPr>
        <w:spacing w:after="0" w:line="18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the event we terminate Morris Goldfarb’s employment for cause (as defined in his employment agreement) or Morris Goldfarb voluntarily resigns without good reason (as defined in his employment agreement), Morris Goldfarb will not be entitled to any severance or other compensation of any kind following the effective date of such termination, other than such portion of base salary, pro rata annual cash incentive and other compensation accrued through the date of the termination.</w:t>
      </w:r>
    </w:p>
    <w:p>
      <w:pPr>
        <w:spacing w:after="0" w:line="17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the event we terminate Morris Goldfarb’s employment without cause, or Morris Goldfarb terminates his employment for good reason, Morris Goldfarb will be entitled to receive a lump sum cash severance equal to 2.0 times his then current base salary and 2.0 times his target bonus. If such termination is effectuated after the occurrence of a change in control (as defined in the employment agreement), then, in lieu of the payments described in the preceding sentence, Morris Goldfarb will be entitled to receive a formula-based lump sum cash payment determined with reference to Section 280G of the Code, plus three years of employee benefit continuation. In general, the formula-based cash severance payment would be an amount equal to 2.99 times the average of Morris Goldfarb’s annual compensation for the preceding five years. If Morris Goldfarb’s employment is terminated due to his death, Morris Goldfarb’s estate will be entitled to receive for a period of twelve months his then current salary and will be eligible to receive annual cash incentive compensation pro-rated according to the number of days of employment in the fiscal year of his death. In the event of his termination due to disability during the term, he will receive 50% of salary for the remaining term of the employment agreement.</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4A7EBB"/>
        </w:rPr>
        <w:t>SEVERANCE AND CHANGE IN CONTROL ARRANGEMENTS WITH SAMMY AARON</w:t>
      </w:r>
    </w:p>
    <w:p>
      <w:pPr>
        <w:spacing w:after="0" w:line="17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If we terminate Sammy Aaron’s employment for justifiable cause (as defined in his employment agreement) or Sammy Aaron voluntarily resigns without good reason (as defined in his employment agreement), Sammy Aaron will not be entitled to any severance or other compensation of any kind following the effective date of such termination, other than such portion of base salary and other compensation accrued through the date of the termination.</w:t>
      </w:r>
    </w:p>
    <w:p>
      <w:pPr>
        <w:spacing w:after="0" w:line="17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the event Sammy Aaron’s employment is terminated without justifiable cause or by Sammy Aaron for cause or good reason, Sammy Aaron will be entitled to receive (x) his then current annual base salary payable for two (2) years thereafter in equal payroll installments, plus (y) his target bonus for the fiscal year in which his employment terminates and for the following fiscal year, in each case payable at the same time such target bonus would have been paid had Sammy Aaron’s employment not terminated. However, if a change in control (as defined in the employment agreement) occurs and Sammy Aaron is terminated without justifiable cause, or if he resigns for cause or good reason, within two years of the change in control, he will be entitled to cash severance of an amount equal to 2.0 times his five-year average annual compensation as reported on his form W-2 in equal periodic payroll installments during the twenty-four months after such termination date. In addition, Sammy Aaron will be entitled to receive continuing health benefits for up to 24 months. Our obligation to pay such severance and benefits will be conditioned upon Sammy Aaron’s executing a general release and his continuing to comply with the non-competition and other restrictive covenants contained in his agreement. If Sammy Aaron’s employment agreement is terminated due to his death, Sammy Aaron’s estate will be entitled to receive the base salary for a period of twelve months of his then current salary and will be eligible to receive annual cash incentive compensation pro-rated according to the number of days of employment in the fiscal year of his death. In the event of his termination due to disability during the term, he will receive 50% of salary for the remaining term of the employment agreement.</w:t>
      </w:r>
    </w:p>
    <w:p>
      <w:pPr>
        <w:spacing w:after="0" w:line="188"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Sammy Aaron has agreed that, for two years following the termination of his employment (or for a shorter period under certain circumstances following a Change in Control) he will not, directly or indirectly, (a) compete with any business of G-III,</w:t>
      </w:r>
    </w:p>
    <w:p>
      <w:pPr>
        <w:jc w:val="both"/>
        <w:ind w:firstLine="8"/>
        <w:spacing w:after="0" w:line="242" w:lineRule="auto"/>
        <w:tabs>
          <w:tab w:leader="none" w:pos="283"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interfere with G-III’s business relationships, or (c) solicit or hire G-III employees. In addition, Sammy Aaron has agreed that at any time following the termination of his employment, he will not disclose confidential information (as defined in the employment agreement) of G-III acquired during his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280035</wp:posOffset>
            </wp:positionV>
            <wp:extent cx="629221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7560"/>
        <w:spacing w:after="0"/>
        <w:rPr>
          <w:sz w:val="20"/>
          <w:szCs w:val="20"/>
          <w:color w:val="auto"/>
        </w:rPr>
      </w:pPr>
      <w:r>
        <w:rPr>
          <w:rFonts w:ascii="Arial" w:cs="Arial" w:eastAsia="Arial" w:hAnsi="Arial"/>
          <w:sz w:val="16"/>
          <w:szCs w:val="16"/>
          <w:color w:val="auto"/>
        </w:rPr>
        <w:t xml:space="preserve">2026 PROXY STATEMENT </w:t>
      </w:r>
      <w:r>
        <w:rPr>
          <w:rFonts w:ascii="Arial" w:cs="Arial" w:eastAsia="Arial" w:hAnsi="Arial"/>
          <w:sz w:val="19"/>
          <w:szCs w:val="19"/>
          <w:color w:val="808080"/>
        </w:rPr>
        <w:t>/</w:t>
      </w:r>
      <w:r>
        <w:rPr>
          <w:rFonts w:ascii="Arial" w:cs="Arial" w:eastAsia="Arial" w:hAnsi="Arial"/>
          <w:sz w:val="16"/>
          <w:szCs w:val="16"/>
          <w:color w:val="auto"/>
        </w:rPr>
        <w:t xml:space="preserve"> </w:t>
      </w:r>
      <w:r>
        <w:rPr>
          <w:rFonts w:ascii="Arial" w:cs="Arial" w:eastAsia="Arial" w:hAnsi="Arial"/>
          <w:sz w:val="19"/>
          <w:szCs w:val="19"/>
          <w:b w:val="1"/>
          <w:bCs w:val="1"/>
          <w:color w:val="4A7EBB"/>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365125</wp:posOffset>
            </wp:positionV>
            <wp:extent cx="6292215" cy="260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17780</wp:posOffset>
            </wp:positionV>
            <wp:extent cx="624903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249035"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4A7EBB"/>
        </w:rPr>
        <w:t>SEVERANCE AND CHANGE IN CONTROL ARRANGEMENTS WITH NEAL NACKMAN</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the event that Neal Nackman is terminated without cause (as defined in his severance letter agreement), Neal Nackman will be entitled to severance payments equal to one year of benefits previously provided, salary and bonus (based on the average of his bonus in the two years prior to termination).</w:t>
      </w:r>
    </w:p>
    <w:p>
      <w:pPr>
        <w:spacing w:after="0" w:line="16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Neal Nackman is also a party to an executive transition agreement. If Neal Nackman’s employment is terminated without cause or for good reason within three months before or two years after a change in control (as such terms are defined in his executive transition agreement), then, subject to timely delivery of a general release, he will be entitled to receive cash separation pay in an amount equal to 1.5 times the sum of (a) his highest annual salary in effect during the one-year period before the termination of his employment and (b) the average annual cash bonus he earned during our two fiscal years before the fiscal year of his termination of employment. The cash separation pay, as so determined, will be payable over the 18-month period following termination of employment in accordance with normal payroll practices. In addition to the cash separation payments, Neal Nackman will be able to receive continuing group health plan benefits on a subsidized basis. The cash separation payments will be reduced if and to the extent necessary to ensure that such amount, when added to other payments and the value of other benefits Neal Nackman may receive under other plans and agreements (including, for example, the Section 280G value of accelerated vesting of outstanding equity awards), is not greater than the Section 280G threshold amount (generally, three times average annual compensation for the five years preceding the year in which a change in control occurs).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4A7EBB"/>
        </w:rPr>
        <w:t>SEVERANCE AND CHANGE IN CONTROL ARRANGEMENTS WITH JEFFREY GOLDFARB</w:t>
      </w:r>
    </w:p>
    <w:p>
      <w:pPr>
        <w:spacing w:after="0" w:line="18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If we terminate Jeffrey Goldfarb’s employment for justifiable cause (as defined in his employment agreement) or Jeffrey Goldfarb voluntarily resigns without good reason (as defined in his employment agreement), Jeffrey Goldfarb will not be entitled to any severance or other compensation of any kind following the effective date of such termination, other than such portion of base salary and other compensation accrued through the date of the termination.</w:t>
      </w:r>
    </w:p>
    <w:p>
      <w:pPr>
        <w:spacing w:after="0" w:line="17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If during the term, the Company terminates Jeffrey Goldfarb’s employment without justifiable cause (including if the Company gives written notice to Jeffrey Goldfarb that the employment term will not be extended further) or if he terminates his employment for good reason (each as defined in his employment agreement), then Jeffrey Goldfarb will be entitled to receive his annual salary, reimbursement of expenses, any benefits and any bonus accrued through the date of termination, plus a severance of his annual salary, annual bonus and benefits for a period of 24 months (conditioned upon Jeffrey Goldfarb’s general release and compliance with non-compete, non-solicitation and confidentiality). For the purposes of determining the severance pay, Jeffrey Goldfarb’s applicable salary will be the highest annual rate of salary in effect during the one-year period preceding the termination date, and Jeffrey Goldfarb’s applicable annual bonus will be an annual bonus for each 12-month period during such severance period in an amount equal to the greater of (i) the average annual cash bonus earned by Jeffrey Goldfarb during the two fiscal years immediately preceding the fiscal year in which the employment terminates and (ii) an annual bonus amount of $500,000 (in addition to his salary compensation for such period).</w:t>
      </w:r>
    </w:p>
    <w:p>
      <w:pPr>
        <w:spacing w:after="0" w:line="18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the event of Jeffrey Goldfarb’s death during the term, the estate of Jeffrey Goldfarb shall be entitled to receive any unpaid portion of his annual salary as has been accrued through the date of the death, any unpaid annual bonus attributable to the entire fiscal year in which such termination occurs, any unpaid benefits and any unpaid reimbursable expenses. If the termination is due to disability during the term, Jeffrey Goldfarb is entitled to any unpaid portion of his annual salary as has accrued through the date of the termination, any unpaid annual bonus attributable to the entire fiscal year in which such termination occurs, any unpaid benefits and any unpaid reimbursable expenses.</w:t>
      </w:r>
    </w:p>
    <w:p>
      <w:pPr>
        <w:spacing w:after="0" w:line="179"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Executive Transition Agreement provides that if a change in control (as defined therein) occurs and, during the three months before a change in control or the two years after a change in control, Jeffrey Goldfarb is terminated by the Company without cause (as defined therein) or if Jeffrey Goldfarb resigns for good reason (as defined therein), he will be entitled to continuation of specified benefits and periodic severance payments totaling 2.0 times the sum of (i) his highest annual salary in effect during the one-year period before his termination of employment, plus (ii) the greater of (a) the average annual cash bonus he earned during the two fiscal years before the fiscal year of his termination of employment and (b) an annual bonus amount of $500,000.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283210</wp:posOffset>
            </wp:positionV>
            <wp:extent cx="629221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288925</wp:posOffset>
            </wp:positionH>
            <wp:positionV relativeFrom="paragraph">
              <wp:posOffset>334645</wp:posOffset>
            </wp:positionV>
            <wp:extent cx="265430" cy="14605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65430" cy="14605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20"/>
          <w:szCs w:val="20"/>
          <w:b w:val="1"/>
          <w:bCs w:val="1"/>
          <w:color w:val="4A7EBB"/>
        </w:rPr>
        <w:t xml:space="preserve">46 </w:t>
      </w:r>
      <w:r>
        <w:rPr>
          <w:rFonts w:ascii="Arial" w:cs="Arial" w:eastAsia="Arial" w:hAnsi="Arial"/>
          <w:sz w:val="20"/>
          <w:szCs w:val="20"/>
          <w:color w:val="80808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17780</wp:posOffset>
            </wp:positionV>
            <wp:extent cx="629221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4A7EBB"/>
        </w:rPr>
        <w:t>SEVERANCE AND CHANGE IN CONTROL ARRANGEMENTS WITH DANA PERLMAN</w:t>
      </w:r>
    </w:p>
    <w:p>
      <w:pPr>
        <w:spacing w:after="0" w:line="17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If we terminate Dana Perlman’s employment for justifiable cause or Dana Perlman voluntarily resigns without good reason (each as defined in her employment agreement), Dana Perlman will not be entitled to any severance or other compensation of any kind following the effective date of such termination, other than such portion of base salary and other compensation accrued through the date of the termination.</w:t>
      </w:r>
    </w:p>
    <w:p>
      <w:pPr>
        <w:spacing w:after="0" w:line="16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If, during the term, the Company terminates Dana Perlman’s employment without justifiable cause or if she terminates her employment for good reason (each as defined in her employment agreement), then Dana Perlman will be entitled to receive her annual salary, reimbursement of expenses and any bonus accrued through the date of termination, plus a severance of the salary and benefits for a period of 12 months (conditioned upon Dana Perlman’s general release and compliance of the 12-month non-compete, non-solicitation and confidentiality restrictions).</w:t>
      </w:r>
    </w:p>
    <w:p>
      <w:pPr>
        <w:spacing w:after="0" w:line="163"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the event of Dana Perlman’s death during the term, the estate of Dana Perlman shall be entitled to receive any unpaid portion of her annual salary through the date of the death, any unpaid annual bonus attributable to the prior fiscal year, any unpaid benefits and any unpaid reimbursable expenses. If the termination is due to disability during the term, Dana Perlman is entitled to any unpaid portion of her annual salary through the date of the termination, any unpaid annual bonus attributable to the prior fiscal year (pro-rated based on the days in the prior fiscal year when she was not on leave due to disability), any unpaid benefits and any unpaid reimbursable expenses.</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b w:val="1"/>
          <w:bCs w:val="1"/>
          <w:color w:val="4A7EBB"/>
        </w:rPr>
        <w:t>ACCELERATION OF VESTING UPON TERMINATION OR CHANGE IN CONTROL</w:t>
      </w:r>
    </w:p>
    <w:p>
      <w:pPr>
        <w:spacing w:after="0" w:line="18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There are no agreements with the Named Executive Officers that provide for an automatic acceleration of vesting of equity awards upon termination of employment for any reason or upon the occurrence of a change in control. Under the terms of our equity incentive plans, however, vesting of any outstanding equity awards that are assumed by the acquiring company will accelerate upon an involuntary termination of employment within two years after the date of the change in control—a so-called “double trigger” vesting condition. If an equity award is not assumed by the acquiring company, then, under the terms of the plans, vesting will accelerate as part of the change in control transaction.</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4A7EBB"/>
        </w:rPr>
        <w:t>ESTIMATED PAYOUTS ON TERMINATION OF EMPLOYMENT</w:t>
      </w:r>
    </w:p>
    <w:p>
      <w:pPr>
        <w:spacing w:after="0" w:line="17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following tables disclose the estimated payments and benefits that would be provided to each of Morris Goldfarb, Sammy Aaron, Neal Nackman, Jeffrey Goldfarb and Dana Perlman, applying the assumptions that each of the triggering events described in their respective employment or executive transition agreements took place on January 31, 2026 and their last day of employment was January 31, 2026.</w:t>
      </w:r>
    </w:p>
    <w:p>
      <w:pPr>
        <w:spacing w:after="0" w:line="17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These amounts are in addition to benefits payable generally to our salaried employees, such as distributions under G-III’s 401(k) plan, disability benefits and accrued vacation pay.</w:t>
      </w:r>
    </w:p>
    <w:p>
      <w:pPr>
        <w:spacing w:after="0" w:line="15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nature and amount of separation payments and benefits provided upon the events discussed below are dependent upon a number of factors. Accordingly, any actual amounts paid or distributed may be different from those set forth below. Factors that could affect these amounts include the timing during the year of any such event, our stock price and the executive’s 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276860</wp:posOffset>
            </wp:positionV>
            <wp:extent cx="629221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ind w:left="7560"/>
        <w:spacing w:after="0"/>
        <w:rPr>
          <w:sz w:val="20"/>
          <w:szCs w:val="20"/>
          <w:color w:val="auto"/>
        </w:rPr>
      </w:pPr>
      <w:r>
        <w:rPr>
          <w:rFonts w:ascii="Arial" w:cs="Arial" w:eastAsia="Arial" w:hAnsi="Arial"/>
          <w:sz w:val="16"/>
          <w:szCs w:val="16"/>
          <w:color w:val="auto"/>
        </w:rPr>
        <w:t xml:space="preserve">2026 PROXY STATEMENT </w:t>
      </w:r>
      <w:r>
        <w:rPr>
          <w:rFonts w:ascii="Arial" w:cs="Arial" w:eastAsia="Arial" w:hAnsi="Arial"/>
          <w:sz w:val="19"/>
          <w:szCs w:val="19"/>
          <w:color w:val="808080"/>
        </w:rPr>
        <w:t>/</w:t>
      </w:r>
      <w:r>
        <w:rPr>
          <w:rFonts w:ascii="Arial" w:cs="Arial" w:eastAsia="Arial" w:hAnsi="Arial"/>
          <w:sz w:val="16"/>
          <w:szCs w:val="16"/>
          <w:color w:val="auto"/>
        </w:rPr>
        <w:t xml:space="preserve"> </w:t>
      </w:r>
      <w:r>
        <w:rPr>
          <w:rFonts w:ascii="Arial" w:cs="Arial" w:eastAsia="Arial" w:hAnsi="Arial"/>
          <w:sz w:val="19"/>
          <w:szCs w:val="19"/>
          <w:b w:val="1"/>
          <w:bCs w:val="1"/>
          <w:color w:val="4A7EBB"/>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365125</wp:posOffset>
            </wp:positionV>
            <wp:extent cx="6292215" cy="254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17780</wp:posOffset>
            </wp:positionV>
            <wp:extent cx="624903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249035" cy="8255"/>
                    </a:xfrm>
                    <a:prstGeom prst="rect">
                      <a:avLst/>
                    </a:prstGeom>
                    <a:noFill/>
                  </pic:spPr>
                </pic:pic>
              </a:graphicData>
            </a:graphic>
          </wp:anchor>
        </w:drawing>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595959"/>
        </w:rPr>
        <w:t>MORRIS GOLDFARB, CHAIRMAN AND CHIEF EXECUTIVE OFFICER</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600" w:type="dxa"/>
            <w:vAlign w:val="bottom"/>
            <w:tcBorders>
              <w:top w:val="single" w:sz="8" w:color="4A7EBB"/>
            </w:tcBorders>
            <w:shd w:val="clear" w:color="auto" w:fill="DBE5F1"/>
          </w:tcPr>
          <w:p>
            <w:pPr>
              <w:spacing w:after="0"/>
              <w:rPr>
                <w:sz w:val="17"/>
                <w:szCs w:val="17"/>
                <w:color w:val="auto"/>
              </w:rPr>
            </w:pPr>
          </w:p>
        </w:tc>
        <w:tc>
          <w:tcPr>
            <w:tcW w:w="2760" w:type="dxa"/>
            <w:vAlign w:val="bottom"/>
            <w:tcBorders>
              <w:top w:val="single" w:sz="8" w:color="4A7EBB"/>
            </w:tcBorders>
            <w:shd w:val="clear" w:color="auto" w:fill="DBE5F1"/>
          </w:tcPr>
          <w:p>
            <w:pPr>
              <w:jc w:val="center"/>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color w:val="auto"/>
              </w:rPr>
              <w:t xml:space="preserve">Termination without Cause or </w:t>
            </w:r>
            <w:r>
              <w:rPr>
                <w:rFonts w:ascii="Arial" w:cs="Arial" w:eastAsia="Arial" w:hAnsi="Arial"/>
                <w:sz w:val="16"/>
                <w:szCs w:val="16"/>
                <w:color w:val="auto"/>
              </w:rPr>
              <w:t>​</w:t>
            </w:r>
          </w:p>
        </w:tc>
        <w:tc>
          <w:tcPr>
            <w:tcW w:w="220" w:type="dxa"/>
            <w:vAlign w:val="bottom"/>
            <w:tcBorders>
              <w:top w:val="single" w:sz="8" w:color="4A7EBB"/>
            </w:tcBorders>
            <w:shd w:val="clear" w:color="auto" w:fill="DBE5F1"/>
          </w:tcPr>
          <w:p>
            <w:pPr>
              <w:ind w:left="100"/>
              <w:spacing w:after="0"/>
              <w:rPr>
                <w:sz w:val="20"/>
                <w:szCs w:val="20"/>
                <w:color w:val="auto"/>
              </w:rPr>
            </w:pPr>
            <w:r>
              <w:rPr>
                <w:rFonts w:ascii="Arial" w:cs="Arial" w:eastAsia="Arial" w:hAnsi="Arial"/>
                <w:sz w:val="16"/>
                <w:szCs w:val="16"/>
                <w:color w:val="auto"/>
              </w:rPr>
              <w:t>​</w:t>
            </w:r>
          </w:p>
        </w:tc>
        <w:tc>
          <w:tcPr>
            <w:tcW w:w="3140" w:type="dxa"/>
            <w:vAlign w:val="bottom"/>
            <w:tcBorders>
              <w:top w:val="single" w:sz="8" w:color="4A7EBB"/>
            </w:tcBorders>
            <w:shd w:val="clear" w:color="auto" w:fill="DBE5F1"/>
          </w:tcPr>
          <w:p>
            <w:pPr>
              <w:jc w:val="center"/>
              <w:ind w:right="45"/>
              <w:spacing w:after="0"/>
              <w:rPr>
                <w:sz w:val="20"/>
                <w:szCs w:val="20"/>
                <w:color w:val="auto"/>
              </w:rPr>
            </w:pPr>
            <w:r>
              <w:rPr>
                <w:rFonts w:ascii="Arial" w:cs="Arial" w:eastAsia="Arial" w:hAnsi="Arial"/>
                <w:sz w:val="16"/>
                <w:szCs w:val="16"/>
                <w:b w:val="1"/>
                <w:bCs w:val="1"/>
                <w:color w:val="auto"/>
              </w:rPr>
              <w:t>Termination without Cause or</w:t>
            </w:r>
          </w:p>
        </w:tc>
        <w:tc>
          <w:tcPr>
            <w:tcW w:w="180" w:type="dxa"/>
            <w:vAlign w:val="bottom"/>
            <w:tcBorders>
              <w:top w:val="single" w:sz="8" w:color="4A7EBB"/>
            </w:tcBorders>
            <w:shd w:val="clear" w:color="auto" w:fill="DBE5F1"/>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3600" w:type="dxa"/>
            <w:vAlign w:val="bottom"/>
            <w:shd w:val="clear" w:color="auto" w:fill="DBE5F1"/>
          </w:tcPr>
          <w:p>
            <w:pPr>
              <w:spacing w:after="0"/>
              <w:rPr>
                <w:sz w:val="16"/>
                <w:szCs w:val="16"/>
                <w:color w:val="auto"/>
              </w:rPr>
            </w:pPr>
          </w:p>
        </w:tc>
        <w:tc>
          <w:tcPr>
            <w:tcW w:w="2760" w:type="dxa"/>
            <w:vAlign w:val="bottom"/>
            <w:shd w:val="clear" w:color="auto" w:fill="DBE5F1"/>
          </w:tcPr>
          <w:p>
            <w:pPr>
              <w:jc w:val="center"/>
              <w:spacing w:after="0"/>
              <w:rPr>
                <w:sz w:val="20"/>
                <w:szCs w:val="20"/>
                <w:color w:val="auto"/>
              </w:rPr>
            </w:pPr>
            <w:r>
              <w:rPr>
                <w:rFonts w:ascii="Arial" w:cs="Arial" w:eastAsia="Arial" w:hAnsi="Arial"/>
                <w:sz w:val="16"/>
                <w:szCs w:val="16"/>
                <w:b w:val="1"/>
                <w:bCs w:val="1"/>
                <w:color w:val="auto"/>
              </w:rPr>
              <w:t>Resignation for Cause</w:t>
            </w:r>
          </w:p>
        </w:tc>
        <w:tc>
          <w:tcPr>
            <w:tcW w:w="3540" w:type="dxa"/>
            <w:vAlign w:val="bottom"/>
            <w:gridSpan w:val="3"/>
            <w:shd w:val="clear" w:color="auto" w:fill="DBE5F1"/>
          </w:tcPr>
          <w:p>
            <w:pPr>
              <w:jc w:val="center"/>
              <w:ind w:right="13"/>
              <w:spacing w:after="0"/>
              <w:rPr>
                <w:sz w:val="20"/>
                <w:szCs w:val="20"/>
                <w:color w:val="auto"/>
              </w:rPr>
            </w:pPr>
            <w:r>
              <w:rPr>
                <w:rFonts w:ascii="Arial" w:cs="Arial" w:eastAsia="Arial" w:hAnsi="Arial"/>
                <w:sz w:val="16"/>
                <w:szCs w:val="16"/>
                <w:b w:val="1"/>
                <w:bCs w:val="1"/>
                <w:color w:val="auto"/>
              </w:rPr>
              <w:t>Resignation for Cause or Good Reason in</w:t>
            </w:r>
          </w:p>
        </w:tc>
      </w:tr>
      <w:tr>
        <w:trPr>
          <w:trHeight w:val="189"/>
        </w:trPr>
        <w:tc>
          <w:tcPr>
            <w:tcW w:w="20" w:type="dxa"/>
            <w:vAlign w:val="bottom"/>
          </w:tcPr>
          <w:p>
            <w:pPr>
              <w:spacing w:after="0"/>
              <w:rPr>
                <w:sz w:val="16"/>
                <w:szCs w:val="16"/>
                <w:color w:val="auto"/>
              </w:rPr>
            </w:pPr>
          </w:p>
        </w:tc>
        <w:tc>
          <w:tcPr>
            <w:tcW w:w="3600" w:type="dxa"/>
            <w:vAlign w:val="bottom"/>
            <w:tcBorders>
              <w:bottom w:val="single" w:sz="8" w:color="4A7EBB"/>
            </w:tcBorders>
            <w:shd w:val="clear" w:color="auto" w:fill="DBE5F1"/>
          </w:tcPr>
          <w:p>
            <w:pPr>
              <w:spacing w:after="0"/>
              <w:rPr>
                <w:sz w:val="16"/>
                <w:szCs w:val="16"/>
                <w:color w:val="auto"/>
              </w:rPr>
            </w:pPr>
          </w:p>
        </w:tc>
        <w:tc>
          <w:tcPr>
            <w:tcW w:w="2760" w:type="dxa"/>
            <w:vAlign w:val="bottom"/>
            <w:tcBorders>
              <w:bottom w:val="single" w:sz="8" w:color="4A7EBB"/>
            </w:tcBorders>
            <w:shd w:val="clear" w:color="auto" w:fill="DBE5F1"/>
          </w:tcPr>
          <w:p>
            <w:pPr>
              <w:jc w:val="center"/>
              <w:spacing w:after="0"/>
              <w:rPr>
                <w:sz w:val="20"/>
                <w:szCs w:val="20"/>
                <w:color w:val="auto"/>
              </w:rPr>
            </w:pPr>
            <w:r>
              <w:rPr>
                <w:rFonts w:ascii="Arial" w:cs="Arial" w:eastAsia="Arial" w:hAnsi="Arial"/>
                <w:sz w:val="16"/>
                <w:szCs w:val="16"/>
                <w:b w:val="1"/>
                <w:bCs w:val="1"/>
                <w:color w:val="auto"/>
              </w:rPr>
              <w:t>or Good Reason</w:t>
            </w:r>
          </w:p>
        </w:tc>
        <w:tc>
          <w:tcPr>
            <w:tcW w:w="220" w:type="dxa"/>
            <w:vAlign w:val="bottom"/>
            <w:tcBorders>
              <w:bottom w:val="single" w:sz="8" w:color="4A7EBB"/>
            </w:tcBorders>
            <w:shd w:val="clear" w:color="auto" w:fill="DBE5F1"/>
          </w:tcPr>
          <w:p>
            <w:pPr>
              <w:spacing w:after="0"/>
              <w:rPr>
                <w:sz w:val="16"/>
                <w:szCs w:val="16"/>
                <w:color w:val="auto"/>
              </w:rPr>
            </w:pPr>
          </w:p>
        </w:tc>
        <w:tc>
          <w:tcPr>
            <w:tcW w:w="3140" w:type="dxa"/>
            <w:vAlign w:val="bottom"/>
            <w:tcBorders>
              <w:bottom w:val="single" w:sz="8" w:color="4A7EBB"/>
            </w:tcBorders>
            <w:shd w:val="clear" w:color="auto" w:fill="DBE5F1"/>
          </w:tcPr>
          <w:p>
            <w:pPr>
              <w:jc w:val="center"/>
              <w:ind w:right="45"/>
              <w:spacing w:after="0"/>
              <w:rPr>
                <w:sz w:val="20"/>
                <w:szCs w:val="20"/>
                <w:color w:val="auto"/>
              </w:rPr>
            </w:pPr>
            <w:r>
              <w:rPr>
                <w:rFonts w:ascii="Arial" w:cs="Arial" w:eastAsia="Arial" w:hAnsi="Arial"/>
                <w:sz w:val="16"/>
                <w:szCs w:val="16"/>
                <w:b w:val="1"/>
                <w:bCs w:val="1"/>
                <w:color w:val="auto"/>
              </w:rPr>
              <w:t>Connection with a Change in Control</w:t>
            </w:r>
          </w:p>
        </w:tc>
        <w:tc>
          <w:tcPr>
            <w:tcW w:w="180" w:type="dxa"/>
            <w:vAlign w:val="bottom"/>
            <w:tcBorders>
              <w:bottom w:val="single" w:sz="8" w:color="4A7EBB"/>
            </w:tcBorders>
            <w:shd w:val="clear" w:color="auto" w:fill="DBE5F1"/>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3600" w:type="dxa"/>
            <w:vAlign w:val="bottom"/>
            <w:tcBorders>
              <w:bottom w:val="single" w:sz="8" w:color="4A7EBB"/>
            </w:tcBorders>
          </w:tcPr>
          <w:p>
            <w:pPr>
              <w:spacing w:after="0"/>
              <w:rPr>
                <w:sz w:val="20"/>
                <w:szCs w:val="20"/>
                <w:color w:val="auto"/>
              </w:rPr>
            </w:pPr>
            <w:r>
              <w:rPr>
                <w:rFonts w:ascii="Arial" w:cs="Arial" w:eastAsia="Arial" w:hAnsi="Arial"/>
                <w:sz w:val="16"/>
                <w:szCs w:val="16"/>
                <w:color w:val="auto"/>
              </w:rPr>
              <w:t>Cash Separation Payment(s)</w:t>
            </w:r>
          </w:p>
        </w:tc>
        <w:tc>
          <w:tcPr>
            <w:tcW w:w="2760" w:type="dxa"/>
            <w:vAlign w:val="bottom"/>
            <w:tcBorders>
              <w:bottom w:val="single" w:sz="8" w:color="4A7EBB"/>
            </w:tcBorders>
          </w:tcPr>
          <w:p>
            <w:pPr>
              <w:jc w:val="right"/>
              <w:ind w:right="3"/>
              <w:spacing w:after="0" w:line="195" w:lineRule="exact"/>
              <w:rPr>
                <w:sz w:val="20"/>
                <w:szCs w:val="20"/>
                <w:color w:val="auto"/>
              </w:rPr>
            </w:pPr>
            <w:r>
              <w:rPr>
                <w:rFonts w:ascii="Arial" w:cs="Arial" w:eastAsia="Arial" w:hAnsi="Arial"/>
                <w:sz w:val="13"/>
                <w:szCs w:val="13"/>
                <w:color w:val="auto"/>
              </w:rPr>
              <w:t xml:space="preserve">$10,773,846 </w:t>
            </w:r>
            <w:r>
              <w:rPr>
                <w:rFonts w:ascii="Arial" w:cs="Arial" w:eastAsia="Arial" w:hAnsi="Arial"/>
                <w:sz w:val="22"/>
                <w:szCs w:val="22"/>
                <w:color w:val="auto"/>
                <w:vertAlign w:val="superscript"/>
              </w:rPr>
              <w:t>(1)</w:t>
            </w:r>
          </w:p>
        </w:tc>
        <w:tc>
          <w:tcPr>
            <w:tcW w:w="220" w:type="dxa"/>
            <w:vAlign w:val="bottom"/>
            <w:tcBorders>
              <w:bottom w:val="single" w:sz="8" w:color="4A7EBB"/>
            </w:tcBorders>
          </w:tcPr>
          <w:p>
            <w:pPr>
              <w:spacing w:after="0"/>
              <w:rPr>
                <w:sz w:val="17"/>
                <w:szCs w:val="17"/>
                <w:color w:val="auto"/>
              </w:rPr>
            </w:pPr>
          </w:p>
        </w:tc>
        <w:tc>
          <w:tcPr>
            <w:tcW w:w="3320" w:type="dxa"/>
            <w:vAlign w:val="bottom"/>
            <w:tcBorders>
              <w:bottom w:val="single" w:sz="8" w:color="4A7EBB"/>
            </w:tcBorders>
            <w:gridSpan w:val="2"/>
          </w:tcPr>
          <w:p>
            <w:pPr>
              <w:jc w:val="right"/>
              <w:spacing w:after="0" w:line="195" w:lineRule="exact"/>
              <w:rPr>
                <w:sz w:val="20"/>
                <w:szCs w:val="20"/>
                <w:color w:val="auto"/>
              </w:rPr>
            </w:pPr>
            <w:r>
              <w:rPr>
                <w:rFonts w:ascii="Arial" w:cs="Arial" w:eastAsia="Arial" w:hAnsi="Arial"/>
                <w:sz w:val="13"/>
                <w:szCs w:val="13"/>
                <w:color w:val="auto"/>
              </w:rPr>
              <w:t xml:space="preserve">$39,638,234 </w:t>
            </w:r>
            <w:r>
              <w:rPr>
                <w:rFonts w:ascii="Arial" w:cs="Arial" w:eastAsia="Arial" w:hAnsi="Arial"/>
                <w:sz w:val="22"/>
                <w:szCs w:val="22"/>
                <w:color w:val="auto"/>
                <w:vertAlign w:val="superscript"/>
              </w:rPr>
              <w:t>(2)</w:t>
            </w:r>
          </w:p>
        </w:tc>
      </w:tr>
      <w:tr>
        <w:trPr>
          <w:trHeight w:val="196"/>
        </w:trPr>
        <w:tc>
          <w:tcPr>
            <w:tcW w:w="20" w:type="dxa"/>
            <w:vAlign w:val="bottom"/>
          </w:tcPr>
          <w:p>
            <w:pPr>
              <w:spacing w:after="0"/>
              <w:rPr>
                <w:sz w:val="17"/>
                <w:szCs w:val="17"/>
                <w:color w:val="auto"/>
              </w:rPr>
            </w:pPr>
          </w:p>
        </w:tc>
        <w:tc>
          <w:tcPr>
            <w:tcW w:w="3600" w:type="dxa"/>
            <w:vAlign w:val="bottom"/>
            <w:tcBorders>
              <w:bottom w:val="single" w:sz="8" w:color="4A7EBB"/>
            </w:tcBorders>
            <w:shd w:val="clear" w:color="auto" w:fill="F2F2F2"/>
          </w:tcPr>
          <w:p>
            <w:pPr>
              <w:spacing w:after="0"/>
              <w:rPr>
                <w:sz w:val="20"/>
                <w:szCs w:val="20"/>
                <w:color w:val="auto"/>
              </w:rPr>
            </w:pPr>
            <w:r>
              <w:rPr>
                <w:rFonts w:ascii="Arial" w:cs="Arial" w:eastAsia="Arial" w:hAnsi="Arial"/>
                <w:sz w:val="16"/>
                <w:szCs w:val="16"/>
                <w:color w:val="auto"/>
              </w:rPr>
              <w:t>Accelerated Vesting of Equity Awards</w:t>
            </w:r>
          </w:p>
        </w:tc>
        <w:tc>
          <w:tcPr>
            <w:tcW w:w="2760" w:type="dxa"/>
            <w:vAlign w:val="bottom"/>
            <w:tcBorders>
              <w:bottom w:val="single" w:sz="8" w:color="4A7EBB"/>
            </w:tcBorders>
            <w:shd w:val="clear" w:color="auto" w:fill="F2F2F2"/>
          </w:tcPr>
          <w:p>
            <w:pPr>
              <w:jc w:val="right"/>
              <w:ind w:right="223"/>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4A7EBB"/>
            </w:tcBorders>
            <w:shd w:val="clear" w:color="auto" w:fill="F2F2F2"/>
          </w:tcPr>
          <w:p>
            <w:pPr>
              <w:spacing w:after="0"/>
              <w:rPr>
                <w:sz w:val="17"/>
                <w:szCs w:val="17"/>
                <w:color w:val="auto"/>
              </w:rPr>
            </w:pPr>
          </w:p>
        </w:tc>
        <w:tc>
          <w:tcPr>
            <w:tcW w:w="3320" w:type="dxa"/>
            <w:vAlign w:val="bottom"/>
            <w:tcBorders>
              <w:bottom w:val="single" w:sz="8" w:color="4A7EBB"/>
            </w:tcBorders>
            <w:gridSpan w:val="2"/>
            <w:shd w:val="clear" w:color="auto" w:fill="F2F2F2"/>
          </w:tcPr>
          <w:p>
            <w:pPr>
              <w:jc w:val="right"/>
              <w:spacing w:after="0" w:line="195" w:lineRule="exact"/>
              <w:rPr>
                <w:sz w:val="20"/>
                <w:szCs w:val="20"/>
                <w:color w:val="auto"/>
              </w:rPr>
            </w:pPr>
            <w:r>
              <w:rPr>
                <w:rFonts w:ascii="Arial" w:cs="Arial" w:eastAsia="Arial" w:hAnsi="Arial"/>
                <w:sz w:val="13"/>
                <w:szCs w:val="13"/>
                <w:color w:val="auto"/>
              </w:rPr>
              <w:t xml:space="preserve">$43,185,120 </w:t>
            </w:r>
            <w:r>
              <w:rPr>
                <w:rFonts w:ascii="Arial" w:cs="Arial" w:eastAsia="Arial" w:hAnsi="Arial"/>
                <w:sz w:val="22"/>
                <w:szCs w:val="22"/>
                <w:color w:val="auto"/>
                <w:vertAlign w:val="superscript"/>
              </w:rPr>
              <w:t>(3)</w:t>
            </w:r>
          </w:p>
        </w:tc>
      </w:tr>
      <w:tr>
        <w:trPr>
          <w:trHeight w:val="196"/>
        </w:trPr>
        <w:tc>
          <w:tcPr>
            <w:tcW w:w="20" w:type="dxa"/>
            <w:vAlign w:val="bottom"/>
          </w:tcPr>
          <w:p>
            <w:pPr>
              <w:spacing w:after="0"/>
              <w:rPr>
                <w:sz w:val="17"/>
                <w:szCs w:val="17"/>
                <w:color w:val="auto"/>
              </w:rPr>
            </w:pPr>
          </w:p>
        </w:tc>
        <w:tc>
          <w:tcPr>
            <w:tcW w:w="3600" w:type="dxa"/>
            <w:vAlign w:val="bottom"/>
            <w:tcBorders>
              <w:bottom w:val="single" w:sz="8" w:color="4A7EBB"/>
            </w:tcBorders>
          </w:tcPr>
          <w:p>
            <w:pPr>
              <w:spacing w:after="0"/>
              <w:rPr>
                <w:sz w:val="20"/>
                <w:szCs w:val="20"/>
                <w:color w:val="auto"/>
              </w:rPr>
            </w:pPr>
            <w:r>
              <w:rPr>
                <w:rFonts w:ascii="Arial" w:cs="Arial" w:eastAsia="Arial" w:hAnsi="Arial"/>
                <w:sz w:val="16"/>
                <w:szCs w:val="16"/>
                <w:color w:val="auto"/>
              </w:rPr>
              <w:t>Value of Continuing Employee Benefits</w:t>
            </w:r>
          </w:p>
        </w:tc>
        <w:tc>
          <w:tcPr>
            <w:tcW w:w="2760" w:type="dxa"/>
            <w:vAlign w:val="bottom"/>
            <w:tcBorders>
              <w:bottom w:val="single" w:sz="8" w:color="4A7EBB"/>
            </w:tcBorders>
          </w:tcPr>
          <w:p>
            <w:pPr>
              <w:jc w:val="right"/>
              <w:ind w:right="223"/>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4A7EBB"/>
            </w:tcBorders>
          </w:tcPr>
          <w:p>
            <w:pPr>
              <w:spacing w:after="0"/>
              <w:rPr>
                <w:sz w:val="17"/>
                <w:szCs w:val="17"/>
                <w:color w:val="auto"/>
              </w:rPr>
            </w:pPr>
          </w:p>
        </w:tc>
        <w:tc>
          <w:tcPr>
            <w:tcW w:w="3140" w:type="dxa"/>
            <w:vAlign w:val="bottom"/>
            <w:tcBorders>
              <w:bottom w:val="single" w:sz="8" w:color="4A7EBB"/>
            </w:tcBorders>
          </w:tcPr>
          <w:p>
            <w:pPr>
              <w:jc w:val="right"/>
              <w:spacing w:after="0"/>
              <w:rPr>
                <w:sz w:val="20"/>
                <w:szCs w:val="20"/>
                <w:color w:val="auto"/>
              </w:rPr>
            </w:pPr>
            <w:r>
              <w:rPr>
                <w:rFonts w:ascii="Arial" w:cs="Arial" w:eastAsia="Arial" w:hAnsi="Arial"/>
                <w:sz w:val="15"/>
                <w:szCs w:val="15"/>
                <w:color w:val="auto"/>
              </w:rPr>
              <w:t>$78,833</w:t>
            </w:r>
          </w:p>
        </w:tc>
        <w:tc>
          <w:tcPr>
            <w:tcW w:w="180" w:type="dxa"/>
            <w:vAlign w:val="bottom"/>
            <w:tcBorders>
              <w:bottom w:val="single" w:sz="8" w:color="4A7EBB"/>
            </w:tcBorders>
          </w:tcPr>
          <w:p>
            <w:pPr>
              <w:jc w:val="right"/>
              <w:spacing w:after="0"/>
              <w:rPr>
                <w:sz w:val="20"/>
                <w:szCs w:val="20"/>
                <w:color w:val="auto"/>
              </w:rPr>
            </w:pPr>
            <w:r>
              <w:rPr>
                <w:rFonts w:ascii="Arial" w:cs="Arial" w:eastAsia="Arial" w:hAnsi="Arial"/>
                <w:sz w:val="13"/>
                <w:szCs w:val="13"/>
                <w:color w:val="auto"/>
                <w:w w:val="87"/>
              </w:rPr>
              <w:t>(4)</w:t>
            </w:r>
          </w:p>
        </w:tc>
      </w:tr>
      <w:tr>
        <w:trPr>
          <w:trHeight w:val="196"/>
        </w:trPr>
        <w:tc>
          <w:tcPr>
            <w:tcW w:w="20" w:type="dxa"/>
            <w:vAlign w:val="bottom"/>
          </w:tcPr>
          <w:p>
            <w:pPr>
              <w:spacing w:after="0"/>
              <w:rPr>
                <w:sz w:val="17"/>
                <w:szCs w:val="17"/>
                <w:color w:val="auto"/>
              </w:rPr>
            </w:pPr>
          </w:p>
        </w:tc>
        <w:tc>
          <w:tcPr>
            <w:tcW w:w="3600" w:type="dxa"/>
            <w:vAlign w:val="bottom"/>
            <w:tcBorders>
              <w:bottom w:val="single" w:sz="8" w:color="808080"/>
            </w:tcBorders>
            <w:shd w:val="clear" w:color="auto" w:fill="F2F2F2"/>
          </w:tcPr>
          <w:p>
            <w:pPr>
              <w:spacing w:after="0"/>
              <w:rPr>
                <w:sz w:val="20"/>
                <w:szCs w:val="20"/>
                <w:color w:val="auto"/>
              </w:rPr>
            </w:pPr>
            <w:r>
              <w:rPr>
                <w:rFonts w:ascii="Arial" w:cs="Arial" w:eastAsia="Arial" w:hAnsi="Arial"/>
                <w:sz w:val="16"/>
                <w:szCs w:val="16"/>
                <w:b w:val="1"/>
                <w:bCs w:val="1"/>
                <w:color w:val="auto"/>
              </w:rPr>
              <w:t>Total</w:t>
            </w:r>
          </w:p>
        </w:tc>
        <w:tc>
          <w:tcPr>
            <w:tcW w:w="2760" w:type="dxa"/>
            <w:vAlign w:val="bottom"/>
            <w:tcBorders>
              <w:bottom w:val="single" w:sz="8" w:color="808080"/>
            </w:tcBorders>
            <w:shd w:val="clear" w:color="auto" w:fill="F2F2F2"/>
          </w:tcPr>
          <w:p>
            <w:pPr>
              <w:jc w:val="right"/>
              <w:ind w:right="223"/>
              <w:spacing w:after="0"/>
              <w:rPr>
                <w:sz w:val="20"/>
                <w:szCs w:val="20"/>
                <w:color w:val="auto"/>
              </w:rPr>
            </w:pPr>
            <w:r>
              <w:rPr>
                <w:rFonts w:ascii="Arial" w:cs="Arial" w:eastAsia="Arial" w:hAnsi="Arial"/>
                <w:sz w:val="15"/>
                <w:szCs w:val="15"/>
                <w:b w:val="1"/>
                <w:bCs w:val="1"/>
                <w:color w:val="auto"/>
              </w:rPr>
              <w:t>$10,773,846</w:t>
            </w:r>
          </w:p>
        </w:tc>
        <w:tc>
          <w:tcPr>
            <w:tcW w:w="220" w:type="dxa"/>
            <w:vAlign w:val="bottom"/>
            <w:tcBorders>
              <w:bottom w:val="single" w:sz="8" w:color="808080"/>
            </w:tcBorders>
            <w:shd w:val="clear" w:color="auto" w:fill="F2F2F2"/>
          </w:tcPr>
          <w:p>
            <w:pPr>
              <w:spacing w:after="0"/>
              <w:rPr>
                <w:sz w:val="17"/>
                <w:szCs w:val="17"/>
                <w:color w:val="auto"/>
              </w:rPr>
            </w:pPr>
          </w:p>
        </w:tc>
        <w:tc>
          <w:tcPr>
            <w:tcW w:w="3140" w:type="dxa"/>
            <w:vAlign w:val="bottom"/>
            <w:tcBorders>
              <w:bottom w:val="single" w:sz="8" w:color="808080"/>
            </w:tcBorders>
            <w:shd w:val="clear" w:color="auto" w:fill="F2F2F2"/>
          </w:tcPr>
          <w:p>
            <w:pPr>
              <w:jc w:val="right"/>
              <w:spacing w:after="0"/>
              <w:rPr>
                <w:sz w:val="20"/>
                <w:szCs w:val="20"/>
                <w:color w:val="auto"/>
              </w:rPr>
            </w:pPr>
            <w:r>
              <w:rPr>
                <w:rFonts w:ascii="Arial" w:cs="Arial" w:eastAsia="Arial" w:hAnsi="Arial"/>
                <w:sz w:val="15"/>
                <w:szCs w:val="15"/>
                <w:b w:val="1"/>
                <w:bCs w:val="1"/>
                <w:color w:val="auto"/>
              </w:rPr>
              <w:t>$82,902,187</w:t>
            </w:r>
          </w:p>
        </w:tc>
        <w:tc>
          <w:tcPr>
            <w:tcW w:w="180" w:type="dxa"/>
            <w:vAlign w:val="bottom"/>
            <w:tcBorders>
              <w:bottom w:val="single" w:sz="8" w:color="4A7EBB"/>
            </w:tcBorders>
            <w:shd w:val="clear" w:color="auto" w:fill="F2F2F2"/>
          </w:tcPr>
          <w:p>
            <w:pPr>
              <w:jc w:val="right"/>
              <w:spacing w:after="0"/>
              <w:rPr>
                <w:sz w:val="20"/>
                <w:szCs w:val="20"/>
                <w:color w:val="auto"/>
              </w:rPr>
            </w:pPr>
            <w:r>
              <w:rPr>
                <w:rFonts w:ascii="Arial" w:cs="Arial" w:eastAsia="Arial" w:hAnsi="Arial"/>
                <w:sz w:val="13"/>
                <w:szCs w:val="13"/>
                <w:color w:val="auto"/>
                <w:w w:val="87"/>
              </w:rPr>
              <w:t>(5)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4112260</wp:posOffset>
            </wp:positionH>
            <wp:positionV relativeFrom="paragraph">
              <wp:posOffset>-556895</wp:posOffset>
            </wp:positionV>
            <wp:extent cx="8255" cy="55753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255" cy="557530"/>
                    </a:xfrm>
                    <a:prstGeom prst="rect">
                      <a:avLst/>
                    </a:prstGeom>
                    <a:noFill/>
                  </pic:spPr>
                </pic:pic>
              </a:graphicData>
            </a:graphic>
          </wp:anchor>
        </w:drawing>
        <w:drawing>
          <wp:anchor simplePos="0" relativeHeight="251657728" behindDoc="1" locked="0" layoutInCell="0" allowOverlap="1">
            <wp:simplePos x="0" y="0"/>
            <wp:positionH relativeFrom="column">
              <wp:posOffset>4051935</wp:posOffset>
            </wp:positionH>
            <wp:positionV relativeFrom="paragraph">
              <wp:posOffset>-556895</wp:posOffset>
            </wp:positionV>
            <wp:extent cx="8890" cy="55753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890" cy="557530"/>
                    </a:xfrm>
                    <a:prstGeom prst="rect">
                      <a:avLst/>
                    </a:prstGeom>
                    <a:noFill/>
                  </pic:spPr>
                </pic:pic>
              </a:graphicData>
            </a:graphic>
          </wp:anchor>
        </w:drawing>
        <w:drawing>
          <wp:anchor simplePos="0" relativeHeight="251657728" behindDoc="1" locked="0" layoutInCell="0" allowOverlap="1">
            <wp:simplePos x="0" y="0"/>
            <wp:positionH relativeFrom="column">
              <wp:posOffset>2423160</wp:posOffset>
            </wp:positionH>
            <wp:positionV relativeFrom="paragraph">
              <wp:posOffset>-556895</wp:posOffset>
            </wp:positionV>
            <wp:extent cx="8255" cy="55753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255" cy="557530"/>
                    </a:xfrm>
                    <a:prstGeom prst="rect">
                      <a:avLst/>
                    </a:prstGeom>
                    <a:noFill/>
                  </pic:spPr>
                </pic:pic>
              </a:graphicData>
            </a:graphic>
          </wp:anchor>
        </w:drawing>
        <w:drawing>
          <wp:anchor simplePos="0" relativeHeight="251657728" behindDoc="1" locked="0" layoutInCell="0" allowOverlap="1">
            <wp:simplePos x="0" y="0"/>
            <wp:positionH relativeFrom="column">
              <wp:posOffset>2363470</wp:posOffset>
            </wp:positionH>
            <wp:positionV relativeFrom="paragraph">
              <wp:posOffset>-556895</wp:posOffset>
            </wp:positionV>
            <wp:extent cx="8255" cy="55753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255" cy="557530"/>
                    </a:xfrm>
                    <a:prstGeom prst="rect">
                      <a:avLst/>
                    </a:prstGeom>
                    <a:noFill/>
                  </pic:spPr>
                </pic:pic>
              </a:graphicData>
            </a:graphic>
          </wp:anchor>
        </w:drawing>
      </w:r>
    </w:p>
    <w:p>
      <w:pPr>
        <w:spacing w:after="0" w:line="168" w:lineRule="exact"/>
        <w:rPr>
          <w:sz w:val="20"/>
          <w:szCs w:val="20"/>
          <w:color w:val="auto"/>
        </w:rPr>
      </w:pPr>
    </w:p>
    <w:p>
      <w:pPr>
        <w:jc w:val="both"/>
        <w:ind w:left="340" w:hanging="332"/>
        <w:spacing w:after="0" w:line="266" w:lineRule="auto"/>
        <w:tabs>
          <w:tab w:leader="none" w:pos="34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cash payment is based on Morris Goldfarb’s salary, as of January 31, 2026, and his annual cash incentive target for the fiscal year ended January 31, 2026, and is composed of two times (i) his annual salary of $1,386,923 and (ii) annual cash incentive target of $4,000,000. The cash payment becomes due and payable immediately upon a qualifying termination.</w:t>
      </w:r>
    </w:p>
    <w:p>
      <w:pPr>
        <w:spacing w:after="0" w:line="144" w:lineRule="exact"/>
        <w:rPr>
          <w:rFonts w:ascii="Arial" w:cs="Arial" w:eastAsia="Arial" w:hAnsi="Arial"/>
          <w:sz w:val="16"/>
          <w:szCs w:val="16"/>
          <w:color w:val="auto"/>
        </w:rPr>
      </w:pPr>
    </w:p>
    <w:p>
      <w:pPr>
        <w:ind w:left="340" w:hanging="332"/>
        <w:spacing w:after="0"/>
        <w:tabs>
          <w:tab w:leader="none" w:pos="34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This amount is equal to $39,638,234 (2.99 times Morris Goldfarb’s average annual compensation for 2021 through 2025).</w:t>
      </w:r>
    </w:p>
    <w:p>
      <w:pPr>
        <w:spacing w:after="0" w:line="194" w:lineRule="exact"/>
        <w:rPr>
          <w:rFonts w:ascii="Arial" w:cs="Arial" w:eastAsia="Arial" w:hAnsi="Arial"/>
          <w:sz w:val="16"/>
          <w:szCs w:val="16"/>
          <w:color w:val="auto"/>
        </w:rPr>
      </w:pPr>
    </w:p>
    <w:p>
      <w:pPr>
        <w:jc w:val="both"/>
        <w:ind w:left="340" w:hanging="332"/>
        <w:spacing w:after="0" w:line="256" w:lineRule="auto"/>
        <w:tabs>
          <w:tab w:leader="none" w:pos="34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This amount represents the gross value of accelerated vesting of unvested equity awards outstanding as of January 31, 2026, as shown in the “Stock Awards” table in the section entitled “Outstanding Equity Awards at Fiscal 2026 Year-End” above. For purposes of applying Section 280G of the Code, however, the value of such accelerated vesting would be reduced to reflect a present value factor and the likelihood that the equity awards would have become vested in any event (i.e., as if Morris Goldfarb’s employment is not involuntarily terminated after the change in control).</w:t>
      </w:r>
    </w:p>
    <w:p>
      <w:pPr>
        <w:spacing w:after="0" w:line="152" w:lineRule="exact"/>
        <w:rPr>
          <w:rFonts w:ascii="Arial" w:cs="Arial" w:eastAsia="Arial" w:hAnsi="Arial"/>
          <w:sz w:val="16"/>
          <w:szCs w:val="16"/>
          <w:color w:val="auto"/>
        </w:rPr>
      </w:pPr>
    </w:p>
    <w:p>
      <w:pPr>
        <w:ind w:left="340" w:right="20" w:hanging="332"/>
        <w:spacing w:after="0" w:line="286" w:lineRule="auto"/>
        <w:tabs>
          <w:tab w:leader="none" w:pos="34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figures for benefit continuation represent the estimated value of all employee benefits for three years in the case of a post-change in control termination.</w:t>
      </w:r>
    </w:p>
    <w:p>
      <w:pPr>
        <w:spacing w:after="0" w:line="128" w:lineRule="exact"/>
        <w:rPr>
          <w:rFonts w:ascii="Arial" w:cs="Arial" w:eastAsia="Arial" w:hAnsi="Arial"/>
          <w:sz w:val="16"/>
          <w:szCs w:val="16"/>
          <w:color w:val="auto"/>
        </w:rPr>
      </w:pPr>
    </w:p>
    <w:p>
      <w:pPr>
        <w:jc w:val="both"/>
        <w:ind w:left="340" w:hanging="332"/>
        <w:spacing w:after="0" w:line="266" w:lineRule="auto"/>
        <w:tabs>
          <w:tab w:leader="none" w:pos="340" w:val="left"/>
        </w:tabs>
        <w:numPr>
          <w:ilvl w:val="0"/>
          <w:numId w:val="80"/>
        </w:numPr>
        <w:rPr>
          <w:rFonts w:ascii="Arial" w:cs="Arial" w:eastAsia="Arial" w:hAnsi="Arial"/>
          <w:sz w:val="16"/>
          <w:szCs w:val="16"/>
          <w:color w:val="auto"/>
        </w:rPr>
      </w:pPr>
      <w:r>
        <w:rPr>
          <w:rFonts w:ascii="Arial" w:cs="Arial" w:eastAsia="Arial" w:hAnsi="Arial"/>
          <w:sz w:val="16"/>
          <w:szCs w:val="16"/>
          <w:color w:val="auto"/>
        </w:rPr>
        <w:t>Should the Section 280G value of this amount exceed Morris Goldfarb’s Section 280G threshold, then this amount will be reduced to the maximum amount that does not exceed such threshold, but only if, after taking into account all taxes (including excise taxes under Section 4999 of the Code), Morris Goldfarb would be better off on an after-tax basis receiving the reduced amount.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595959"/>
        </w:rPr>
        <w:t>SAMMY AARON, VICE CHAIRMAN AND PRESIDENT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340" w:type="dxa"/>
            <w:vAlign w:val="bottom"/>
            <w:tcBorders>
              <w:top w:val="single" w:sz="8" w:color="4A7EBB"/>
            </w:tcBorders>
            <w:shd w:val="clear" w:color="auto" w:fill="DBE5F1"/>
          </w:tcPr>
          <w:p>
            <w:pPr>
              <w:ind w:left="408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2400" w:type="dxa"/>
            <w:vAlign w:val="bottom"/>
            <w:tcBorders>
              <w:top w:val="single" w:sz="8" w:color="4A7EBB"/>
            </w:tcBorders>
            <w:shd w:val="clear" w:color="auto" w:fill="DBE5F1"/>
          </w:tcPr>
          <w:p>
            <w:pPr>
              <w:jc w:val="right"/>
              <w:ind w:right="24"/>
              <w:spacing w:after="0"/>
              <w:rPr>
                <w:sz w:val="20"/>
                <w:szCs w:val="20"/>
                <w:color w:val="auto"/>
              </w:rPr>
            </w:pPr>
            <w:r>
              <w:rPr>
                <w:rFonts w:ascii="Arial" w:cs="Arial" w:eastAsia="Arial" w:hAnsi="Arial"/>
                <w:sz w:val="16"/>
                <w:szCs w:val="16"/>
                <w:color w:val="auto"/>
              </w:rPr>
              <w:t>​</w:t>
            </w:r>
          </w:p>
        </w:tc>
        <w:tc>
          <w:tcPr>
            <w:tcW w:w="2980" w:type="dxa"/>
            <w:vAlign w:val="bottom"/>
            <w:tcBorders>
              <w:top w:val="single" w:sz="8" w:color="4A7EBB"/>
            </w:tcBorders>
            <w:shd w:val="clear" w:color="auto" w:fill="DBE5F1"/>
          </w:tcPr>
          <w:p>
            <w:pPr>
              <w:jc w:val="right"/>
              <w:ind w:right="224"/>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Termination without Cause or</w:t>
            </w:r>
          </w:p>
        </w:tc>
        <w:tc>
          <w:tcPr>
            <w:tcW w:w="180" w:type="dxa"/>
            <w:vAlign w:val="bottom"/>
            <w:tcBorders>
              <w:top w:val="single" w:sz="8" w:color="4A7EBB"/>
            </w:tcBorders>
            <w:shd w:val="clear" w:color="auto" w:fill="DBE5F1"/>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6740" w:type="dxa"/>
            <w:vAlign w:val="bottom"/>
            <w:gridSpan w:val="2"/>
            <w:shd w:val="clear" w:color="auto" w:fill="DBE5F1"/>
          </w:tcPr>
          <w:p>
            <w:pPr>
              <w:jc w:val="right"/>
              <w:ind w:right="184"/>
              <w:spacing w:after="0"/>
              <w:rPr>
                <w:sz w:val="20"/>
                <w:szCs w:val="20"/>
                <w:color w:val="auto"/>
              </w:rPr>
            </w:pPr>
            <w:r>
              <w:rPr>
                <w:rFonts w:ascii="Arial" w:cs="Arial" w:eastAsia="Arial" w:hAnsi="Arial"/>
                <w:sz w:val="16"/>
                <w:szCs w:val="16"/>
                <w:b w:val="1"/>
                <w:bCs w:val="1"/>
                <w:color w:val="auto"/>
              </w:rPr>
              <w:t>Termination without Cause or</w:t>
            </w:r>
          </w:p>
        </w:tc>
        <w:tc>
          <w:tcPr>
            <w:tcW w:w="3160" w:type="dxa"/>
            <w:vAlign w:val="bottom"/>
            <w:gridSpan w:val="2"/>
            <w:shd w:val="clear" w:color="auto" w:fill="DBE5F1"/>
          </w:tcPr>
          <w:p>
            <w:pPr>
              <w:jc w:val="right"/>
              <w:ind w:right="133"/>
              <w:spacing w:after="0"/>
              <w:rPr>
                <w:sz w:val="20"/>
                <w:szCs w:val="20"/>
                <w:color w:val="auto"/>
              </w:rPr>
            </w:pPr>
            <w:r>
              <w:rPr>
                <w:rFonts w:ascii="Arial" w:cs="Arial" w:eastAsia="Arial" w:hAnsi="Arial"/>
                <w:sz w:val="16"/>
                <w:szCs w:val="16"/>
                <w:b w:val="1"/>
                <w:bCs w:val="1"/>
                <w:color w:val="auto"/>
              </w:rPr>
              <w:t>Resignation for Cause in Connection</w:t>
            </w:r>
          </w:p>
        </w:tc>
      </w:tr>
      <w:tr>
        <w:trPr>
          <w:trHeight w:val="189"/>
        </w:trPr>
        <w:tc>
          <w:tcPr>
            <w:tcW w:w="20" w:type="dxa"/>
            <w:vAlign w:val="bottom"/>
          </w:tcPr>
          <w:p>
            <w:pPr>
              <w:spacing w:after="0"/>
              <w:rPr>
                <w:sz w:val="16"/>
                <w:szCs w:val="16"/>
                <w:color w:val="auto"/>
              </w:rPr>
            </w:pPr>
          </w:p>
        </w:tc>
        <w:tc>
          <w:tcPr>
            <w:tcW w:w="4340" w:type="dxa"/>
            <w:vAlign w:val="bottom"/>
            <w:tcBorders>
              <w:bottom w:val="single" w:sz="8" w:color="4A7EBB"/>
            </w:tcBorders>
            <w:shd w:val="clear" w:color="auto" w:fill="DBE5F1"/>
          </w:tcPr>
          <w:p>
            <w:pPr>
              <w:spacing w:after="0"/>
              <w:rPr>
                <w:sz w:val="16"/>
                <w:szCs w:val="16"/>
                <w:color w:val="auto"/>
              </w:rPr>
            </w:pPr>
          </w:p>
        </w:tc>
        <w:tc>
          <w:tcPr>
            <w:tcW w:w="2400" w:type="dxa"/>
            <w:vAlign w:val="bottom"/>
            <w:tcBorders>
              <w:bottom w:val="single" w:sz="8" w:color="4A7EBB"/>
            </w:tcBorders>
            <w:shd w:val="clear" w:color="auto" w:fill="DBE5F1"/>
          </w:tcPr>
          <w:p>
            <w:pPr>
              <w:jc w:val="right"/>
              <w:ind w:right="464"/>
              <w:spacing w:after="0"/>
              <w:rPr>
                <w:sz w:val="20"/>
                <w:szCs w:val="20"/>
                <w:color w:val="auto"/>
              </w:rPr>
            </w:pPr>
            <w:r>
              <w:rPr>
                <w:rFonts w:ascii="Arial" w:cs="Arial" w:eastAsia="Arial" w:hAnsi="Arial"/>
                <w:sz w:val="16"/>
                <w:szCs w:val="16"/>
                <w:b w:val="1"/>
                <w:bCs w:val="1"/>
                <w:color w:val="auto"/>
              </w:rPr>
              <w:t>Resignation for Cause</w:t>
            </w:r>
          </w:p>
        </w:tc>
        <w:tc>
          <w:tcPr>
            <w:tcW w:w="2980" w:type="dxa"/>
            <w:vAlign w:val="bottom"/>
            <w:tcBorders>
              <w:bottom w:val="single" w:sz="8" w:color="4A7EBB"/>
            </w:tcBorders>
            <w:shd w:val="clear" w:color="auto" w:fill="DBE5F1"/>
          </w:tcPr>
          <w:p>
            <w:pPr>
              <w:jc w:val="right"/>
              <w:ind w:right="404"/>
              <w:spacing w:after="0"/>
              <w:rPr>
                <w:sz w:val="20"/>
                <w:szCs w:val="20"/>
                <w:color w:val="auto"/>
              </w:rPr>
            </w:pPr>
            <w:r>
              <w:rPr>
                <w:rFonts w:ascii="Arial" w:cs="Arial" w:eastAsia="Arial" w:hAnsi="Arial"/>
                <w:sz w:val="16"/>
                <w:szCs w:val="16"/>
                <w:b w:val="1"/>
                <w:bCs w:val="1"/>
                <w:color w:val="auto"/>
              </w:rPr>
              <w:t>with a Change in Control</w:t>
            </w:r>
          </w:p>
        </w:tc>
        <w:tc>
          <w:tcPr>
            <w:tcW w:w="180" w:type="dxa"/>
            <w:vAlign w:val="bottom"/>
            <w:tcBorders>
              <w:bottom w:val="single" w:sz="8" w:color="4A7EBB"/>
            </w:tcBorders>
            <w:shd w:val="clear" w:color="auto" w:fill="DBE5F1"/>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4340" w:type="dxa"/>
            <w:vAlign w:val="bottom"/>
            <w:tcBorders>
              <w:bottom w:val="single" w:sz="8" w:color="4A7EBB"/>
            </w:tcBorders>
          </w:tcPr>
          <w:p>
            <w:pPr>
              <w:spacing w:after="0"/>
              <w:rPr>
                <w:sz w:val="20"/>
                <w:szCs w:val="20"/>
                <w:color w:val="auto"/>
              </w:rPr>
            </w:pPr>
            <w:r>
              <w:rPr>
                <w:rFonts w:ascii="Arial" w:cs="Arial" w:eastAsia="Arial" w:hAnsi="Arial"/>
                <w:sz w:val="16"/>
                <w:szCs w:val="16"/>
                <w:color w:val="auto"/>
              </w:rPr>
              <w:t>Cash Separation Payment(s)</w:t>
            </w:r>
          </w:p>
        </w:tc>
        <w:tc>
          <w:tcPr>
            <w:tcW w:w="2400" w:type="dxa"/>
            <w:vAlign w:val="bottom"/>
            <w:tcBorders>
              <w:bottom w:val="single" w:sz="8" w:color="4A7EBB"/>
            </w:tcBorders>
          </w:tcPr>
          <w:p>
            <w:pPr>
              <w:jc w:val="right"/>
              <w:ind w:right="4"/>
              <w:spacing w:after="0" w:line="195" w:lineRule="exact"/>
              <w:rPr>
                <w:sz w:val="20"/>
                <w:szCs w:val="20"/>
                <w:color w:val="auto"/>
              </w:rPr>
            </w:pPr>
            <w:r>
              <w:rPr>
                <w:rFonts w:ascii="Arial" w:cs="Arial" w:eastAsia="Arial" w:hAnsi="Arial"/>
                <w:sz w:val="13"/>
                <w:szCs w:val="13"/>
                <w:color w:val="auto"/>
              </w:rPr>
              <w:t xml:space="preserve">$8,000,000 </w:t>
            </w:r>
            <w:r>
              <w:rPr>
                <w:rFonts w:ascii="Arial" w:cs="Arial" w:eastAsia="Arial" w:hAnsi="Arial"/>
                <w:sz w:val="22"/>
                <w:szCs w:val="22"/>
                <w:color w:val="auto"/>
                <w:vertAlign w:val="superscript"/>
              </w:rPr>
              <w:t>(1)</w:t>
            </w:r>
          </w:p>
        </w:tc>
        <w:tc>
          <w:tcPr>
            <w:tcW w:w="3160" w:type="dxa"/>
            <w:vAlign w:val="bottom"/>
            <w:tcBorders>
              <w:bottom w:val="single" w:sz="8" w:color="4A7EBB"/>
            </w:tcBorders>
            <w:gridSpan w:val="2"/>
          </w:tcPr>
          <w:p>
            <w:pPr>
              <w:jc w:val="right"/>
              <w:spacing w:after="0" w:line="195" w:lineRule="exact"/>
              <w:rPr>
                <w:sz w:val="20"/>
                <w:szCs w:val="20"/>
                <w:color w:val="auto"/>
              </w:rPr>
            </w:pPr>
            <w:r>
              <w:rPr>
                <w:rFonts w:ascii="Arial" w:cs="Arial" w:eastAsia="Arial" w:hAnsi="Arial"/>
                <w:sz w:val="13"/>
                <w:szCs w:val="13"/>
                <w:color w:val="auto"/>
              </w:rPr>
              <w:t xml:space="preserve">$12,596,154 </w:t>
            </w:r>
            <w:r>
              <w:rPr>
                <w:rFonts w:ascii="Arial" w:cs="Arial" w:eastAsia="Arial" w:hAnsi="Arial"/>
                <w:sz w:val="22"/>
                <w:szCs w:val="22"/>
                <w:color w:val="auto"/>
                <w:vertAlign w:val="superscript"/>
              </w:rPr>
              <w:t>(2)</w:t>
            </w:r>
          </w:p>
        </w:tc>
      </w:tr>
      <w:tr>
        <w:trPr>
          <w:trHeight w:val="196"/>
        </w:trPr>
        <w:tc>
          <w:tcPr>
            <w:tcW w:w="20" w:type="dxa"/>
            <w:vAlign w:val="bottom"/>
          </w:tcPr>
          <w:p>
            <w:pPr>
              <w:spacing w:after="0"/>
              <w:rPr>
                <w:sz w:val="17"/>
                <w:szCs w:val="17"/>
                <w:color w:val="auto"/>
              </w:rPr>
            </w:pPr>
          </w:p>
        </w:tc>
        <w:tc>
          <w:tcPr>
            <w:tcW w:w="4340" w:type="dxa"/>
            <w:vAlign w:val="bottom"/>
            <w:tcBorders>
              <w:bottom w:val="single" w:sz="8" w:color="4A7EBB"/>
            </w:tcBorders>
            <w:shd w:val="clear" w:color="auto" w:fill="F2F2F2"/>
          </w:tcPr>
          <w:p>
            <w:pPr>
              <w:spacing w:after="0"/>
              <w:rPr>
                <w:sz w:val="20"/>
                <w:szCs w:val="20"/>
                <w:color w:val="auto"/>
              </w:rPr>
            </w:pPr>
            <w:r>
              <w:rPr>
                <w:rFonts w:ascii="Arial" w:cs="Arial" w:eastAsia="Arial" w:hAnsi="Arial"/>
                <w:sz w:val="16"/>
                <w:szCs w:val="16"/>
                <w:color w:val="auto"/>
              </w:rPr>
              <w:t>Accelerated Vesting of Equity Awards</w:t>
            </w:r>
          </w:p>
        </w:tc>
        <w:tc>
          <w:tcPr>
            <w:tcW w:w="2400" w:type="dxa"/>
            <w:vAlign w:val="bottom"/>
            <w:tcBorders>
              <w:bottom w:val="single" w:sz="8" w:color="4A7EBB"/>
            </w:tcBorders>
            <w:shd w:val="clear" w:color="auto" w:fill="F2F2F2"/>
          </w:tcPr>
          <w:p>
            <w:pPr>
              <w:jc w:val="right"/>
              <w:ind w:right="224"/>
              <w:spacing w:after="0"/>
              <w:rPr>
                <w:sz w:val="20"/>
                <w:szCs w:val="20"/>
                <w:color w:val="auto"/>
              </w:rPr>
            </w:pPr>
            <w:r>
              <w:rPr>
                <w:rFonts w:ascii="Arial" w:cs="Arial" w:eastAsia="Arial" w:hAnsi="Arial"/>
                <w:sz w:val="15"/>
                <w:szCs w:val="15"/>
                <w:color w:val="auto"/>
              </w:rPr>
              <w:t>—</w:t>
            </w:r>
          </w:p>
        </w:tc>
        <w:tc>
          <w:tcPr>
            <w:tcW w:w="3160" w:type="dxa"/>
            <w:vAlign w:val="bottom"/>
            <w:tcBorders>
              <w:bottom w:val="single" w:sz="8" w:color="4A7EBB"/>
            </w:tcBorders>
            <w:gridSpan w:val="2"/>
            <w:shd w:val="clear" w:color="auto" w:fill="F2F2F2"/>
          </w:tcPr>
          <w:p>
            <w:pPr>
              <w:jc w:val="right"/>
              <w:spacing w:after="0" w:line="195" w:lineRule="exact"/>
              <w:rPr>
                <w:sz w:val="20"/>
                <w:szCs w:val="20"/>
                <w:color w:val="auto"/>
              </w:rPr>
            </w:pPr>
            <w:r>
              <w:rPr>
                <w:rFonts w:ascii="Arial" w:cs="Arial" w:eastAsia="Arial" w:hAnsi="Arial"/>
                <w:sz w:val="13"/>
                <w:szCs w:val="13"/>
                <w:color w:val="auto"/>
              </w:rPr>
              <w:t xml:space="preserve">$15,897,134 </w:t>
            </w:r>
            <w:r>
              <w:rPr>
                <w:rFonts w:ascii="Arial" w:cs="Arial" w:eastAsia="Arial" w:hAnsi="Arial"/>
                <w:sz w:val="22"/>
                <w:szCs w:val="22"/>
                <w:color w:val="auto"/>
                <w:vertAlign w:val="superscript"/>
              </w:rPr>
              <w:t>(3)</w:t>
            </w:r>
          </w:p>
        </w:tc>
      </w:tr>
      <w:tr>
        <w:trPr>
          <w:trHeight w:val="196"/>
        </w:trPr>
        <w:tc>
          <w:tcPr>
            <w:tcW w:w="20" w:type="dxa"/>
            <w:vAlign w:val="bottom"/>
          </w:tcPr>
          <w:p>
            <w:pPr>
              <w:spacing w:after="0"/>
              <w:rPr>
                <w:sz w:val="17"/>
                <w:szCs w:val="17"/>
                <w:color w:val="auto"/>
              </w:rPr>
            </w:pPr>
          </w:p>
        </w:tc>
        <w:tc>
          <w:tcPr>
            <w:tcW w:w="4340" w:type="dxa"/>
            <w:vAlign w:val="bottom"/>
            <w:tcBorders>
              <w:bottom w:val="single" w:sz="8" w:color="4A7EBB"/>
            </w:tcBorders>
          </w:tcPr>
          <w:p>
            <w:pPr>
              <w:spacing w:after="0"/>
              <w:rPr>
                <w:sz w:val="20"/>
                <w:szCs w:val="20"/>
                <w:color w:val="auto"/>
              </w:rPr>
            </w:pPr>
            <w:r>
              <w:rPr>
                <w:rFonts w:ascii="Arial" w:cs="Arial" w:eastAsia="Arial" w:hAnsi="Arial"/>
                <w:sz w:val="16"/>
                <w:szCs w:val="16"/>
                <w:color w:val="auto"/>
              </w:rPr>
              <w:t>Value of Continuing Employee Benefits</w:t>
            </w:r>
          </w:p>
        </w:tc>
        <w:tc>
          <w:tcPr>
            <w:tcW w:w="2400" w:type="dxa"/>
            <w:vAlign w:val="bottom"/>
            <w:tcBorders>
              <w:bottom w:val="single" w:sz="8" w:color="4A7EBB"/>
            </w:tcBorders>
          </w:tcPr>
          <w:p>
            <w:pPr>
              <w:jc w:val="right"/>
              <w:ind w:right="224"/>
              <w:spacing w:after="0"/>
              <w:rPr>
                <w:sz w:val="20"/>
                <w:szCs w:val="20"/>
                <w:color w:val="auto"/>
              </w:rPr>
            </w:pPr>
            <w:r>
              <w:rPr>
                <w:rFonts w:ascii="Arial" w:cs="Arial" w:eastAsia="Arial" w:hAnsi="Arial"/>
                <w:sz w:val="15"/>
                <w:szCs w:val="15"/>
                <w:color w:val="auto"/>
              </w:rPr>
              <w:t>—</w:t>
            </w:r>
          </w:p>
        </w:tc>
        <w:tc>
          <w:tcPr>
            <w:tcW w:w="2980" w:type="dxa"/>
            <w:vAlign w:val="bottom"/>
            <w:tcBorders>
              <w:bottom w:val="single" w:sz="8" w:color="4A7EBB"/>
            </w:tcBorders>
          </w:tcPr>
          <w:p>
            <w:pPr>
              <w:jc w:val="right"/>
              <w:spacing w:after="0"/>
              <w:rPr>
                <w:sz w:val="20"/>
                <w:szCs w:val="20"/>
                <w:color w:val="auto"/>
              </w:rPr>
            </w:pPr>
            <w:r>
              <w:rPr>
                <w:rFonts w:ascii="Arial" w:cs="Arial" w:eastAsia="Arial" w:hAnsi="Arial"/>
                <w:sz w:val="15"/>
                <w:szCs w:val="15"/>
                <w:color w:val="auto"/>
              </w:rPr>
              <w:t>$52,555</w:t>
            </w:r>
          </w:p>
        </w:tc>
        <w:tc>
          <w:tcPr>
            <w:tcW w:w="180" w:type="dxa"/>
            <w:vAlign w:val="bottom"/>
            <w:tcBorders>
              <w:bottom w:val="single" w:sz="8" w:color="4A7EBB"/>
            </w:tcBorders>
          </w:tcPr>
          <w:p>
            <w:pPr>
              <w:jc w:val="right"/>
              <w:spacing w:after="0"/>
              <w:rPr>
                <w:sz w:val="20"/>
                <w:szCs w:val="20"/>
                <w:color w:val="auto"/>
              </w:rPr>
            </w:pPr>
            <w:r>
              <w:rPr>
                <w:rFonts w:ascii="Arial" w:cs="Arial" w:eastAsia="Arial" w:hAnsi="Arial"/>
                <w:sz w:val="13"/>
                <w:szCs w:val="13"/>
                <w:color w:val="auto"/>
                <w:w w:val="87"/>
              </w:rPr>
              <w:t>(4)</w:t>
            </w:r>
          </w:p>
        </w:tc>
      </w:tr>
      <w:tr>
        <w:trPr>
          <w:trHeight w:val="196"/>
        </w:trPr>
        <w:tc>
          <w:tcPr>
            <w:tcW w:w="20" w:type="dxa"/>
            <w:vAlign w:val="bottom"/>
          </w:tcPr>
          <w:p>
            <w:pPr>
              <w:spacing w:after="0"/>
              <w:rPr>
                <w:sz w:val="17"/>
                <w:szCs w:val="17"/>
                <w:color w:val="auto"/>
              </w:rPr>
            </w:pPr>
          </w:p>
        </w:tc>
        <w:tc>
          <w:tcPr>
            <w:tcW w:w="4340" w:type="dxa"/>
            <w:vAlign w:val="bottom"/>
            <w:tcBorders>
              <w:bottom w:val="single" w:sz="8" w:color="808080"/>
            </w:tcBorders>
            <w:shd w:val="clear" w:color="auto" w:fill="F2F2F2"/>
          </w:tcPr>
          <w:p>
            <w:pPr>
              <w:spacing w:after="0"/>
              <w:rPr>
                <w:sz w:val="20"/>
                <w:szCs w:val="20"/>
                <w:color w:val="auto"/>
              </w:rPr>
            </w:pPr>
            <w:r>
              <w:rPr>
                <w:rFonts w:ascii="Arial" w:cs="Arial" w:eastAsia="Arial" w:hAnsi="Arial"/>
                <w:sz w:val="16"/>
                <w:szCs w:val="16"/>
                <w:b w:val="1"/>
                <w:bCs w:val="1"/>
                <w:color w:val="auto"/>
              </w:rPr>
              <w:t>Total</w:t>
            </w:r>
          </w:p>
        </w:tc>
        <w:tc>
          <w:tcPr>
            <w:tcW w:w="2400" w:type="dxa"/>
            <w:vAlign w:val="bottom"/>
            <w:tcBorders>
              <w:bottom w:val="single" w:sz="8" w:color="808080"/>
            </w:tcBorders>
            <w:shd w:val="clear" w:color="auto" w:fill="F2F2F2"/>
          </w:tcPr>
          <w:p>
            <w:pPr>
              <w:jc w:val="right"/>
              <w:ind w:right="224"/>
              <w:spacing w:after="0"/>
              <w:rPr>
                <w:sz w:val="20"/>
                <w:szCs w:val="20"/>
                <w:color w:val="auto"/>
              </w:rPr>
            </w:pPr>
            <w:r>
              <w:rPr>
                <w:rFonts w:ascii="Arial" w:cs="Arial" w:eastAsia="Arial" w:hAnsi="Arial"/>
                <w:sz w:val="15"/>
                <w:szCs w:val="15"/>
                <w:b w:val="1"/>
                <w:bCs w:val="1"/>
                <w:color w:val="auto"/>
              </w:rPr>
              <w:t>$8,000,000</w:t>
            </w:r>
          </w:p>
        </w:tc>
        <w:tc>
          <w:tcPr>
            <w:tcW w:w="2980" w:type="dxa"/>
            <w:vAlign w:val="bottom"/>
            <w:tcBorders>
              <w:bottom w:val="single" w:sz="8" w:color="808080"/>
            </w:tcBorders>
            <w:shd w:val="clear" w:color="auto" w:fill="F2F2F2"/>
          </w:tcPr>
          <w:p>
            <w:pPr>
              <w:jc w:val="right"/>
              <w:spacing w:after="0"/>
              <w:rPr>
                <w:sz w:val="20"/>
                <w:szCs w:val="20"/>
                <w:color w:val="auto"/>
              </w:rPr>
            </w:pPr>
            <w:r>
              <w:rPr>
                <w:rFonts w:ascii="Arial" w:cs="Arial" w:eastAsia="Arial" w:hAnsi="Arial"/>
                <w:sz w:val="15"/>
                <w:szCs w:val="15"/>
                <w:b w:val="1"/>
                <w:bCs w:val="1"/>
                <w:color w:val="auto"/>
              </w:rPr>
              <w:t>$28,545,843</w:t>
            </w:r>
          </w:p>
        </w:tc>
        <w:tc>
          <w:tcPr>
            <w:tcW w:w="180" w:type="dxa"/>
            <w:vAlign w:val="bottom"/>
            <w:tcBorders>
              <w:bottom w:val="single" w:sz="8" w:color="4A7EBB"/>
            </w:tcBorders>
            <w:shd w:val="clear" w:color="auto" w:fill="F2F2F2"/>
          </w:tcPr>
          <w:p>
            <w:pPr>
              <w:jc w:val="right"/>
              <w:spacing w:after="0"/>
              <w:rPr>
                <w:sz w:val="20"/>
                <w:szCs w:val="20"/>
                <w:color w:val="auto"/>
              </w:rPr>
            </w:pPr>
            <w:r>
              <w:rPr>
                <w:rFonts w:ascii="Arial" w:cs="Arial" w:eastAsia="Arial" w:hAnsi="Arial"/>
                <w:sz w:val="13"/>
                <w:szCs w:val="13"/>
                <w:color w:val="auto"/>
                <w:w w:val="87"/>
              </w:rPr>
              <w:t>(5)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4352290</wp:posOffset>
            </wp:positionH>
            <wp:positionV relativeFrom="paragraph">
              <wp:posOffset>-556895</wp:posOffset>
            </wp:positionV>
            <wp:extent cx="8890" cy="55753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890" cy="557530"/>
                    </a:xfrm>
                    <a:prstGeom prst="rect">
                      <a:avLst/>
                    </a:prstGeom>
                    <a:noFill/>
                  </pic:spPr>
                </pic:pic>
              </a:graphicData>
            </a:graphic>
          </wp:anchor>
        </w:drawing>
        <w:drawing>
          <wp:anchor simplePos="0" relativeHeight="251657728" behindDoc="1" locked="0" layoutInCell="0" allowOverlap="1">
            <wp:simplePos x="0" y="0"/>
            <wp:positionH relativeFrom="column">
              <wp:posOffset>4291965</wp:posOffset>
            </wp:positionH>
            <wp:positionV relativeFrom="paragraph">
              <wp:posOffset>-556895</wp:posOffset>
            </wp:positionV>
            <wp:extent cx="8890" cy="55753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890" cy="557530"/>
                    </a:xfrm>
                    <a:prstGeom prst="rect">
                      <a:avLst/>
                    </a:prstGeom>
                    <a:noFill/>
                  </pic:spPr>
                </pic:pic>
              </a:graphicData>
            </a:graphic>
          </wp:anchor>
        </w:drawing>
        <w:drawing>
          <wp:anchor simplePos="0" relativeHeight="251657728" behindDoc="1" locked="0" layoutInCell="0" allowOverlap="1">
            <wp:simplePos x="0" y="0"/>
            <wp:positionH relativeFrom="column">
              <wp:posOffset>2663190</wp:posOffset>
            </wp:positionH>
            <wp:positionV relativeFrom="paragraph">
              <wp:posOffset>-556895</wp:posOffset>
            </wp:positionV>
            <wp:extent cx="8255" cy="55753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255" cy="557530"/>
                    </a:xfrm>
                    <a:prstGeom prst="rect">
                      <a:avLst/>
                    </a:prstGeom>
                    <a:noFill/>
                  </pic:spPr>
                </pic:pic>
              </a:graphicData>
            </a:graphic>
          </wp:anchor>
        </w:drawing>
        <w:drawing>
          <wp:anchor simplePos="0" relativeHeight="251657728" behindDoc="1" locked="0" layoutInCell="0" allowOverlap="1">
            <wp:simplePos x="0" y="0"/>
            <wp:positionH relativeFrom="column">
              <wp:posOffset>2603500</wp:posOffset>
            </wp:positionH>
            <wp:positionV relativeFrom="paragraph">
              <wp:posOffset>-556895</wp:posOffset>
            </wp:positionV>
            <wp:extent cx="8255" cy="55753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255" cy="557530"/>
                    </a:xfrm>
                    <a:prstGeom prst="rect">
                      <a:avLst/>
                    </a:prstGeom>
                    <a:noFill/>
                  </pic:spPr>
                </pic:pic>
              </a:graphicData>
            </a:graphic>
          </wp:anchor>
        </w:drawing>
      </w:r>
    </w:p>
    <w:p>
      <w:pPr>
        <w:spacing w:after="0" w:line="87" w:lineRule="exact"/>
        <w:rPr>
          <w:sz w:val="20"/>
          <w:szCs w:val="20"/>
          <w:color w:val="auto"/>
        </w:rPr>
      </w:pPr>
    </w:p>
    <w:p>
      <w:pPr>
        <w:jc w:val="both"/>
        <w:ind w:left="340" w:hanging="332"/>
        <w:spacing w:after="0" w:line="254" w:lineRule="auto"/>
        <w:tabs>
          <w:tab w:leader="none" w:pos="34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cash payment is based on Sammy Aaron’s salary, as of January 31, 2026, and his annual cash incentive target for the fiscal year ended January 31, 2026, and is composed of two times (i) his annual salary of $1,000,000 and (ii) annual cash incentive target of $3,000,000. The salary component would be payable in the form of salary continuation, and the annual cash incentive component would be payable when the annual cash incentive would have been paid if Sammy Aaron’s employment had not terminated. Sammy Aaron’s right to receive the cash separation payments is subject to his providing a general release to G-III and his continuing compliance with the non-competition and other restrictive covenants contained in his employment agreement.</w:t>
      </w:r>
    </w:p>
    <w:p>
      <w:pPr>
        <w:spacing w:after="0" w:line="154" w:lineRule="exact"/>
        <w:rPr>
          <w:rFonts w:ascii="Arial" w:cs="Arial" w:eastAsia="Arial" w:hAnsi="Arial"/>
          <w:sz w:val="16"/>
          <w:szCs w:val="16"/>
          <w:color w:val="auto"/>
        </w:rPr>
      </w:pPr>
    </w:p>
    <w:p>
      <w:pPr>
        <w:jc w:val="both"/>
        <w:ind w:left="340" w:hanging="332"/>
        <w:spacing w:after="0" w:line="259" w:lineRule="auto"/>
        <w:tabs>
          <w:tab w:leader="none" w:pos="34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This amount reflects two times Sammy Aaron’s five-year average compensation as reported on his form W-2. The total amount of the cash separation payment would be payable in equal installments over 24 months following Sammy Aaron’s termination of employment and would be subject to his providing a general release and his continuing compliance with the non-competition and other restrictive covenants contained in his employment agreement.</w:t>
      </w:r>
    </w:p>
    <w:p>
      <w:pPr>
        <w:spacing w:after="0" w:line="150" w:lineRule="exact"/>
        <w:rPr>
          <w:rFonts w:ascii="Arial" w:cs="Arial" w:eastAsia="Arial" w:hAnsi="Arial"/>
          <w:sz w:val="16"/>
          <w:szCs w:val="16"/>
          <w:color w:val="auto"/>
        </w:rPr>
      </w:pPr>
    </w:p>
    <w:p>
      <w:pPr>
        <w:jc w:val="both"/>
        <w:ind w:left="340" w:hanging="332"/>
        <w:spacing w:after="0" w:line="256" w:lineRule="auto"/>
        <w:tabs>
          <w:tab w:leader="none" w:pos="34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This amount represents the gross value of accelerated vesting of Sammy Aaron’s unvested equity awards outstanding as of January 31, 2026, as shown in the “Stock Awards” table in the section entitled “Outstanding Equity Awards at Fiscal 2026 Year-End” above. For purposes of applying Section 280G of the Code, however, the value of such accelerated vesting would be reduced to reflect a present value factor and the likelihood that the equity awards would have become vested in any event (i.e., as if Sammy Aaron’s employment is not involuntarily terminated after the change in control).</w:t>
      </w:r>
    </w:p>
    <w:p>
      <w:pPr>
        <w:spacing w:after="0" w:line="152" w:lineRule="exact"/>
        <w:rPr>
          <w:rFonts w:ascii="Arial" w:cs="Arial" w:eastAsia="Arial" w:hAnsi="Arial"/>
          <w:sz w:val="16"/>
          <w:szCs w:val="16"/>
          <w:color w:val="auto"/>
        </w:rPr>
      </w:pPr>
    </w:p>
    <w:p>
      <w:pPr>
        <w:ind w:left="340" w:right="20" w:hanging="332"/>
        <w:spacing w:after="0" w:line="286" w:lineRule="auto"/>
        <w:tabs>
          <w:tab w:leader="none" w:pos="34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figures for benefit continuation represent the estimated value of 24 months of continuing group health plan participation in the case of a post-change in control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304800</wp:posOffset>
            </wp:positionV>
            <wp:extent cx="629221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288925</wp:posOffset>
            </wp:positionH>
            <wp:positionV relativeFrom="paragraph">
              <wp:posOffset>356235</wp:posOffset>
            </wp:positionV>
            <wp:extent cx="265430" cy="14605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65430" cy="14605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80" w:hanging="271"/>
        <w:spacing w:after="0"/>
        <w:tabs>
          <w:tab w:leader="none" w:pos="280" w:val="left"/>
        </w:tabs>
        <w:numPr>
          <w:ilvl w:val="0"/>
          <w:numId w:val="83"/>
        </w:numPr>
        <w:rPr>
          <w:rFonts w:ascii="Arial" w:cs="Arial" w:eastAsia="Arial" w:hAnsi="Arial"/>
          <w:sz w:val="20"/>
          <w:szCs w:val="20"/>
          <w:b w:val="1"/>
          <w:bCs w:val="1"/>
          <w:color w:val="4A7EBB"/>
        </w:rPr>
      </w:pPr>
      <w:r>
        <w:rPr>
          <w:rFonts w:ascii="Arial" w:cs="Arial" w:eastAsia="Arial" w:hAnsi="Arial"/>
          <w:sz w:val="20"/>
          <w:szCs w:val="20"/>
          <w:color w:val="80808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356235</wp:posOffset>
            </wp:positionV>
            <wp:extent cx="6292215"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17780</wp:posOffset>
            </wp:positionV>
            <wp:extent cx="629221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23" w:lineRule="exact"/>
        <w:rPr>
          <w:sz w:val="20"/>
          <w:szCs w:val="20"/>
          <w:color w:val="auto"/>
        </w:rPr>
      </w:pPr>
    </w:p>
    <w:p>
      <w:pPr>
        <w:jc w:val="both"/>
        <w:ind w:left="340" w:right="40" w:hanging="332"/>
        <w:spacing w:after="0" w:line="266" w:lineRule="auto"/>
        <w:tabs>
          <w:tab w:leader="none" w:pos="340" w:val="left"/>
        </w:tabs>
        <w:numPr>
          <w:ilvl w:val="0"/>
          <w:numId w:val="84"/>
        </w:numPr>
        <w:rPr>
          <w:rFonts w:ascii="Arial" w:cs="Arial" w:eastAsia="Arial" w:hAnsi="Arial"/>
          <w:sz w:val="16"/>
          <w:szCs w:val="16"/>
          <w:color w:val="auto"/>
        </w:rPr>
      </w:pPr>
      <w:r>
        <w:rPr>
          <w:rFonts w:ascii="Arial" w:cs="Arial" w:eastAsia="Arial" w:hAnsi="Arial"/>
          <w:sz w:val="16"/>
          <w:szCs w:val="16"/>
          <w:color w:val="auto"/>
        </w:rPr>
        <w:t>Should the Section 280G value of this amount exceed Sammy Aaron’s Section 280G threshold, then this amount will be reduced to the maximum amount that does not exceed such threshold, but only if, after taking into account all taxes (including excise taxes under Section 4999 of the Code), Sammy Aaron would be better off on an after-tax basis receiving the reduced amount.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595959"/>
        </w:rPr>
        <w:t>NEAL S. NACKMAN, CHIEF FINANCIAL OFFICER</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460" w:type="dxa"/>
            <w:vAlign w:val="bottom"/>
            <w:tcBorders>
              <w:top w:val="single" w:sz="8" w:color="4A7EBB"/>
            </w:tcBorders>
            <w:shd w:val="clear" w:color="auto" w:fill="DBE5F1"/>
          </w:tcPr>
          <w:p>
            <w:pPr>
              <w:ind w:left="370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1420" w:type="dxa"/>
            <w:vAlign w:val="bottom"/>
            <w:tcBorders>
              <w:top w:val="single" w:sz="8" w:color="4A7EBB"/>
            </w:tcBorders>
            <w:shd w:val="clear" w:color="auto" w:fill="DBE5F1"/>
          </w:tcPr>
          <w:p>
            <w:pPr>
              <w:spacing w:after="0"/>
              <w:rPr>
                <w:sz w:val="17"/>
                <w:szCs w:val="17"/>
                <w:color w:val="auto"/>
              </w:rPr>
            </w:pPr>
          </w:p>
        </w:tc>
        <w:tc>
          <w:tcPr>
            <w:tcW w:w="280" w:type="dxa"/>
            <w:vAlign w:val="bottom"/>
            <w:tcBorders>
              <w:top w:val="single" w:sz="8" w:color="4A7EBB"/>
            </w:tcBorders>
            <w:shd w:val="clear" w:color="auto" w:fill="DBE5F1"/>
          </w:tcPr>
          <w:p>
            <w:pPr>
              <w:jc w:val="right"/>
              <w:ind w:right="28"/>
              <w:spacing w:after="0"/>
              <w:rPr>
                <w:sz w:val="20"/>
                <w:szCs w:val="20"/>
                <w:color w:val="auto"/>
              </w:rPr>
            </w:pPr>
            <w:r>
              <w:rPr>
                <w:rFonts w:ascii="Arial" w:cs="Arial" w:eastAsia="Arial" w:hAnsi="Arial"/>
                <w:sz w:val="16"/>
                <w:szCs w:val="16"/>
                <w:color w:val="auto"/>
              </w:rPr>
              <w:t>​</w:t>
            </w:r>
          </w:p>
        </w:tc>
        <w:tc>
          <w:tcPr>
            <w:tcW w:w="420" w:type="dxa"/>
            <w:vAlign w:val="bottom"/>
            <w:tcBorders>
              <w:top w:val="single" w:sz="8" w:color="4A7EBB"/>
            </w:tcBorders>
            <w:shd w:val="clear" w:color="auto" w:fill="DBE5F1"/>
          </w:tcPr>
          <w:p>
            <w:pPr>
              <w:ind w:left="100"/>
              <w:spacing w:after="0"/>
              <w:rPr>
                <w:sz w:val="20"/>
                <w:szCs w:val="20"/>
                <w:color w:val="auto"/>
              </w:rPr>
            </w:pPr>
            <w:r>
              <w:rPr>
                <w:rFonts w:ascii="Arial" w:cs="Arial" w:eastAsia="Arial" w:hAnsi="Arial"/>
                <w:sz w:val="16"/>
                <w:szCs w:val="16"/>
                <w:color w:val="auto"/>
              </w:rPr>
              <w:t>​</w:t>
            </w:r>
          </w:p>
        </w:tc>
        <w:tc>
          <w:tcPr>
            <w:tcW w:w="3120" w:type="dxa"/>
            <w:vAlign w:val="bottom"/>
            <w:tcBorders>
              <w:top w:val="single" w:sz="8" w:color="4A7EBB"/>
            </w:tcBorders>
            <w:shd w:val="clear" w:color="auto" w:fill="DBE5F1"/>
          </w:tcPr>
          <w:p>
            <w:pPr>
              <w:jc w:val="center"/>
              <w:ind w:right="226"/>
              <w:spacing w:after="0"/>
              <w:rPr>
                <w:sz w:val="20"/>
                <w:szCs w:val="20"/>
                <w:color w:val="auto"/>
              </w:rPr>
            </w:pPr>
            <w:r>
              <w:rPr>
                <w:rFonts w:ascii="Arial" w:cs="Arial" w:eastAsia="Arial" w:hAnsi="Arial"/>
                <w:sz w:val="16"/>
                <w:szCs w:val="16"/>
                <w:b w:val="1"/>
                <w:bCs w:val="1"/>
                <w:color w:val="auto"/>
              </w:rPr>
              <w:t>Termination without Cause or</w:t>
            </w:r>
          </w:p>
        </w:tc>
        <w:tc>
          <w:tcPr>
            <w:tcW w:w="200" w:type="dxa"/>
            <w:vAlign w:val="bottom"/>
            <w:tcBorders>
              <w:top w:val="single" w:sz="8" w:color="4A7EBB"/>
            </w:tcBorders>
            <w:shd w:val="clear" w:color="auto" w:fill="DBE5F1"/>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60" w:type="dxa"/>
            <w:vAlign w:val="bottom"/>
            <w:shd w:val="clear" w:color="auto" w:fill="DBE5F1"/>
          </w:tcPr>
          <w:p>
            <w:pPr>
              <w:spacing w:after="0"/>
              <w:rPr>
                <w:sz w:val="16"/>
                <w:szCs w:val="16"/>
                <w:color w:val="auto"/>
              </w:rPr>
            </w:pPr>
          </w:p>
        </w:tc>
        <w:tc>
          <w:tcPr>
            <w:tcW w:w="1420" w:type="dxa"/>
            <w:vAlign w:val="bottom"/>
            <w:shd w:val="clear" w:color="auto" w:fill="DBE5F1"/>
          </w:tcPr>
          <w:p>
            <w:pPr>
              <w:spacing w:after="0"/>
              <w:rPr>
                <w:sz w:val="16"/>
                <w:szCs w:val="16"/>
                <w:color w:val="auto"/>
              </w:rPr>
            </w:pPr>
          </w:p>
        </w:tc>
        <w:tc>
          <w:tcPr>
            <w:tcW w:w="280" w:type="dxa"/>
            <w:vAlign w:val="bottom"/>
            <w:shd w:val="clear" w:color="auto" w:fill="DBE5F1"/>
          </w:tcPr>
          <w:p>
            <w:pPr>
              <w:spacing w:after="0"/>
              <w:rPr>
                <w:sz w:val="16"/>
                <w:szCs w:val="16"/>
                <w:color w:val="auto"/>
              </w:rPr>
            </w:pPr>
          </w:p>
        </w:tc>
        <w:tc>
          <w:tcPr>
            <w:tcW w:w="3740" w:type="dxa"/>
            <w:vAlign w:val="bottom"/>
            <w:gridSpan w:val="3"/>
            <w:shd w:val="clear" w:color="auto" w:fill="DBE5F1"/>
          </w:tcPr>
          <w:p>
            <w:pPr>
              <w:jc w:val="center"/>
              <w:ind w:right="13"/>
              <w:spacing w:after="0"/>
              <w:rPr>
                <w:sz w:val="20"/>
                <w:szCs w:val="20"/>
                <w:color w:val="auto"/>
              </w:rPr>
            </w:pPr>
            <w:r>
              <w:rPr>
                <w:rFonts w:ascii="Arial" w:cs="Arial" w:eastAsia="Arial" w:hAnsi="Arial"/>
                <w:sz w:val="16"/>
                <w:szCs w:val="16"/>
                <w:b w:val="1"/>
                <w:bCs w:val="1"/>
                <w:color w:val="auto"/>
              </w:rPr>
              <w:t>Resignation for Good Reason in Connection</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60" w:type="dxa"/>
            <w:vAlign w:val="bottom"/>
            <w:tcBorders>
              <w:bottom w:val="single" w:sz="8" w:color="4A7EBB"/>
            </w:tcBorders>
            <w:gridSpan w:val="3"/>
            <w:shd w:val="clear" w:color="auto" w:fill="DBE5F1"/>
          </w:tcPr>
          <w:p>
            <w:pPr>
              <w:jc w:val="right"/>
              <w:ind w:right="208"/>
              <w:spacing w:after="0"/>
              <w:rPr>
                <w:sz w:val="20"/>
                <w:szCs w:val="20"/>
                <w:color w:val="auto"/>
              </w:rPr>
            </w:pPr>
            <w:r>
              <w:rPr>
                <w:rFonts w:ascii="Arial" w:cs="Arial" w:eastAsia="Arial" w:hAnsi="Arial"/>
                <w:sz w:val="16"/>
                <w:szCs w:val="16"/>
                <w:b w:val="1"/>
                <w:bCs w:val="1"/>
                <w:color w:val="auto"/>
              </w:rPr>
              <w:t>Termination without Cause</w:t>
            </w:r>
          </w:p>
        </w:tc>
        <w:tc>
          <w:tcPr>
            <w:tcW w:w="420" w:type="dxa"/>
            <w:vAlign w:val="bottom"/>
            <w:tcBorders>
              <w:bottom w:val="single" w:sz="8" w:color="4A7EBB"/>
            </w:tcBorders>
            <w:shd w:val="clear" w:color="auto" w:fill="DBE5F1"/>
          </w:tcPr>
          <w:p>
            <w:pPr>
              <w:spacing w:after="0"/>
              <w:rPr>
                <w:sz w:val="16"/>
                <w:szCs w:val="16"/>
                <w:color w:val="auto"/>
              </w:rPr>
            </w:pPr>
          </w:p>
        </w:tc>
        <w:tc>
          <w:tcPr>
            <w:tcW w:w="3120" w:type="dxa"/>
            <w:vAlign w:val="bottom"/>
            <w:tcBorders>
              <w:bottom w:val="single" w:sz="8" w:color="4A7EBB"/>
            </w:tcBorders>
            <w:shd w:val="clear" w:color="auto" w:fill="DBE5F1"/>
          </w:tcPr>
          <w:p>
            <w:pPr>
              <w:jc w:val="center"/>
              <w:ind w:right="226"/>
              <w:spacing w:after="0"/>
              <w:rPr>
                <w:sz w:val="20"/>
                <w:szCs w:val="20"/>
                <w:color w:val="auto"/>
              </w:rPr>
            </w:pPr>
            <w:r>
              <w:rPr>
                <w:rFonts w:ascii="Arial" w:cs="Arial" w:eastAsia="Arial" w:hAnsi="Arial"/>
                <w:sz w:val="16"/>
                <w:szCs w:val="16"/>
                <w:b w:val="1"/>
                <w:bCs w:val="1"/>
                <w:color w:val="auto"/>
              </w:rPr>
              <w:t>with a Change in Control</w:t>
            </w:r>
          </w:p>
        </w:tc>
        <w:tc>
          <w:tcPr>
            <w:tcW w:w="200" w:type="dxa"/>
            <w:vAlign w:val="bottom"/>
            <w:tcBorders>
              <w:bottom w:val="single" w:sz="8" w:color="4A7EBB"/>
            </w:tcBorders>
            <w:shd w:val="clear" w:color="auto" w:fill="DBE5F1"/>
          </w:tcPr>
          <w:p>
            <w:pPr>
              <w:spacing w:after="0"/>
              <w:rPr>
                <w:sz w:val="16"/>
                <w:szCs w:val="16"/>
                <w:color w:val="auto"/>
              </w:rPr>
            </w:pPr>
          </w:p>
        </w:tc>
        <w:tc>
          <w:tcPr>
            <w:tcW w:w="20" w:type="dxa"/>
            <w:vAlign w:val="bottom"/>
            <w:tcBorders>
              <w:bottom w:val="single" w:sz="8" w:color="4A7EBB"/>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60" w:type="dxa"/>
            <w:vAlign w:val="bottom"/>
            <w:tcBorders>
              <w:bottom w:val="single" w:sz="8" w:color="4A7EBB"/>
            </w:tcBorders>
          </w:tcPr>
          <w:p>
            <w:pPr>
              <w:spacing w:after="0"/>
              <w:rPr>
                <w:sz w:val="20"/>
                <w:szCs w:val="20"/>
                <w:color w:val="auto"/>
              </w:rPr>
            </w:pPr>
            <w:r>
              <w:rPr>
                <w:rFonts w:ascii="Arial" w:cs="Arial" w:eastAsia="Arial" w:hAnsi="Arial"/>
                <w:sz w:val="16"/>
                <w:szCs w:val="16"/>
                <w:color w:val="auto"/>
              </w:rPr>
              <w:t>Base Salary</w:t>
            </w:r>
          </w:p>
        </w:tc>
        <w:tc>
          <w:tcPr>
            <w:tcW w:w="1700" w:type="dxa"/>
            <w:vAlign w:val="bottom"/>
            <w:tcBorders>
              <w:bottom w:val="single" w:sz="8" w:color="4A7EBB"/>
            </w:tcBorders>
            <w:gridSpan w:val="2"/>
          </w:tcPr>
          <w:p>
            <w:pPr>
              <w:jc w:val="right"/>
              <w:ind w:right="8"/>
              <w:spacing w:after="0" w:line="195" w:lineRule="exact"/>
              <w:rPr>
                <w:sz w:val="20"/>
                <w:szCs w:val="20"/>
                <w:color w:val="auto"/>
              </w:rPr>
            </w:pPr>
            <w:r>
              <w:rPr>
                <w:rFonts w:ascii="Arial" w:cs="Arial" w:eastAsia="Arial" w:hAnsi="Arial"/>
                <w:sz w:val="13"/>
                <w:szCs w:val="13"/>
                <w:color w:val="auto"/>
              </w:rPr>
              <w:t xml:space="preserve">$750,000 </w:t>
            </w:r>
            <w:r>
              <w:rPr>
                <w:rFonts w:ascii="Arial" w:cs="Arial" w:eastAsia="Arial" w:hAnsi="Arial"/>
                <w:sz w:val="22"/>
                <w:szCs w:val="22"/>
                <w:color w:val="auto"/>
                <w:vertAlign w:val="superscript"/>
              </w:rPr>
              <w:t>(1)</w:t>
            </w:r>
          </w:p>
        </w:tc>
        <w:tc>
          <w:tcPr>
            <w:tcW w:w="420" w:type="dxa"/>
            <w:vAlign w:val="bottom"/>
            <w:tcBorders>
              <w:bottom w:val="single" w:sz="8" w:color="4A7EBB"/>
            </w:tcBorders>
          </w:tcPr>
          <w:p>
            <w:pPr>
              <w:spacing w:after="0"/>
              <w:rPr>
                <w:sz w:val="17"/>
                <w:szCs w:val="17"/>
                <w:color w:val="auto"/>
              </w:rPr>
            </w:pPr>
          </w:p>
        </w:tc>
        <w:tc>
          <w:tcPr>
            <w:tcW w:w="3320" w:type="dxa"/>
            <w:vAlign w:val="bottom"/>
            <w:tcBorders>
              <w:bottom w:val="single" w:sz="8" w:color="4A7EBB"/>
            </w:tcBorders>
            <w:gridSpan w:val="2"/>
          </w:tcPr>
          <w:p>
            <w:pPr>
              <w:jc w:val="right"/>
              <w:spacing w:after="0" w:line="195" w:lineRule="exact"/>
              <w:rPr>
                <w:sz w:val="20"/>
                <w:szCs w:val="20"/>
                <w:color w:val="auto"/>
              </w:rPr>
            </w:pPr>
            <w:r>
              <w:rPr>
                <w:rFonts w:ascii="Arial" w:cs="Arial" w:eastAsia="Arial" w:hAnsi="Arial"/>
                <w:sz w:val="13"/>
                <w:szCs w:val="13"/>
                <w:color w:val="auto"/>
              </w:rPr>
              <w:t xml:space="preserve">$1,125,000 </w:t>
            </w:r>
            <w:r>
              <w:rPr>
                <w:rFonts w:ascii="Arial" w:cs="Arial" w:eastAsia="Arial" w:hAnsi="Arial"/>
                <w:sz w:val="22"/>
                <w:szCs w:val="22"/>
                <w:color w:val="auto"/>
                <w:vertAlign w:val="superscript"/>
              </w:rPr>
              <w:t>(1)</w:t>
            </w:r>
          </w:p>
        </w:tc>
        <w:tc>
          <w:tcPr>
            <w:tcW w:w="20" w:type="dxa"/>
            <w:vAlign w:val="bottom"/>
            <w:tcBorders>
              <w:bottom w:val="single" w:sz="8" w:color="4A7EBB"/>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60" w:type="dxa"/>
            <w:vAlign w:val="bottom"/>
            <w:tcBorders>
              <w:bottom w:val="single" w:sz="8" w:color="4A7EBB"/>
            </w:tcBorders>
            <w:shd w:val="clear" w:color="auto" w:fill="F2F2F2"/>
          </w:tcPr>
          <w:p>
            <w:pPr>
              <w:spacing w:after="0"/>
              <w:rPr>
                <w:sz w:val="20"/>
                <w:szCs w:val="20"/>
                <w:color w:val="auto"/>
              </w:rPr>
            </w:pPr>
            <w:r>
              <w:rPr>
                <w:rFonts w:ascii="Arial" w:cs="Arial" w:eastAsia="Arial" w:hAnsi="Arial"/>
                <w:sz w:val="16"/>
                <w:szCs w:val="16"/>
                <w:color w:val="auto"/>
              </w:rPr>
              <w:t>Bonus</w:t>
            </w:r>
          </w:p>
        </w:tc>
        <w:tc>
          <w:tcPr>
            <w:tcW w:w="1420" w:type="dxa"/>
            <w:vAlign w:val="bottom"/>
            <w:tcBorders>
              <w:bottom w:val="single" w:sz="8" w:color="4A7EBB"/>
            </w:tcBorders>
            <w:shd w:val="clear" w:color="auto" w:fill="F2F2F2"/>
          </w:tcPr>
          <w:p>
            <w:pPr>
              <w:jc w:val="right"/>
              <w:spacing w:after="0"/>
              <w:rPr>
                <w:sz w:val="20"/>
                <w:szCs w:val="20"/>
                <w:color w:val="auto"/>
              </w:rPr>
            </w:pPr>
            <w:r>
              <w:rPr>
                <w:rFonts w:ascii="Arial" w:cs="Arial" w:eastAsia="Arial" w:hAnsi="Arial"/>
                <w:sz w:val="15"/>
                <w:szCs w:val="15"/>
                <w:color w:val="auto"/>
              </w:rPr>
              <w:t>$975,000</w:t>
            </w:r>
          </w:p>
        </w:tc>
        <w:tc>
          <w:tcPr>
            <w:tcW w:w="280" w:type="dxa"/>
            <w:vAlign w:val="bottom"/>
            <w:tcBorders>
              <w:bottom w:val="single" w:sz="8" w:color="4A7EBB"/>
            </w:tcBorders>
            <w:shd w:val="clear" w:color="auto" w:fill="F2F2F2"/>
          </w:tcPr>
          <w:p>
            <w:pPr>
              <w:jc w:val="right"/>
              <w:ind w:right="8"/>
              <w:spacing w:after="0"/>
              <w:rPr>
                <w:sz w:val="20"/>
                <w:szCs w:val="20"/>
                <w:color w:val="auto"/>
              </w:rPr>
            </w:pPr>
            <w:r>
              <w:rPr>
                <w:rFonts w:ascii="Arial" w:cs="Arial" w:eastAsia="Arial" w:hAnsi="Arial"/>
                <w:sz w:val="13"/>
                <w:szCs w:val="13"/>
                <w:color w:val="auto"/>
              </w:rPr>
              <w:t>(2)</w:t>
            </w:r>
          </w:p>
        </w:tc>
        <w:tc>
          <w:tcPr>
            <w:tcW w:w="420" w:type="dxa"/>
            <w:vAlign w:val="bottom"/>
            <w:tcBorders>
              <w:bottom w:val="single" w:sz="8" w:color="4A7EBB"/>
            </w:tcBorders>
            <w:shd w:val="clear" w:color="auto" w:fill="F2F2F2"/>
          </w:tcPr>
          <w:p>
            <w:pPr>
              <w:spacing w:after="0"/>
              <w:rPr>
                <w:sz w:val="17"/>
                <w:szCs w:val="17"/>
                <w:color w:val="auto"/>
              </w:rPr>
            </w:pPr>
          </w:p>
        </w:tc>
        <w:tc>
          <w:tcPr>
            <w:tcW w:w="3320" w:type="dxa"/>
            <w:vAlign w:val="bottom"/>
            <w:tcBorders>
              <w:bottom w:val="single" w:sz="8" w:color="4A7EBB"/>
            </w:tcBorders>
            <w:gridSpan w:val="2"/>
            <w:shd w:val="clear" w:color="auto" w:fill="F2F2F2"/>
          </w:tcPr>
          <w:p>
            <w:pPr>
              <w:jc w:val="right"/>
              <w:spacing w:after="0" w:line="195" w:lineRule="exact"/>
              <w:rPr>
                <w:sz w:val="20"/>
                <w:szCs w:val="20"/>
                <w:color w:val="auto"/>
              </w:rPr>
            </w:pPr>
            <w:r>
              <w:rPr>
                <w:rFonts w:ascii="Arial" w:cs="Arial" w:eastAsia="Arial" w:hAnsi="Arial"/>
                <w:sz w:val="13"/>
                <w:szCs w:val="13"/>
                <w:color w:val="auto"/>
              </w:rPr>
              <w:t xml:space="preserve">$1,462,500 </w:t>
            </w:r>
            <w:r>
              <w:rPr>
                <w:rFonts w:ascii="Arial" w:cs="Arial" w:eastAsia="Arial" w:hAnsi="Arial"/>
                <w:sz w:val="22"/>
                <w:szCs w:val="22"/>
                <w:color w:val="auto"/>
                <w:vertAlign w:val="superscript"/>
              </w:rPr>
              <w:t>(2)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60" w:type="dxa"/>
            <w:vAlign w:val="bottom"/>
            <w:tcBorders>
              <w:bottom w:val="single" w:sz="8" w:color="4A7EBB"/>
            </w:tcBorders>
          </w:tcPr>
          <w:p>
            <w:pPr>
              <w:spacing w:after="0"/>
              <w:rPr>
                <w:sz w:val="20"/>
                <w:szCs w:val="20"/>
                <w:color w:val="auto"/>
              </w:rPr>
            </w:pPr>
            <w:r>
              <w:rPr>
                <w:rFonts w:ascii="Arial" w:cs="Arial" w:eastAsia="Arial" w:hAnsi="Arial"/>
                <w:sz w:val="16"/>
                <w:szCs w:val="16"/>
                <w:color w:val="auto"/>
              </w:rPr>
              <w:t>Accelerated Vesting of Equity Awards</w:t>
            </w:r>
          </w:p>
        </w:tc>
        <w:tc>
          <w:tcPr>
            <w:tcW w:w="1420" w:type="dxa"/>
            <w:vAlign w:val="bottom"/>
            <w:tcBorders>
              <w:bottom w:val="single" w:sz="8" w:color="4A7EBB"/>
            </w:tcBorders>
          </w:tcPr>
          <w:p>
            <w:pPr>
              <w:jc w:val="right"/>
              <w:spacing w:after="0"/>
              <w:rPr>
                <w:sz w:val="20"/>
                <w:szCs w:val="20"/>
                <w:color w:val="auto"/>
              </w:rPr>
            </w:pPr>
            <w:r>
              <w:rPr>
                <w:rFonts w:ascii="Arial" w:cs="Arial" w:eastAsia="Arial" w:hAnsi="Arial"/>
                <w:sz w:val="11"/>
                <w:szCs w:val="11"/>
                <w:color w:val="auto"/>
              </w:rPr>
              <w:t>—</w:t>
            </w:r>
          </w:p>
        </w:tc>
        <w:tc>
          <w:tcPr>
            <w:tcW w:w="280" w:type="dxa"/>
            <w:vAlign w:val="bottom"/>
            <w:tcBorders>
              <w:bottom w:val="single" w:sz="8" w:color="4A7EBB"/>
            </w:tcBorders>
          </w:tcPr>
          <w:p>
            <w:pPr>
              <w:spacing w:after="0"/>
              <w:rPr>
                <w:sz w:val="17"/>
                <w:szCs w:val="17"/>
                <w:color w:val="auto"/>
              </w:rPr>
            </w:pPr>
          </w:p>
        </w:tc>
        <w:tc>
          <w:tcPr>
            <w:tcW w:w="420" w:type="dxa"/>
            <w:vAlign w:val="bottom"/>
            <w:tcBorders>
              <w:bottom w:val="single" w:sz="8" w:color="4A7EBB"/>
            </w:tcBorders>
          </w:tcPr>
          <w:p>
            <w:pPr>
              <w:spacing w:after="0"/>
              <w:rPr>
                <w:sz w:val="17"/>
                <w:szCs w:val="17"/>
                <w:color w:val="auto"/>
              </w:rPr>
            </w:pPr>
          </w:p>
        </w:tc>
        <w:tc>
          <w:tcPr>
            <w:tcW w:w="3320" w:type="dxa"/>
            <w:vAlign w:val="bottom"/>
            <w:tcBorders>
              <w:bottom w:val="single" w:sz="8" w:color="4A7EBB"/>
            </w:tcBorders>
            <w:gridSpan w:val="2"/>
          </w:tcPr>
          <w:p>
            <w:pPr>
              <w:jc w:val="right"/>
              <w:spacing w:after="0" w:line="195" w:lineRule="exact"/>
              <w:rPr>
                <w:sz w:val="20"/>
                <w:szCs w:val="20"/>
                <w:color w:val="auto"/>
              </w:rPr>
            </w:pPr>
            <w:r>
              <w:rPr>
                <w:rFonts w:ascii="Arial" w:cs="Arial" w:eastAsia="Arial" w:hAnsi="Arial"/>
                <w:sz w:val="13"/>
                <w:szCs w:val="13"/>
                <w:color w:val="auto"/>
              </w:rPr>
              <w:t xml:space="preserve">$2,069,175 </w:t>
            </w:r>
            <w:r>
              <w:rPr>
                <w:rFonts w:ascii="Arial" w:cs="Arial" w:eastAsia="Arial" w:hAnsi="Arial"/>
                <w:sz w:val="22"/>
                <w:szCs w:val="22"/>
                <w:color w:val="auto"/>
                <w:vertAlign w:val="superscript"/>
              </w:rPr>
              <w:t>(3)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60" w:type="dxa"/>
            <w:vAlign w:val="bottom"/>
            <w:tcBorders>
              <w:bottom w:val="single" w:sz="8" w:color="4A7EBB"/>
            </w:tcBorders>
            <w:shd w:val="clear" w:color="auto" w:fill="F2F2F2"/>
          </w:tcPr>
          <w:p>
            <w:pPr>
              <w:spacing w:after="0"/>
              <w:rPr>
                <w:sz w:val="20"/>
                <w:szCs w:val="20"/>
                <w:color w:val="auto"/>
              </w:rPr>
            </w:pPr>
            <w:r>
              <w:rPr>
                <w:rFonts w:ascii="Arial" w:cs="Arial" w:eastAsia="Arial" w:hAnsi="Arial"/>
                <w:sz w:val="16"/>
                <w:szCs w:val="16"/>
                <w:color w:val="auto"/>
              </w:rPr>
              <w:t>Value of Continuing Employee Benefits</w:t>
            </w:r>
          </w:p>
        </w:tc>
        <w:tc>
          <w:tcPr>
            <w:tcW w:w="1420" w:type="dxa"/>
            <w:vAlign w:val="bottom"/>
            <w:tcBorders>
              <w:bottom w:val="single" w:sz="8" w:color="4A7EBB"/>
            </w:tcBorders>
            <w:shd w:val="clear" w:color="auto" w:fill="F2F2F2"/>
          </w:tcPr>
          <w:p>
            <w:pPr>
              <w:jc w:val="right"/>
              <w:spacing w:after="0"/>
              <w:rPr>
                <w:sz w:val="20"/>
                <w:szCs w:val="20"/>
                <w:color w:val="auto"/>
              </w:rPr>
            </w:pPr>
            <w:r>
              <w:rPr>
                <w:rFonts w:ascii="Arial" w:cs="Arial" w:eastAsia="Arial" w:hAnsi="Arial"/>
                <w:sz w:val="15"/>
                <w:szCs w:val="15"/>
                <w:color w:val="auto"/>
              </w:rPr>
              <w:t>$26,278</w:t>
            </w:r>
          </w:p>
        </w:tc>
        <w:tc>
          <w:tcPr>
            <w:tcW w:w="280" w:type="dxa"/>
            <w:vAlign w:val="bottom"/>
            <w:tcBorders>
              <w:bottom w:val="single" w:sz="8" w:color="4A7EBB"/>
            </w:tcBorders>
            <w:shd w:val="clear" w:color="auto" w:fill="F2F2F2"/>
          </w:tcPr>
          <w:p>
            <w:pPr>
              <w:jc w:val="right"/>
              <w:ind w:right="8"/>
              <w:spacing w:after="0"/>
              <w:rPr>
                <w:sz w:val="20"/>
                <w:szCs w:val="20"/>
                <w:color w:val="auto"/>
              </w:rPr>
            </w:pPr>
            <w:r>
              <w:rPr>
                <w:rFonts w:ascii="Arial" w:cs="Arial" w:eastAsia="Arial" w:hAnsi="Arial"/>
                <w:sz w:val="13"/>
                <w:szCs w:val="13"/>
                <w:color w:val="auto"/>
              </w:rPr>
              <w:t>(4)</w:t>
            </w:r>
          </w:p>
        </w:tc>
        <w:tc>
          <w:tcPr>
            <w:tcW w:w="420" w:type="dxa"/>
            <w:vAlign w:val="bottom"/>
            <w:tcBorders>
              <w:bottom w:val="single" w:sz="8" w:color="4A7EBB"/>
            </w:tcBorders>
            <w:shd w:val="clear" w:color="auto" w:fill="F2F2F2"/>
          </w:tcPr>
          <w:p>
            <w:pPr>
              <w:spacing w:after="0"/>
              <w:rPr>
                <w:sz w:val="17"/>
                <w:szCs w:val="17"/>
                <w:color w:val="auto"/>
              </w:rPr>
            </w:pPr>
          </w:p>
        </w:tc>
        <w:tc>
          <w:tcPr>
            <w:tcW w:w="3120" w:type="dxa"/>
            <w:vAlign w:val="bottom"/>
            <w:tcBorders>
              <w:bottom w:val="single" w:sz="8" w:color="4A7EBB"/>
            </w:tcBorders>
            <w:shd w:val="clear" w:color="auto" w:fill="F2F2F2"/>
          </w:tcPr>
          <w:p>
            <w:pPr>
              <w:jc w:val="right"/>
              <w:spacing w:after="0"/>
              <w:rPr>
                <w:sz w:val="20"/>
                <w:szCs w:val="20"/>
                <w:color w:val="auto"/>
              </w:rPr>
            </w:pPr>
            <w:r>
              <w:rPr>
                <w:rFonts w:ascii="Arial" w:cs="Arial" w:eastAsia="Arial" w:hAnsi="Arial"/>
                <w:sz w:val="15"/>
                <w:szCs w:val="15"/>
                <w:color w:val="auto"/>
              </w:rPr>
              <w:t>$39,416</w:t>
            </w:r>
          </w:p>
        </w:tc>
        <w:tc>
          <w:tcPr>
            <w:tcW w:w="200" w:type="dxa"/>
            <w:vAlign w:val="bottom"/>
            <w:tcBorders>
              <w:bottom w:val="single" w:sz="8" w:color="4A7EBB"/>
            </w:tcBorders>
            <w:shd w:val="clear" w:color="auto" w:fill="F2F2F2"/>
          </w:tcPr>
          <w:p>
            <w:pPr>
              <w:jc w:val="right"/>
              <w:spacing w:after="0"/>
              <w:rPr>
                <w:sz w:val="20"/>
                <w:szCs w:val="20"/>
                <w:color w:val="auto"/>
              </w:rPr>
            </w:pPr>
            <w:r>
              <w:rPr>
                <w:rFonts w:ascii="Arial" w:cs="Arial" w:eastAsia="Arial" w:hAnsi="Arial"/>
                <w:sz w:val="13"/>
                <w:szCs w:val="13"/>
                <w:color w:val="auto"/>
              </w:rPr>
              <w:t>(4)</w:t>
            </w:r>
          </w:p>
        </w:tc>
        <w:tc>
          <w:tcPr>
            <w:tcW w:w="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96"/>
        </w:trPr>
        <w:tc>
          <w:tcPr>
            <w:tcW w:w="20" w:type="dxa"/>
            <w:vAlign w:val="bottom"/>
            <w:tcBorders>
              <w:bottom w:val="single" w:sz="8" w:color="808080"/>
            </w:tcBorders>
          </w:tcPr>
          <w:p>
            <w:pPr>
              <w:spacing w:after="0"/>
              <w:rPr>
                <w:sz w:val="17"/>
                <w:szCs w:val="17"/>
                <w:color w:val="auto"/>
              </w:rPr>
            </w:pPr>
          </w:p>
        </w:tc>
        <w:tc>
          <w:tcPr>
            <w:tcW w:w="4460" w:type="dxa"/>
            <w:vAlign w:val="bottom"/>
            <w:tcBorders>
              <w:bottom w:val="single" w:sz="8" w:color="808080"/>
            </w:tcBorders>
          </w:tcPr>
          <w:p>
            <w:pPr>
              <w:spacing w:after="0"/>
              <w:rPr>
                <w:sz w:val="20"/>
                <w:szCs w:val="20"/>
                <w:color w:val="auto"/>
              </w:rPr>
            </w:pPr>
            <w:r>
              <w:rPr>
                <w:rFonts w:ascii="Arial" w:cs="Arial" w:eastAsia="Arial" w:hAnsi="Arial"/>
                <w:sz w:val="16"/>
                <w:szCs w:val="16"/>
                <w:b w:val="1"/>
                <w:bCs w:val="1"/>
                <w:color w:val="auto"/>
              </w:rPr>
              <w:t>Total</w:t>
            </w:r>
          </w:p>
        </w:tc>
        <w:tc>
          <w:tcPr>
            <w:tcW w:w="1420" w:type="dxa"/>
            <w:vAlign w:val="bottom"/>
            <w:tcBorders>
              <w:bottom w:val="single" w:sz="8" w:color="808080"/>
            </w:tcBorders>
          </w:tcPr>
          <w:p>
            <w:pPr>
              <w:jc w:val="right"/>
              <w:spacing w:after="0"/>
              <w:rPr>
                <w:sz w:val="20"/>
                <w:szCs w:val="20"/>
                <w:color w:val="auto"/>
              </w:rPr>
            </w:pPr>
            <w:r>
              <w:rPr>
                <w:rFonts w:ascii="Arial" w:cs="Arial" w:eastAsia="Arial" w:hAnsi="Arial"/>
                <w:sz w:val="15"/>
                <w:szCs w:val="15"/>
                <w:b w:val="1"/>
                <w:bCs w:val="1"/>
                <w:color w:val="auto"/>
              </w:rPr>
              <w:t>$1,751,278</w:t>
            </w:r>
          </w:p>
        </w:tc>
        <w:tc>
          <w:tcPr>
            <w:tcW w:w="280" w:type="dxa"/>
            <w:vAlign w:val="bottom"/>
            <w:tcBorders>
              <w:bottom w:val="single" w:sz="8" w:color="808080"/>
            </w:tcBorders>
          </w:tcPr>
          <w:p>
            <w:pPr>
              <w:spacing w:after="0"/>
              <w:rPr>
                <w:sz w:val="17"/>
                <w:szCs w:val="17"/>
                <w:color w:val="auto"/>
              </w:rPr>
            </w:pPr>
          </w:p>
        </w:tc>
        <w:tc>
          <w:tcPr>
            <w:tcW w:w="420" w:type="dxa"/>
            <w:vAlign w:val="bottom"/>
            <w:tcBorders>
              <w:bottom w:val="single" w:sz="8" w:color="808080"/>
            </w:tcBorders>
          </w:tcPr>
          <w:p>
            <w:pPr>
              <w:spacing w:after="0"/>
              <w:rPr>
                <w:sz w:val="17"/>
                <w:szCs w:val="17"/>
                <w:color w:val="auto"/>
              </w:rPr>
            </w:pPr>
          </w:p>
        </w:tc>
        <w:tc>
          <w:tcPr>
            <w:tcW w:w="3120" w:type="dxa"/>
            <w:vAlign w:val="bottom"/>
            <w:tcBorders>
              <w:bottom w:val="single" w:sz="8" w:color="808080"/>
            </w:tcBorders>
          </w:tcPr>
          <w:p>
            <w:pPr>
              <w:jc w:val="right"/>
              <w:spacing w:after="0"/>
              <w:rPr>
                <w:sz w:val="20"/>
                <w:szCs w:val="20"/>
                <w:color w:val="auto"/>
              </w:rPr>
            </w:pPr>
            <w:r>
              <w:rPr>
                <w:rFonts w:ascii="Arial" w:cs="Arial" w:eastAsia="Arial" w:hAnsi="Arial"/>
                <w:sz w:val="15"/>
                <w:szCs w:val="15"/>
                <w:b w:val="1"/>
                <w:bCs w:val="1"/>
                <w:color w:val="auto"/>
              </w:rPr>
              <w:t>$4,696,091</w:t>
            </w:r>
          </w:p>
        </w:tc>
        <w:tc>
          <w:tcPr>
            <w:tcW w:w="200" w:type="dxa"/>
            <w:vAlign w:val="bottom"/>
            <w:tcBorders>
              <w:bottom w:val="single" w:sz="8" w:color="808080"/>
            </w:tcBorders>
          </w:tcPr>
          <w:p>
            <w:pPr>
              <w:spacing w:after="0"/>
              <w:rPr>
                <w:sz w:val="17"/>
                <w:szCs w:val="17"/>
                <w:color w:val="auto"/>
              </w:rPr>
            </w:pPr>
          </w:p>
        </w:tc>
        <w:tc>
          <w:tcPr>
            <w:tcW w:w="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6297930</wp:posOffset>
            </wp:positionH>
            <wp:positionV relativeFrom="paragraph">
              <wp:posOffset>-693420</wp:posOffset>
            </wp:positionV>
            <wp:extent cx="8255" cy="14605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8255" cy="146050"/>
                    </a:xfrm>
                    <a:prstGeom prst="rect">
                      <a:avLst/>
                    </a:prstGeom>
                    <a:noFill/>
                  </pic:spPr>
                </pic:pic>
              </a:graphicData>
            </a:graphic>
          </wp:anchor>
        </w:drawing>
        <w:drawing>
          <wp:anchor simplePos="0" relativeHeight="251657728" behindDoc="1" locked="0" layoutInCell="0" allowOverlap="1">
            <wp:simplePos x="0" y="0"/>
            <wp:positionH relativeFrom="column">
              <wp:posOffset>3983355</wp:posOffset>
            </wp:positionH>
            <wp:positionV relativeFrom="paragraph">
              <wp:posOffset>-693420</wp:posOffset>
            </wp:positionV>
            <wp:extent cx="8255" cy="6940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255" cy="694055"/>
                    </a:xfrm>
                    <a:prstGeom prst="rect">
                      <a:avLst/>
                    </a:prstGeom>
                    <a:noFill/>
                  </pic:spPr>
                </pic:pic>
              </a:graphicData>
            </a:graphic>
          </wp:anchor>
        </w:drawing>
        <w:drawing>
          <wp:anchor simplePos="0" relativeHeight="251657728" behindDoc="1" locked="0" layoutInCell="0" allowOverlap="1">
            <wp:simplePos x="0" y="0"/>
            <wp:positionH relativeFrom="column">
              <wp:posOffset>3923665</wp:posOffset>
            </wp:positionH>
            <wp:positionV relativeFrom="paragraph">
              <wp:posOffset>-693420</wp:posOffset>
            </wp:positionV>
            <wp:extent cx="8890" cy="6940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890" cy="694055"/>
                    </a:xfrm>
                    <a:prstGeom prst="rect">
                      <a:avLst/>
                    </a:prstGeom>
                    <a:noFill/>
                  </pic:spPr>
                </pic:pic>
              </a:graphicData>
            </a:graphic>
          </wp:anchor>
        </w:drawing>
        <w:drawing>
          <wp:anchor simplePos="0" relativeHeight="251657728" behindDoc="1" locked="0" layoutInCell="0" allowOverlap="1">
            <wp:simplePos x="0" y="0"/>
            <wp:positionH relativeFrom="column">
              <wp:posOffset>2423160</wp:posOffset>
            </wp:positionH>
            <wp:positionV relativeFrom="paragraph">
              <wp:posOffset>-693420</wp:posOffset>
            </wp:positionV>
            <wp:extent cx="8255" cy="6940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255" cy="694055"/>
                    </a:xfrm>
                    <a:prstGeom prst="rect">
                      <a:avLst/>
                    </a:prstGeom>
                    <a:noFill/>
                  </pic:spPr>
                </pic:pic>
              </a:graphicData>
            </a:graphic>
          </wp:anchor>
        </w:drawing>
        <w:drawing>
          <wp:anchor simplePos="0" relativeHeight="251657728" behindDoc="1" locked="0" layoutInCell="0" allowOverlap="1">
            <wp:simplePos x="0" y="0"/>
            <wp:positionH relativeFrom="column">
              <wp:posOffset>2363470</wp:posOffset>
            </wp:positionH>
            <wp:positionV relativeFrom="paragraph">
              <wp:posOffset>-693420</wp:posOffset>
            </wp:positionV>
            <wp:extent cx="8255" cy="6940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255" cy="694055"/>
                    </a:xfrm>
                    <a:prstGeom prst="rect">
                      <a:avLst/>
                    </a:prstGeom>
                    <a:noFill/>
                  </pic:spPr>
                </pic:pic>
              </a:graphicData>
            </a:graphic>
          </wp:anchor>
        </w:drawing>
      </w:r>
    </w:p>
    <w:p>
      <w:pPr>
        <w:spacing w:after="0" w:line="168" w:lineRule="exact"/>
        <w:rPr>
          <w:sz w:val="20"/>
          <w:szCs w:val="20"/>
          <w:color w:val="auto"/>
        </w:rPr>
      </w:pPr>
    </w:p>
    <w:p>
      <w:pPr>
        <w:ind w:left="340" w:hanging="332"/>
        <w:spacing w:after="0"/>
        <w:tabs>
          <w:tab w:leader="none" w:pos="340" w:val="left"/>
        </w:tabs>
        <w:numPr>
          <w:ilvl w:val="0"/>
          <w:numId w:val="86"/>
        </w:numPr>
        <w:rPr>
          <w:rFonts w:ascii="Arial" w:cs="Arial" w:eastAsia="Arial" w:hAnsi="Arial"/>
          <w:sz w:val="16"/>
          <w:szCs w:val="16"/>
          <w:color w:val="auto"/>
        </w:rPr>
      </w:pPr>
      <w:r>
        <w:rPr>
          <w:rFonts w:ascii="Arial" w:cs="Arial" w:eastAsia="Arial" w:hAnsi="Arial"/>
          <w:sz w:val="16"/>
          <w:szCs w:val="16"/>
          <w:color w:val="auto"/>
        </w:rPr>
        <w:t>Assumes a base salary of $750,000 per year.</w:t>
      </w:r>
    </w:p>
    <w:p>
      <w:pPr>
        <w:spacing w:after="0" w:line="194" w:lineRule="exact"/>
        <w:rPr>
          <w:rFonts w:ascii="Arial" w:cs="Arial" w:eastAsia="Arial" w:hAnsi="Arial"/>
          <w:sz w:val="16"/>
          <w:szCs w:val="16"/>
          <w:color w:val="auto"/>
        </w:rPr>
      </w:pPr>
    </w:p>
    <w:p>
      <w:pPr>
        <w:jc w:val="both"/>
        <w:ind w:left="340" w:right="40" w:hanging="332"/>
        <w:spacing w:after="0" w:line="254" w:lineRule="auto"/>
        <w:tabs>
          <w:tab w:leader="none" w:pos="34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This amount assumes that the average of the annual cash bonus earned by Neal Nackman during the two fiscal years preceding the fiscal year in which Neal Nackman’s employment terminates is $975,000. Neal Nackman’s 280G threshold amount is equal to 3 times his average annual compensation for the 5 years prior to the year in which the change in control occurs (2021 through 2025 if a change in control had occurred on January 31, 2026). As of January 31, 2026, Neal Nackman’s 280G threshold amount was $5,755,844. Based upon the figures shown in the table, Neal Nackman’s post-change in control payments and benefits did not exceed his 280G threshold amount and, therefore, his severance payments would not have been reduced.</w:t>
      </w:r>
    </w:p>
    <w:p>
      <w:pPr>
        <w:spacing w:after="0" w:line="154" w:lineRule="exact"/>
        <w:rPr>
          <w:rFonts w:ascii="Arial" w:cs="Arial" w:eastAsia="Arial" w:hAnsi="Arial"/>
          <w:sz w:val="16"/>
          <w:szCs w:val="16"/>
          <w:color w:val="auto"/>
        </w:rPr>
      </w:pPr>
    </w:p>
    <w:p>
      <w:pPr>
        <w:jc w:val="both"/>
        <w:ind w:left="340" w:right="40" w:hanging="332"/>
        <w:spacing w:after="0" w:line="275" w:lineRule="auto"/>
        <w:tabs>
          <w:tab w:leader="none" w:pos="34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This amount represents the gross value of accelerated vesting of Neal Nackman’s unvested equity awards outstanding as of January 31, 2026, as shown in the “Stock Awards” table in the section entitled “Outstanding Equity Awards at Fiscal 2026 Year-End” above.</w:t>
      </w:r>
    </w:p>
    <w:p>
      <w:pPr>
        <w:spacing w:after="0" w:line="334" w:lineRule="exact"/>
        <w:rPr>
          <w:rFonts w:ascii="Arial" w:cs="Arial" w:eastAsia="Arial" w:hAnsi="Arial"/>
          <w:sz w:val="16"/>
          <w:szCs w:val="16"/>
          <w:color w:val="auto"/>
        </w:rPr>
      </w:pPr>
    </w:p>
    <w:p>
      <w:pPr>
        <w:jc w:val="both"/>
        <w:ind w:left="340" w:right="40" w:hanging="332"/>
        <w:spacing w:after="0" w:line="266" w:lineRule="auto"/>
        <w:tabs>
          <w:tab w:leader="none" w:pos="34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figures for benefit continuation represent the estimated value of all employee benefits for one year in the case of a non-change in control termination, and the estimated value of 18 months of continuing group health plan participation on a subsidized basis in the case of a post-change in control termination.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595959"/>
        </w:rPr>
        <w:t>JEFFREY GOLDFARB, EXECUTIVE VICE PRESIDENT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360" w:type="dxa"/>
            <w:vAlign w:val="bottom"/>
            <w:tcBorders>
              <w:top w:val="single" w:sz="8" w:color="4A7EBB"/>
            </w:tcBorders>
            <w:shd w:val="clear" w:color="auto" w:fill="DBE5F1"/>
          </w:tcPr>
          <w:p>
            <w:pPr>
              <w:ind w:left="350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1520" w:type="dxa"/>
            <w:vAlign w:val="bottom"/>
            <w:tcBorders>
              <w:top w:val="single" w:sz="8" w:color="4A7EBB"/>
            </w:tcBorders>
            <w:shd w:val="clear" w:color="auto" w:fill="DBE5F1"/>
          </w:tcPr>
          <w:p>
            <w:pPr>
              <w:spacing w:after="0"/>
              <w:rPr>
                <w:sz w:val="17"/>
                <w:szCs w:val="17"/>
                <w:color w:val="auto"/>
              </w:rPr>
            </w:pPr>
          </w:p>
        </w:tc>
        <w:tc>
          <w:tcPr>
            <w:tcW w:w="280" w:type="dxa"/>
            <w:vAlign w:val="bottom"/>
            <w:tcBorders>
              <w:top w:val="single" w:sz="8" w:color="4A7EBB"/>
            </w:tcBorders>
            <w:shd w:val="clear" w:color="auto" w:fill="DBE5F1"/>
          </w:tcPr>
          <w:p>
            <w:pPr>
              <w:jc w:val="right"/>
              <w:ind w:right="28"/>
              <w:spacing w:after="0"/>
              <w:rPr>
                <w:sz w:val="20"/>
                <w:szCs w:val="20"/>
                <w:color w:val="auto"/>
              </w:rPr>
            </w:pPr>
            <w:r>
              <w:rPr>
                <w:rFonts w:ascii="Arial" w:cs="Arial" w:eastAsia="Arial" w:hAnsi="Arial"/>
                <w:sz w:val="16"/>
                <w:szCs w:val="16"/>
                <w:color w:val="auto"/>
              </w:rPr>
              <w:t>​</w:t>
            </w:r>
          </w:p>
        </w:tc>
        <w:tc>
          <w:tcPr>
            <w:tcW w:w="420" w:type="dxa"/>
            <w:vAlign w:val="bottom"/>
            <w:tcBorders>
              <w:top w:val="single" w:sz="8" w:color="4A7EBB"/>
            </w:tcBorders>
            <w:shd w:val="clear" w:color="auto" w:fill="DBE5F1"/>
          </w:tcPr>
          <w:p>
            <w:pPr>
              <w:ind w:left="100"/>
              <w:spacing w:after="0"/>
              <w:rPr>
                <w:sz w:val="20"/>
                <w:szCs w:val="20"/>
                <w:color w:val="auto"/>
              </w:rPr>
            </w:pPr>
            <w:r>
              <w:rPr>
                <w:rFonts w:ascii="Arial" w:cs="Arial" w:eastAsia="Arial" w:hAnsi="Arial"/>
                <w:sz w:val="16"/>
                <w:szCs w:val="16"/>
                <w:color w:val="auto"/>
              </w:rPr>
              <w:t>​</w:t>
            </w:r>
          </w:p>
        </w:tc>
        <w:tc>
          <w:tcPr>
            <w:tcW w:w="3140" w:type="dxa"/>
            <w:vAlign w:val="bottom"/>
            <w:tcBorders>
              <w:top w:val="single" w:sz="8" w:color="4A7EBB"/>
            </w:tcBorders>
            <w:shd w:val="clear" w:color="auto" w:fill="DBE5F1"/>
          </w:tcPr>
          <w:p>
            <w:pPr>
              <w:jc w:val="center"/>
              <w:ind w:right="246"/>
              <w:spacing w:after="0"/>
              <w:rPr>
                <w:sz w:val="20"/>
                <w:szCs w:val="20"/>
                <w:color w:val="auto"/>
              </w:rPr>
            </w:pPr>
            <w:r>
              <w:rPr>
                <w:rFonts w:ascii="Arial" w:cs="Arial" w:eastAsia="Arial" w:hAnsi="Arial"/>
                <w:sz w:val="16"/>
                <w:szCs w:val="16"/>
                <w:b w:val="1"/>
                <w:bCs w:val="1"/>
                <w:color w:val="auto"/>
              </w:rPr>
              <w:t>Termination without Cause or</w:t>
            </w:r>
          </w:p>
        </w:tc>
        <w:tc>
          <w:tcPr>
            <w:tcW w:w="180" w:type="dxa"/>
            <w:vAlign w:val="bottom"/>
            <w:tcBorders>
              <w:top w:val="single" w:sz="8" w:color="4A7EBB"/>
            </w:tcBorders>
            <w:shd w:val="clear" w:color="auto" w:fill="DBE5F1"/>
          </w:tcPr>
          <w:p>
            <w:pPr>
              <w:spacing w:after="0"/>
              <w:rPr>
                <w:sz w:val="17"/>
                <w:szCs w:val="17"/>
                <w:color w:val="auto"/>
              </w:rPr>
            </w:pPr>
          </w:p>
        </w:tc>
        <w:tc>
          <w:tcPr>
            <w:tcW w:w="20" w:type="dxa"/>
            <w:vAlign w:val="bottom"/>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6160" w:type="dxa"/>
            <w:vAlign w:val="bottom"/>
            <w:gridSpan w:val="3"/>
            <w:shd w:val="clear" w:color="auto" w:fill="DBE5F1"/>
          </w:tcPr>
          <w:p>
            <w:pPr>
              <w:jc w:val="right"/>
              <w:ind w:right="188"/>
              <w:spacing w:after="0"/>
              <w:rPr>
                <w:sz w:val="20"/>
                <w:szCs w:val="20"/>
                <w:color w:val="auto"/>
              </w:rPr>
            </w:pPr>
            <w:r>
              <w:rPr>
                <w:rFonts w:ascii="Arial" w:cs="Arial" w:eastAsia="Arial" w:hAnsi="Arial"/>
                <w:sz w:val="16"/>
                <w:szCs w:val="16"/>
                <w:b w:val="1"/>
                <w:bCs w:val="1"/>
                <w:color w:val="auto"/>
              </w:rPr>
              <w:t>Termination without Cause or</w:t>
            </w:r>
          </w:p>
        </w:tc>
        <w:tc>
          <w:tcPr>
            <w:tcW w:w="3740" w:type="dxa"/>
            <w:vAlign w:val="bottom"/>
            <w:gridSpan w:val="3"/>
            <w:shd w:val="clear" w:color="auto" w:fill="DBE5F1"/>
          </w:tcPr>
          <w:p>
            <w:pPr>
              <w:jc w:val="center"/>
              <w:ind w:right="13"/>
              <w:spacing w:after="0"/>
              <w:rPr>
                <w:sz w:val="20"/>
                <w:szCs w:val="20"/>
                <w:color w:val="auto"/>
              </w:rPr>
            </w:pPr>
            <w:r>
              <w:rPr>
                <w:rFonts w:ascii="Arial" w:cs="Arial" w:eastAsia="Arial" w:hAnsi="Arial"/>
                <w:sz w:val="16"/>
                <w:szCs w:val="16"/>
                <w:b w:val="1"/>
                <w:bCs w:val="1"/>
                <w:color w:val="auto"/>
              </w:rPr>
              <w:t>Resignation for Good Reason in Connection</w:t>
            </w:r>
          </w:p>
        </w:tc>
        <w:tc>
          <w:tcPr>
            <w:tcW w:w="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6160" w:type="dxa"/>
            <w:vAlign w:val="bottom"/>
            <w:tcBorders>
              <w:bottom w:val="single" w:sz="8" w:color="4A7EBB"/>
            </w:tcBorders>
            <w:gridSpan w:val="3"/>
            <w:shd w:val="clear" w:color="auto" w:fill="DBE5F1"/>
          </w:tcPr>
          <w:p>
            <w:pPr>
              <w:jc w:val="right"/>
              <w:ind w:right="188"/>
              <w:spacing w:after="0"/>
              <w:rPr>
                <w:sz w:val="20"/>
                <w:szCs w:val="20"/>
                <w:color w:val="auto"/>
              </w:rPr>
            </w:pPr>
            <w:r>
              <w:rPr>
                <w:rFonts w:ascii="Arial" w:cs="Arial" w:eastAsia="Arial" w:hAnsi="Arial"/>
                <w:sz w:val="16"/>
                <w:szCs w:val="16"/>
                <w:b w:val="1"/>
                <w:bCs w:val="1"/>
                <w:color w:val="auto"/>
              </w:rPr>
              <w:t>Resignation for Good Reason</w:t>
            </w:r>
          </w:p>
        </w:tc>
        <w:tc>
          <w:tcPr>
            <w:tcW w:w="420" w:type="dxa"/>
            <w:vAlign w:val="bottom"/>
            <w:tcBorders>
              <w:bottom w:val="single" w:sz="8" w:color="4A7EBB"/>
            </w:tcBorders>
            <w:shd w:val="clear" w:color="auto" w:fill="DBE5F1"/>
          </w:tcPr>
          <w:p>
            <w:pPr>
              <w:spacing w:after="0"/>
              <w:rPr>
                <w:sz w:val="16"/>
                <w:szCs w:val="16"/>
                <w:color w:val="auto"/>
              </w:rPr>
            </w:pPr>
          </w:p>
        </w:tc>
        <w:tc>
          <w:tcPr>
            <w:tcW w:w="3140" w:type="dxa"/>
            <w:vAlign w:val="bottom"/>
            <w:tcBorders>
              <w:bottom w:val="single" w:sz="8" w:color="4A7EBB"/>
            </w:tcBorders>
            <w:shd w:val="clear" w:color="auto" w:fill="DBE5F1"/>
          </w:tcPr>
          <w:p>
            <w:pPr>
              <w:jc w:val="center"/>
              <w:ind w:right="246"/>
              <w:spacing w:after="0"/>
              <w:rPr>
                <w:sz w:val="20"/>
                <w:szCs w:val="20"/>
                <w:color w:val="auto"/>
              </w:rPr>
            </w:pPr>
            <w:r>
              <w:rPr>
                <w:rFonts w:ascii="Arial" w:cs="Arial" w:eastAsia="Arial" w:hAnsi="Arial"/>
                <w:sz w:val="16"/>
                <w:szCs w:val="16"/>
                <w:b w:val="1"/>
                <w:bCs w:val="1"/>
                <w:color w:val="auto"/>
              </w:rPr>
              <w:t>with a Change in Control</w:t>
            </w:r>
          </w:p>
        </w:tc>
        <w:tc>
          <w:tcPr>
            <w:tcW w:w="180" w:type="dxa"/>
            <w:vAlign w:val="bottom"/>
            <w:tcBorders>
              <w:bottom w:val="single" w:sz="8" w:color="4A7EBB"/>
            </w:tcBorders>
            <w:shd w:val="clear" w:color="auto" w:fill="DBE5F1"/>
          </w:tcPr>
          <w:p>
            <w:pPr>
              <w:spacing w:after="0"/>
              <w:rPr>
                <w:sz w:val="16"/>
                <w:szCs w:val="16"/>
                <w:color w:val="auto"/>
              </w:rPr>
            </w:pPr>
          </w:p>
        </w:tc>
        <w:tc>
          <w:tcPr>
            <w:tcW w:w="20" w:type="dxa"/>
            <w:vAlign w:val="bottom"/>
            <w:tcBorders>
              <w:bottom w:val="single" w:sz="8" w:color="4A7EBB"/>
            </w:tcBorders>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4360" w:type="dxa"/>
            <w:vAlign w:val="bottom"/>
            <w:tcBorders>
              <w:bottom w:val="single" w:sz="8" w:color="4A7EBB"/>
            </w:tcBorders>
          </w:tcPr>
          <w:p>
            <w:pPr>
              <w:spacing w:after="0"/>
              <w:rPr>
                <w:sz w:val="20"/>
                <w:szCs w:val="20"/>
                <w:color w:val="auto"/>
              </w:rPr>
            </w:pPr>
            <w:r>
              <w:rPr>
                <w:rFonts w:ascii="Arial" w:cs="Arial" w:eastAsia="Arial" w:hAnsi="Arial"/>
                <w:sz w:val="16"/>
                <w:szCs w:val="16"/>
                <w:color w:val="auto"/>
              </w:rPr>
              <w:t>Base Salary</w:t>
            </w:r>
          </w:p>
        </w:tc>
        <w:tc>
          <w:tcPr>
            <w:tcW w:w="1800" w:type="dxa"/>
            <w:vAlign w:val="bottom"/>
            <w:tcBorders>
              <w:bottom w:val="single" w:sz="8" w:color="4A7EBB"/>
            </w:tcBorders>
            <w:gridSpan w:val="2"/>
          </w:tcPr>
          <w:p>
            <w:pPr>
              <w:jc w:val="right"/>
              <w:ind w:right="8"/>
              <w:spacing w:after="0" w:line="195" w:lineRule="exact"/>
              <w:rPr>
                <w:sz w:val="20"/>
                <w:szCs w:val="20"/>
                <w:color w:val="auto"/>
              </w:rPr>
            </w:pPr>
            <w:r>
              <w:rPr>
                <w:rFonts w:ascii="Arial" w:cs="Arial" w:eastAsia="Arial" w:hAnsi="Arial"/>
                <w:sz w:val="13"/>
                <w:szCs w:val="13"/>
                <w:color w:val="auto"/>
              </w:rPr>
              <w:t xml:space="preserve">$1,900,000 </w:t>
            </w:r>
            <w:r>
              <w:rPr>
                <w:rFonts w:ascii="Arial" w:cs="Arial" w:eastAsia="Arial" w:hAnsi="Arial"/>
                <w:sz w:val="22"/>
                <w:szCs w:val="22"/>
                <w:color w:val="auto"/>
                <w:vertAlign w:val="superscript"/>
              </w:rPr>
              <w:t>(1)</w:t>
            </w:r>
          </w:p>
        </w:tc>
        <w:tc>
          <w:tcPr>
            <w:tcW w:w="420" w:type="dxa"/>
            <w:vAlign w:val="bottom"/>
            <w:tcBorders>
              <w:bottom w:val="single" w:sz="8" w:color="4A7EBB"/>
            </w:tcBorders>
          </w:tcPr>
          <w:p>
            <w:pPr>
              <w:spacing w:after="0"/>
              <w:rPr>
                <w:sz w:val="17"/>
                <w:szCs w:val="17"/>
                <w:color w:val="auto"/>
              </w:rPr>
            </w:pPr>
          </w:p>
        </w:tc>
        <w:tc>
          <w:tcPr>
            <w:tcW w:w="3320" w:type="dxa"/>
            <w:vAlign w:val="bottom"/>
            <w:tcBorders>
              <w:bottom w:val="single" w:sz="8" w:color="4A7EBB"/>
            </w:tcBorders>
            <w:gridSpan w:val="2"/>
          </w:tcPr>
          <w:p>
            <w:pPr>
              <w:jc w:val="right"/>
              <w:spacing w:after="0" w:line="195" w:lineRule="exact"/>
              <w:rPr>
                <w:sz w:val="20"/>
                <w:szCs w:val="20"/>
                <w:color w:val="auto"/>
              </w:rPr>
            </w:pPr>
            <w:r>
              <w:rPr>
                <w:rFonts w:ascii="Arial" w:cs="Arial" w:eastAsia="Arial" w:hAnsi="Arial"/>
                <w:sz w:val="13"/>
                <w:szCs w:val="13"/>
                <w:color w:val="auto"/>
              </w:rPr>
              <w:t xml:space="preserve">$1,900,000 </w:t>
            </w:r>
            <w:r>
              <w:rPr>
                <w:rFonts w:ascii="Arial" w:cs="Arial" w:eastAsia="Arial" w:hAnsi="Arial"/>
                <w:sz w:val="22"/>
                <w:szCs w:val="22"/>
                <w:color w:val="auto"/>
                <w:vertAlign w:val="superscript"/>
              </w:rPr>
              <w:t>(1)</w:t>
            </w:r>
          </w:p>
        </w:tc>
        <w:tc>
          <w:tcPr>
            <w:tcW w:w="20" w:type="dxa"/>
            <w:vAlign w:val="bottom"/>
            <w:tcBorders>
              <w:bottom w:val="single" w:sz="8" w:color="4A7EBB"/>
            </w:tcBorders>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360" w:type="dxa"/>
            <w:vAlign w:val="bottom"/>
            <w:tcBorders>
              <w:bottom w:val="single" w:sz="8" w:color="4A7EBB"/>
            </w:tcBorders>
            <w:shd w:val="clear" w:color="auto" w:fill="F2F2F2"/>
          </w:tcPr>
          <w:p>
            <w:pPr>
              <w:spacing w:after="0"/>
              <w:rPr>
                <w:sz w:val="20"/>
                <w:szCs w:val="20"/>
                <w:color w:val="auto"/>
              </w:rPr>
            </w:pPr>
            <w:r>
              <w:rPr>
                <w:rFonts w:ascii="Arial" w:cs="Arial" w:eastAsia="Arial" w:hAnsi="Arial"/>
                <w:sz w:val="16"/>
                <w:szCs w:val="16"/>
                <w:color w:val="auto"/>
              </w:rPr>
              <w:t>Bonus</w:t>
            </w:r>
          </w:p>
        </w:tc>
        <w:tc>
          <w:tcPr>
            <w:tcW w:w="1520" w:type="dxa"/>
            <w:vAlign w:val="bottom"/>
            <w:tcBorders>
              <w:bottom w:val="single" w:sz="8" w:color="4A7EBB"/>
            </w:tcBorders>
            <w:shd w:val="clear" w:color="auto" w:fill="F2F2F2"/>
          </w:tcPr>
          <w:p>
            <w:pPr>
              <w:jc w:val="right"/>
              <w:spacing w:after="0"/>
              <w:rPr>
                <w:sz w:val="20"/>
                <w:szCs w:val="20"/>
                <w:color w:val="auto"/>
              </w:rPr>
            </w:pPr>
            <w:r>
              <w:rPr>
                <w:rFonts w:ascii="Arial" w:cs="Arial" w:eastAsia="Arial" w:hAnsi="Arial"/>
                <w:sz w:val="15"/>
                <w:szCs w:val="15"/>
                <w:color w:val="auto"/>
              </w:rPr>
              <w:t>$5,193,000</w:t>
            </w:r>
          </w:p>
        </w:tc>
        <w:tc>
          <w:tcPr>
            <w:tcW w:w="280" w:type="dxa"/>
            <w:vAlign w:val="bottom"/>
            <w:tcBorders>
              <w:bottom w:val="single" w:sz="8" w:color="4A7EBB"/>
            </w:tcBorders>
            <w:shd w:val="clear" w:color="auto" w:fill="F2F2F2"/>
          </w:tcPr>
          <w:p>
            <w:pPr>
              <w:jc w:val="right"/>
              <w:ind w:right="8"/>
              <w:spacing w:after="0"/>
              <w:rPr>
                <w:sz w:val="20"/>
                <w:szCs w:val="20"/>
                <w:color w:val="auto"/>
              </w:rPr>
            </w:pPr>
            <w:r>
              <w:rPr>
                <w:rFonts w:ascii="Arial" w:cs="Arial" w:eastAsia="Arial" w:hAnsi="Arial"/>
                <w:sz w:val="13"/>
                <w:szCs w:val="13"/>
                <w:color w:val="auto"/>
              </w:rPr>
              <w:t>(2)</w:t>
            </w:r>
          </w:p>
        </w:tc>
        <w:tc>
          <w:tcPr>
            <w:tcW w:w="420" w:type="dxa"/>
            <w:vAlign w:val="bottom"/>
            <w:tcBorders>
              <w:bottom w:val="single" w:sz="8" w:color="4A7EBB"/>
            </w:tcBorders>
            <w:shd w:val="clear" w:color="auto" w:fill="F2F2F2"/>
          </w:tcPr>
          <w:p>
            <w:pPr>
              <w:spacing w:after="0"/>
              <w:rPr>
                <w:sz w:val="17"/>
                <w:szCs w:val="17"/>
                <w:color w:val="auto"/>
              </w:rPr>
            </w:pPr>
          </w:p>
        </w:tc>
        <w:tc>
          <w:tcPr>
            <w:tcW w:w="3320" w:type="dxa"/>
            <w:vAlign w:val="bottom"/>
            <w:tcBorders>
              <w:bottom w:val="single" w:sz="8" w:color="4A7EBB"/>
            </w:tcBorders>
            <w:gridSpan w:val="2"/>
            <w:shd w:val="clear" w:color="auto" w:fill="F2F2F2"/>
          </w:tcPr>
          <w:p>
            <w:pPr>
              <w:jc w:val="right"/>
              <w:spacing w:after="0" w:line="195" w:lineRule="exact"/>
              <w:rPr>
                <w:sz w:val="20"/>
                <w:szCs w:val="20"/>
                <w:color w:val="auto"/>
              </w:rPr>
            </w:pPr>
            <w:r>
              <w:rPr>
                <w:rFonts w:ascii="Arial" w:cs="Arial" w:eastAsia="Arial" w:hAnsi="Arial"/>
                <w:sz w:val="13"/>
                <w:szCs w:val="13"/>
                <w:color w:val="auto"/>
              </w:rPr>
              <w:t xml:space="preserve">$5,193,000 </w:t>
            </w:r>
            <w:r>
              <w:rPr>
                <w:rFonts w:ascii="Arial" w:cs="Arial" w:eastAsia="Arial" w:hAnsi="Arial"/>
                <w:sz w:val="22"/>
                <w:szCs w:val="22"/>
                <w:color w:val="auto"/>
                <w:vertAlign w:val="superscript"/>
              </w:rPr>
              <w:t>(2)</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360" w:type="dxa"/>
            <w:vAlign w:val="bottom"/>
            <w:tcBorders>
              <w:bottom w:val="single" w:sz="8" w:color="4A7EBB"/>
            </w:tcBorders>
          </w:tcPr>
          <w:p>
            <w:pPr>
              <w:spacing w:after="0"/>
              <w:rPr>
                <w:sz w:val="20"/>
                <w:szCs w:val="20"/>
                <w:color w:val="auto"/>
              </w:rPr>
            </w:pPr>
            <w:r>
              <w:rPr>
                <w:rFonts w:ascii="Arial" w:cs="Arial" w:eastAsia="Arial" w:hAnsi="Arial"/>
                <w:sz w:val="16"/>
                <w:szCs w:val="16"/>
                <w:color w:val="auto"/>
              </w:rPr>
              <w:t>Accelerated Vesting of Equity Awards</w:t>
            </w:r>
          </w:p>
        </w:tc>
        <w:tc>
          <w:tcPr>
            <w:tcW w:w="1520" w:type="dxa"/>
            <w:vAlign w:val="bottom"/>
            <w:tcBorders>
              <w:bottom w:val="single" w:sz="8" w:color="4A7EBB"/>
            </w:tcBorders>
          </w:tcPr>
          <w:p>
            <w:pPr>
              <w:jc w:val="right"/>
              <w:spacing w:after="0"/>
              <w:rPr>
                <w:sz w:val="20"/>
                <w:szCs w:val="20"/>
                <w:color w:val="auto"/>
              </w:rPr>
            </w:pPr>
            <w:r>
              <w:rPr>
                <w:rFonts w:ascii="Arial" w:cs="Arial" w:eastAsia="Arial" w:hAnsi="Arial"/>
                <w:sz w:val="11"/>
                <w:szCs w:val="11"/>
                <w:color w:val="auto"/>
              </w:rPr>
              <w:t>—</w:t>
            </w:r>
          </w:p>
        </w:tc>
        <w:tc>
          <w:tcPr>
            <w:tcW w:w="280" w:type="dxa"/>
            <w:vAlign w:val="bottom"/>
            <w:tcBorders>
              <w:bottom w:val="single" w:sz="8" w:color="4A7EBB"/>
            </w:tcBorders>
          </w:tcPr>
          <w:p>
            <w:pPr>
              <w:spacing w:after="0"/>
              <w:rPr>
                <w:sz w:val="17"/>
                <w:szCs w:val="17"/>
                <w:color w:val="auto"/>
              </w:rPr>
            </w:pPr>
          </w:p>
        </w:tc>
        <w:tc>
          <w:tcPr>
            <w:tcW w:w="420" w:type="dxa"/>
            <w:vAlign w:val="bottom"/>
            <w:tcBorders>
              <w:bottom w:val="single" w:sz="8" w:color="4A7EBB"/>
            </w:tcBorders>
          </w:tcPr>
          <w:p>
            <w:pPr>
              <w:spacing w:after="0"/>
              <w:rPr>
                <w:sz w:val="17"/>
                <w:szCs w:val="17"/>
                <w:color w:val="auto"/>
              </w:rPr>
            </w:pPr>
          </w:p>
        </w:tc>
        <w:tc>
          <w:tcPr>
            <w:tcW w:w="3320" w:type="dxa"/>
            <w:vAlign w:val="bottom"/>
            <w:tcBorders>
              <w:bottom w:val="single" w:sz="8" w:color="4A7EBB"/>
            </w:tcBorders>
            <w:gridSpan w:val="2"/>
          </w:tcPr>
          <w:p>
            <w:pPr>
              <w:jc w:val="right"/>
              <w:spacing w:after="0" w:line="195" w:lineRule="exact"/>
              <w:rPr>
                <w:sz w:val="20"/>
                <w:szCs w:val="20"/>
                <w:color w:val="auto"/>
              </w:rPr>
            </w:pPr>
            <w:r>
              <w:rPr>
                <w:rFonts w:ascii="Arial" w:cs="Arial" w:eastAsia="Arial" w:hAnsi="Arial"/>
                <w:sz w:val="13"/>
                <w:szCs w:val="13"/>
                <w:color w:val="auto"/>
              </w:rPr>
              <w:t xml:space="preserve">$12,660,005 </w:t>
            </w:r>
            <w:r>
              <w:rPr>
                <w:rFonts w:ascii="Arial" w:cs="Arial" w:eastAsia="Arial" w:hAnsi="Arial"/>
                <w:sz w:val="22"/>
                <w:szCs w:val="22"/>
                <w:color w:val="auto"/>
                <w:vertAlign w:val="superscript"/>
              </w:rPr>
              <w:t>(3)</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360" w:type="dxa"/>
            <w:vAlign w:val="bottom"/>
            <w:tcBorders>
              <w:bottom w:val="single" w:sz="8" w:color="4A7EBB"/>
            </w:tcBorders>
            <w:shd w:val="clear" w:color="auto" w:fill="F2F2F2"/>
          </w:tcPr>
          <w:p>
            <w:pPr>
              <w:spacing w:after="0"/>
              <w:rPr>
                <w:sz w:val="20"/>
                <w:szCs w:val="20"/>
                <w:color w:val="auto"/>
              </w:rPr>
            </w:pPr>
            <w:r>
              <w:rPr>
                <w:rFonts w:ascii="Arial" w:cs="Arial" w:eastAsia="Arial" w:hAnsi="Arial"/>
                <w:sz w:val="16"/>
                <w:szCs w:val="16"/>
                <w:color w:val="auto"/>
              </w:rPr>
              <w:t>Value of Continuing Employee Benefits</w:t>
            </w:r>
          </w:p>
        </w:tc>
        <w:tc>
          <w:tcPr>
            <w:tcW w:w="1520" w:type="dxa"/>
            <w:vAlign w:val="bottom"/>
            <w:tcBorders>
              <w:bottom w:val="single" w:sz="8" w:color="4A7EBB"/>
            </w:tcBorders>
            <w:shd w:val="clear" w:color="auto" w:fill="F2F2F2"/>
          </w:tcPr>
          <w:p>
            <w:pPr>
              <w:jc w:val="right"/>
              <w:spacing w:after="0"/>
              <w:rPr>
                <w:sz w:val="20"/>
                <w:szCs w:val="20"/>
                <w:color w:val="auto"/>
              </w:rPr>
            </w:pPr>
            <w:r>
              <w:rPr>
                <w:rFonts w:ascii="Arial" w:cs="Arial" w:eastAsia="Arial" w:hAnsi="Arial"/>
                <w:sz w:val="15"/>
                <w:szCs w:val="15"/>
                <w:color w:val="auto"/>
              </w:rPr>
              <w:t>$76,001</w:t>
            </w:r>
          </w:p>
        </w:tc>
        <w:tc>
          <w:tcPr>
            <w:tcW w:w="280" w:type="dxa"/>
            <w:vAlign w:val="bottom"/>
            <w:tcBorders>
              <w:bottom w:val="single" w:sz="8" w:color="4A7EBB"/>
            </w:tcBorders>
            <w:shd w:val="clear" w:color="auto" w:fill="F2F2F2"/>
          </w:tcPr>
          <w:p>
            <w:pPr>
              <w:jc w:val="right"/>
              <w:ind w:right="8"/>
              <w:spacing w:after="0"/>
              <w:rPr>
                <w:sz w:val="20"/>
                <w:szCs w:val="20"/>
                <w:color w:val="auto"/>
              </w:rPr>
            </w:pPr>
            <w:r>
              <w:rPr>
                <w:rFonts w:ascii="Arial" w:cs="Arial" w:eastAsia="Arial" w:hAnsi="Arial"/>
                <w:sz w:val="13"/>
                <w:szCs w:val="13"/>
                <w:color w:val="auto"/>
              </w:rPr>
              <w:t>(4)</w:t>
            </w:r>
          </w:p>
        </w:tc>
        <w:tc>
          <w:tcPr>
            <w:tcW w:w="420" w:type="dxa"/>
            <w:vAlign w:val="bottom"/>
            <w:tcBorders>
              <w:bottom w:val="single" w:sz="8" w:color="4A7EBB"/>
            </w:tcBorders>
            <w:shd w:val="clear" w:color="auto" w:fill="F2F2F2"/>
          </w:tcPr>
          <w:p>
            <w:pPr>
              <w:spacing w:after="0"/>
              <w:rPr>
                <w:sz w:val="17"/>
                <w:szCs w:val="17"/>
                <w:color w:val="auto"/>
              </w:rPr>
            </w:pPr>
          </w:p>
        </w:tc>
        <w:tc>
          <w:tcPr>
            <w:tcW w:w="3140" w:type="dxa"/>
            <w:vAlign w:val="bottom"/>
            <w:tcBorders>
              <w:bottom w:val="single" w:sz="8" w:color="4A7EBB"/>
            </w:tcBorders>
            <w:shd w:val="clear" w:color="auto" w:fill="F2F2F2"/>
          </w:tcPr>
          <w:p>
            <w:pPr>
              <w:jc w:val="right"/>
              <w:spacing w:after="0"/>
              <w:rPr>
                <w:sz w:val="20"/>
                <w:szCs w:val="20"/>
                <w:color w:val="auto"/>
              </w:rPr>
            </w:pPr>
            <w:r>
              <w:rPr>
                <w:rFonts w:ascii="Arial" w:cs="Arial" w:eastAsia="Arial" w:hAnsi="Arial"/>
                <w:sz w:val="15"/>
                <w:szCs w:val="15"/>
                <w:color w:val="auto"/>
              </w:rPr>
              <w:t>$76,001</w:t>
            </w:r>
          </w:p>
        </w:tc>
        <w:tc>
          <w:tcPr>
            <w:tcW w:w="180" w:type="dxa"/>
            <w:vAlign w:val="bottom"/>
            <w:tcBorders>
              <w:bottom w:val="single" w:sz="8" w:color="4A7EBB"/>
            </w:tcBorders>
            <w:shd w:val="clear" w:color="auto" w:fill="F2F2F2"/>
          </w:tcPr>
          <w:p>
            <w:pPr>
              <w:jc w:val="right"/>
              <w:spacing w:after="0"/>
              <w:rPr>
                <w:sz w:val="20"/>
                <w:szCs w:val="20"/>
                <w:color w:val="auto"/>
              </w:rPr>
            </w:pPr>
            <w:r>
              <w:rPr>
                <w:rFonts w:ascii="Arial" w:cs="Arial" w:eastAsia="Arial" w:hAnsi="Arial"/>
                <w:sz w:val="13"/>
                <w:szCs w:val="13"/>
                <w:color w:val="auto"/>
                <w:w w:val="87"/>
              </w:rPr>
              <w:t>(4)</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360" w:type="dxa"/>
            <w:vAlign w:val="bottom"/>
            <w:tcBorders>
              <w:bottom w:val="single" w:sz="8" w:color="808080"/>
            </w:tcBorders>
          </w:tcPr>
          <w:p>
            <w:pPr>
              <w:spacing w:after="0"/>
              <w:rPr>
                <w:sz w:val="20"/>
                <w:szCs w:val="20"/>
                <w:color w:val="auto"/>
              </w:rPr>
            </w:pPr>
            <w:r>
              <w:rPr>
                <w:rFonts w:ascii="Arial" w:cs="Arial" w:eastAsia="Arial" w:hAnsi="Arial"/>
                <w:sz w:val="16"/>
                <w:szCs w:val="16"/>
                <w:b w:val="1"/>
                <w:bCs w:val="1"/>
                <w:color w:val="auto"/>
              </w:rPr>
              <w:t>Total</w:t>
            </w:r>
          </w:p>
        </w:tc>
        <w:tc>
          <w:tcPr>
            <w:tcW w:w="1520" w:type="dxa"/>
            <w:vAlign w:val="bottom"/>
            <w:tcBorders>
              <w:bottom w:val="single" w:sz="8" w:color="808080"/>
            </w:tcBorders>
          </w:tcPr>
          <w:p>
            <w:pPr>
              <w:jc w:val="right"/>
              <w:spacing w:after="0"/>
              <w:rPr>
                <w:sz w:val="20"/>
                <w:szCs w:val="20"/>
                <w:color w:val="auto"/>
              </w:rPr>
            </w:pPr>
            <w:r>
              <w:rPr>
                <w:rFonts w:ascii="Arial" w:cs="Arial" w:eastAsia="Arial" w:hAnsi="Arial"/>
                <w:sz w:val="15"/>
                <w:szCs w:val="15"/>
                <w:b w:val="1"/>
                <w:bCs w:val="1"/>
                <w:color w:val="auto"/>
              </w:rPr>
              <w:t>$7,169,001</w:t>
            </w:r>
          </w:p>
        </w:tc>
        <w:tc>
          <w:tcPr>
            <w:tcW w:w="280" w:type="dxa"/>
            <w:vAlign w:val="bottom"/>
            <w:tcBorders>
              <w:bottom w:val="single" w:sz="8" w:color="808080"/>
            </w:tcBorders>
          </w:tcPr>
          <w:p>
            <w:pPr>
              <w:spacing w:after="0"/>
              <w:rPr>
                <w:sz w:val="17"/>
                <w:szCs w:val="17"/>
                <w:color w:val="auto"/>
              </w:rPr>
            </w:pPr>
          </w:p>
        </w:tc>
        <w:tc>
          <w:tcPr>
            <w:tcW w:w="420" w:type="dxa"/>
            <w:vAlign w:val="bottom"/>
            <w:tcBorders>
              <w:bottom w:val="single" w:sz="8" w:color="808080"/>
            </w:tcBorders>
          </w:tcPr>
          <w:p>
            <w:pPr>
              <w:spacing w:after="0"/>
              <w:rPr>
                <w:sz w:val="17"/>
                <w:szCs w:val="17"/>
                <w:color w:val="auto"/>
              </w:rPr>
            </w:pPr>
          </w:p>
        </w:tc>
        <w:tc>
          <w:tcPr>
            <w:tcW w:w="3140" w:type="dxa"/>
            <w:vAlign w:val="bottom"/>
            <w:tcBorders>
              <w:bottom w:val="single" w:sz="8" w:color="808080"/>
            </w:tcBorders>
          </w:tcPr>
          <w:p>
            <w:pPr>
              <w:jc w:val="right"/>
              <w:spacing w:after="0"/>
              <w:rPr>
                <w:sz w:val="20"/>
                <w:szCs w:val="20"/>
                <w:color w:val="auto"/>
              </w:rPr>
            </w:pPr>
            <w:r>
              <w:rPr>
                <w:rFonts w:ascii="Arial" w:cs="Arial" w:eastAsia="Arial" w:hAnsi="Arial"/>
                <w:sz w:val="15"/>
                <w:szCs w:val="15"/>
                <w:b w:val="1"/>
                <w:bCs w:val="1"/>
                <w:color w:val="auto"/>
              </w:rPr>
              <w:t>$19,829,006</w:t>
            </w:r>
          </w:p>
        </w:tc>
        <w:tc>
          <w:tcPr>
            <w:tcW w:w="180" w:type="dxa"/>
            <w:vAlign w:val="bottom"/>
            <w:tcBorders>
              <w:bottom w:val="single" w:sz="8" w:color="4A7EBB"/>
            </w:tcBorders>
          </w:tcPr>
          <w:p>
            <w:pPr>
              <w:jc w:val="right"/>
              <w:spacing w:after="0"/>
              <w:rPr>
                <w:sz w:val="20"/>
                <w:szCs w:val="20"/>
                <w:color w:val="auto"/>
              </w:rPr>
            </w:pPr>
            <w:r>
              <w:rPr>
                <w:rFonts w:ascii="Arial" w:cs="Arial" w:eastAsia="Arial" w:hAnsi="Arial"/>
                <w:sz w:val="13"/>
                <w:szCs w:val="13"/>
                <w:color w:val="auto"/>
                <w:w w:val="87"/>
              </w:rPr>
              <w:t>(5)</w:t>
            </w: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3983355</wp:posOffset>
            </wp:positionH>
            <wp:positionV relativeFrom="paragraph">
              <wp:posOffset>-281940</wp:posOffset>
            </wp:positionV>
            <wp:extent cx="8255" cy="14605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255" cy="146050"/>
                    </a:xfrm>
                    <a:prstGeom prst="rect">
                      <a:avLst/>
                    </a:prstGeom>
                    <a:noFill/>
                  </pic:spPr>
                </pic:pic>
              </a:graphicData>
            </a:graphic>
          </wp:anchor>
        </w:drawing>
        <w:drawing>
          <wp:anchor simplePos="0" relativeHeight="251657728" behindDoc="1" locked="0" layoutInCell="0" allowOverlap="1">
            <wp:simplePos x="0" y="0"/>
            <wp:positionH relativeFrom="column">
              <wp:posOffset>3983355</wp:posOffset>
            </wp:positionH>
            <wp:positionV relativeFrom="paragraph">
              <wp:posOffset>-556895</wp:posOffset>
            </wp:positionV>
            <wp:extent cx="8255" cy="14605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255" cy="146050"/>
                    </a:xfrm>
                    <a:prstGeom prst="rect">
                      <a:avLst/>
                    </a:prstGeom>
                    <a:noFill/>
                  </pic:spPr>
                </pic:pic>
              </a:graphicData>
            </a:graphic>
          </wp:anchor>
        </w:drawing>
        <w:drawing>
          <wp:anchor simplePos="0" relativeHeight="251657728" behindDoc="1" locked="0" layoutInCell="0" allowOverlap="1">
            <wp:simplePos x="0" y="0"/>
            <wp:positionH relativeFrom="column">
              <wp:posOffset>2294890</wp:posOffset>
            </wp:positionH>
            <wp:positionV relativeFrom="paragraph">
              <wp:posOffset>-556895</wp:posOffset>
            </wp:positionV>
            <wp:extent cx="8255" cy="55753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8255" cy="55753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-693420</wp:posOffset>
            </wp:positionV>
            <wp:extent cx="8255" cy="14541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255" cy="145415"/>
                    </a:xfrm>
                    <a:prstGeom prst="rect">
                      <a:avLst/>
                    </a:prstGeom>
                    <a:noFill/>
                  </pic:spPr>
                </pic:pic>
              </a:graphicData>
            </a:graphic>
          </wp:anchor>
        </w:drawing>
        <w:drawing>
          <wp:anchor simplePos="0" relativeHeight="251657728" behindDoc="1" locked="0" layoutInCell="0" allowOverlap="1">
            <wp:simplePos x="0" y="0"/>
            <wp:positionH relativeFrom="column">
              <wp:posOffset>3923665</wp:posOffset>
            </wp:positionH>
            <wp:positionV relativeFrom="paragraph">
              <wp:posOffset>-693420</wp:posOffset>
            </wp:positionV>
            <wp:extent cx="8890" cy="6940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890" cy="694055"/>
                    </a:xfrm>
                    <a:prstGeom prst="rect">
                      <a:avLst/>
                    </a:prstGeom>
                    <a:noFill/>
                  </pic:spPr>
                </pic:pic>
              </a:graphicData>
            </a:graphic>
          </wp:anchor>
        </w:drawing>
        <w:drawing>
          <wp:anchor simplePos="0" relativeHeight="251657728" behindDoc="1" locked="0" layoutInCell="0" allowOverlap="1">
            <wp:simplePos x="0" y="0"/>
            <wp:positionH relativeFrom="column">
              <wp:posOffset>2234565</wp:posOffset>
            </wp:positionH>
            <wp:positionV relativeFrom="paragraph">
              <wp:posOffset>-693420</wp:posOffset>
            </wp:positionV>
            <wp:extent cx="8255" cy="6940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8255" cy="694055"/>
                    </a:xfrm>
                    <a:prstGeom prst="rect">
                      <a:avLst/>
                    </a:prstGeom>
                    <a:noFill/>
                  </pic:spPr>
                </pic:pic>
              </a:graphicData>
            </a:graphic>
          </wp:anchor>
        </w:drawing>
      </w:r>
    </w:p>
    <w:p>
      <w:pPr>
        <w:spacing w:after="0" w:line="168" w:lineRule="exact"/>
        <w:rPr>
          <w:sz w:val="20"/>
          <w:szCs w:val="20"/>
          <w:color w:val="auto"/>
        </w:rPr>
      </w:pPr>
    </w:p>
    <w:p>
      <w:pPr>
        <w:ind w:left="340" w:hanging="332"/>
        <w:spacing w:after="0"/>
        <w:tabs>
          <w:tab w:leader="none" w:pos="340" w:val="left"/>
        </w:tabs>
        <w:numPr>
          <w:ilvl w:val="0"/>
          <w:numId w:val="88"/>
        </w:numPr>
        <w:rPr>
          <w:rFonts w:ascii="Arial" w:cs="Arial" w:eastAsia="Arial" w:hAnsi="Arial"/>
          <w:sz w:val="16"/>
          <w:szCs w:val="16"/>
          <w:color w:val="auto"/>
        </w:rPr>
      </w:pPr>
      <w:r>
        <w:rPr>
          <w:rFonts w:ascii="Arial" w:cs="Arial" w:eastAsia="Arial" w:hAnsi="Arial"/>
          <w:sz w:val="16"/>
          <w:szCs w:val="16"/>
          <w:color w:val="auto"/>
        </w:rPr>
        <w:t>Assumes a base salary of $950,000 per year.</w:t>
      </w:r>
    </w:p>
    <w:p>
      <w:pPr>
        <w:spacing w:after="0" w:line="194" w:lineRule="exact"/>
        <w:rPr>
          <w:rFonts w:ascii="Arial" w:cs="Arial" w:eastAsia="Arial" w:hAnsi="Arial"/>
          <w:sz w:val="16"/>
          <w:szCs w:val="16"/>
          <w:color w:val="auto"/>
        </w:rPr>
      </w:pPr>
    </w:p>
    <w:p>
      <w:pPr>
        <w:ind w:left="340" w:right="60" w:hanging="332"/>
        <w:spacing w:after="0" w:line="286" w:lineRule="auto"/>
        <w:tabs>
          <w:tab w:leader="none" w:pos="34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This amount assumes that the average of the annual cash bonus earned by Jeffrey Goldfarb during the two fiscal years preceding the fiscal year in which Jeffrey Goldfarb’s employment terminates is $2,596,500.</w:t>
      </w:r>
    </w:p>
    <w:p>
      <w:pPr>
        <w:spacing w:after="0" w:line="128" w:lineRule="exact"/>
        <w:rPr>
          <w:rFonts w:ascii="Arial" w:cs="Arial" w:eastAsia="Arial" w:hAnsi="Arial"/>
          <w:sz w:val="16"/>
          <w:szCs w:val="16"/>
          <w:color w:val="auto"/>
        </w:rPr>
      </w:pPr>
    </w:p>
    <w:p>
      <w:pPr>
        <w:jc w:val="both"/>
        <w:ind w:left="340" w:right="40" w:hanging="332"/>
        <w:spacing w:after="0" w:line="256" w:lineRule="auto"/>
        <w:tabs>
          <w:tab w:leader="none" w:pos="34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This amount represents the gross value of accelerated vesting of Jeffrey Goldfarb’s unvested equity awards outstanding as of January 31, 2026, as shown in the “Stock Awards” table in the section entitled “Outstanding Equity Awards at Fiscal 2026 Year-End” above. For purposes of applying Section 280G of the Code, however, the value of such accelerated vesting would be reduced to reflect a present value factor and the likelihood that the equity awards would have become vested in any event (i.e., as if Jeffrey Goldfarb’s employment is not involuntarily terminated after the change in control).</w:t>
      </w:r>
    </w:p>
    <w:p>
      <w:pPr>
        <w:spacing w:after="0" w:line="152" w:lineRule="exact"/>
        <w:rPr>
          <w:rFonts w:ascii="Arial" w:cs="Arial" w:eastAsia="Arial" w:hAnsi="Arial"/>
          <w:sz w:val="16"/>
          <w:szCs w:val="16"/>
          <w:color w:val="auto"/>
        </w:rPr>
      </w:pPr>
    </w:p>
    <w:p>
      <w:pPr>
        <w:jc w:val="both"/>
        <w:ind w:left="340" w:right="40" w:hanging="332"/>
        <w:spacing w:after="0" w:line="266" w:lineRule="auto"/>
        <w:tabs>
          <w:tab w:leader="none" w:pos="34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figures for benefit continuation represent the estimated value of all employee benefits for 24 months in the case of a non-change in control termination, and the estimated value of 24 months of continuing group health plan participation on a subsidized basis in the case of a post-change in control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391795</wp:posOffset>
            </wp:positionV>
            <wp:extent cx="6292215"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7560"/>
        <w:spacing w:after="0"/>
        <w:rPr>
          <w:sz w:val="20"/>
          <w:szCs w:val="20"/>
          <w:color w:val="auto"/>
        </w:rPr>
      </w:pPr>
      <w:r>
        <w:rPr>
          <w:rFonts w:ascii="Arial" w:cs="Arial" w:eastAsia="Arial" w:hAnsi="Arial"/>
          <w:sz w:val="16"/>
          <w:szCs w:val="16"/>
          <w:color w:val="auto"/>
        </w:rPr>
        <w:t xml:space="preserve">2026 PROXY STATEMENT </w:t>
      </w:r>
      <w:r>
        <w:rPr>
          <w:rFonts w:ascii="Arial" w:cs="Arial" w:eastAsia="Arial" w:hAnsi="Arial"/>
          <w:sz w:val="19"/>
          <w:szCs w:val="19"/>
          <w:color w:val="808080"/>
        </w:rPr>
        <w:t>/</w:t>
      </w:r>
      <w:r>
        <w:rPr>
          <w:rFonts w:ascii="Arial" w:cs="Arial" w:eastAsia="Arial" w:hAnsi="Arial"/>
          <w:sz w:val="16"/>
          <w:szCs w:val="16"/>
          <w:color w:val="auto"/>
        </w:rPr>
        <w:t xml:space="preserve"> </w:t>
      </w:r>
      <w:r>
        <w:rPr>
          <w:rFonts w:ascii="Arial" w:cs="Arial" w:eastAsia="Arial" w:hAnsi="Arial"/>
          <w:sz w:val="19"/>
          <w:szCs w:val="19"/>
          <w:b w:val="1"/>
          <w:bCs w:val="1"/>
          <w:color w:val="4A7EBB"/>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365125</wp:posOffset>
            </wp:positionV>
            <wp:extent cx="6292215"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17780</wp:posOffset>
            </wp:positionV>
            <wp:extent cx="624903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249035" cy="8255"/>
                    </a:xfrm>
                    <a:prstGeom prst="rect">
                      <a:avLst/>
                    </a:prstGeom>
                    <a:noFill/>
                  </pic:spPr>
                </pic:pic>
              </a:graphicData>
            </a:graphic>
          </wp:anchor>
        </w:drawing>
      </w:r>
    </w:p>
    <w:p>
      <w:pPr>
        <w:spacing w:after="0" w:line="223" w:lineRule="exact"/>
        <w:rPr>
          <w:sz w:val="20"/>
          <w:szCs w:val="20"/>
          <w:color w:val="auto"/>
        </w:rPr>
      </w:pPr>
    </w:p>
    <w:p>
      <w:pPr>
        <w:jc w:val="both"/>
        <w:ind w:left="340" w:right="40" w:hanging="332"/>
        <w:spacing w:after="0" w:line="266" w:lineRule="auto"/>
        <w:tabs>
          <w:tab w:leader="none" w:pos="340" w:val="left"/>
        </w:tabs>
        <w:numPr>
          <w:ilvl w:val="0"/>
          <w:numId w:val="89"/>
        </w:numPr>
        <w:rPr>
          <w:rFonts w:ascii="Arial" w:cs="Arial" w:eastAsia="Arial" w:hAnsi="Arial"/>
          <w:sz w:val="16"/>
          <w:szCs w:val="16"/>
          <w:color w:val="auto"/>
        </w:rPr>
      </w:pPr>
      <w:r>
        <w:rPr>
          <w:rFonts w:ascii="Arial" w:cs="Arial" w:eastAsia="Arial" w:hAnsi="Arial"/>
          <w:sz w:val="16"/>
          <w:szCs w:val="16"/>
          <w:color w:val="auto"/>
        </w:rPr>
        <w:t>Should the Section 280G value of this amount exceed Jeffrey Goldfarb’s Section 280G threshold, then this amount will be reduced to the maximum amount that does not exceed such threshold, but only if, after taking into account all taxes (including excise taxes under Section 4999 of the Code), Jeffrey Goldfarb would be better off on an after-tax basis receiving the reduced amount.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595959"/>
        </w:rPr>
        <w:t>DANA PERLMAN, CHIEF GROWTH AND OPERATIONS OFFICER</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520" w:type="dxa"/>
            <w:vAlign w:val="bottom"/>
            <w:tcBorders>
              <w:top w:val="single" w:sz="8" w:color="4A7EBB"/>
            </w:tcBorders>
            <w:shd w:val="clear" w:color="auto" w:fill="DBE5F1"/>
          </w:tcPr>
          <w:p>
            <w:pPr>
              <w:ind w:left="358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1460" w:type="dxa"/>
            <w:vAlign w:val="bottom"/>
            <w:tcBorders>
              <w:top w:val="single" w:sz="8" w:color="4A7EBB"/>
            </w:tcBorders>
            <w:shd w:val="clear" w:color="auto" w:fill="DBE5F1"/>
          </w:tcPr>
          <w:p>
            <w:pPr>
              <w:spacing w:after="0"/>
              <w:rPr>
                <w:sz w:val="17"/>
                <w:szCs w:val="17"/>
                <w:color w:val="auto"/>
              </w:rPr>
            </w:pPr>
          </w:p>
        </w:tc>
        <w:tc>
          <w:tcPr>
            <w:tcW w:w="260" w:type="dxa"/>
            <w:vAlign w:val="bottom"/>
            <w:tcBorders>
              <w:top w:val="single" w:sz="8" w:color="4A7EBB"/>
            </w:tcBorders>
            <w:shd w:val="clear" w:color="auto" w:fill="DBE5F1"/>
          </w:tcPr>
          <w:p>
            <w:pPr>
              <w:jc w:val="right"/>
              <w:ind w:right="28"/>
              <w:spacing w:after="0"/>
              <w:rPr>
                <w:sz w:val="20"/>
                <w:szCs w:val="20"/>
                <w:color w:val="auto"/>
              </w:rPr>
            </w:pPr>
            <w:r>
              <w:rPr>
                <w:rFonts w:ascii="Arial" w:cs="Arial" w:eastAsia="Arial" w:hAnsi="Arial"/>
                <w:sz w:val="16"/>
                <w:szCs w:val="16"/>
                <w:color w:val="auto"/>
              </w:rPr>
              <w:t>​</w:t>
            </w:r>
          </w:p>
        </w:tc>
        <w:tc>
          <w:tcPr>
            <w:tcW w:w="420" w:type="dxa"/>
            <w:vAlign w:val="bottom"/>
            <w:tcBorders>
              <w:top w:val="single" w:sz="8" w:color="4A7EBB"/>
            </w:tcBorders>
            <w:shd w:val="clear" w:color="auto" w:fill="DBE5F1"/>
          </w:tcPr>
          <w:p>
            <w:pPr>
              <w:ind w:left="100"/>
              <w:spacing w:after="0"/>
              <w:rPr>
                <w:sz w:val="20"/>
                <w:szCs w:val="20"/>
                <w:color w:val="auto"/>
              </w:rPr>
            </w:pPr>
            <w:r>
              <w:rPr>
                <w:rFonts w:ascii="Arial" w:cs="Arial" w:eastAsia="Arial" w:hAnsi="Arial"/>
                <w:sz w:val="16"/>
                <w:szCs w:val="16"/>
                <w:color w:val="auto"/>
              </w:rPr>
              <w:t>​</w:t>
            </w:r>
          </w:p>
        </w:tc>
        <w:tc>
          <w:tcPr>
            <w:tcW w:w="3240" w:type="dxa"/>
            <w:vAlign w:val="bottom"/>
            <w:tcBorders>
              <w:top w:val="single" w:sz="8" w:color="4A7EBB"/>
            </w:tcBorders>
            <w:shd w:val="clear" w:color="auto" w:fill="DBE5F1"/>
          </w:tcPr>
          <w:p>
            <w:pPr>
              <w:jc w:val="center"/>
              <w:ind w:right="349"/>
              <w:spacing w:after="0"/>
              <w:rPr>
                <w:sz w:val="20"/>
                <w:szCs w:val="20"/>
                <w:color w:val="auto"/>
              </w:rPr>
            </w:pPr>
            <w:r>
              <w:rPr>
                <w:rFonts w:ascii="Arial" w:cs="Arial" w:eastAsia="Arial" w:hAnsi="Arial"/>
                <w:sz w:val="16"/>
                <w:szCs w:val="16"/>
                <w:b w:val="1"/>
                <w:bCs w:val="1"/>
                <w:color w:val="auto"/>
              </w:rPr>
              <w:t>Termination without Cause or</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80" w:type="dxa"/>
            <w:vAlign w:val="bottom"/>
            <w:gridSpan w:val="2"/>
            <w:shd w:val="clear" w:color="auto" w:fill="DBE5F1"/>
          </w:tcPr>
          <w:p>
            <w:pPr>
              <w:jc w:val="right"/>
              <w:spacing w:after="0"/>
              <w:rPr>
                <w:sz w:val="20"/>
                <w:szCs w:val="20"/>
                <w:color w:val="auto"/>
              </w:rPr>
            </w:pPr>
            <w:r>
              <w:rPr>
                <w:rFonts w:ascii="Arial" w:cs="Arial" w:eastAsia="Arial" w:hAnsi="Arial"/>
                <w:sz w:val="16"/>
                <w:szCs w:val="16"/>
                <w:b w:val="1"/>
                <w:bCs w:val="1"/>
                <w:color w:val="auto"/>
              </w:rPr>
              <w:t>Termination without Cause or</w:t>
            </w:r>
          </w:p>
        </w:tc>
        <w:tc>
          <w:tcPr>
            <w:tcW w:w="260" w:type="dxa"/>
            <w:vAlign w:val="bottom"/>
            <w:shd w:val="clear" w:color="auto" w:fill="DBE5F1"/>
          </w:tcPr>
          <w:p>
            <w:pPr>
              <w:spacing w:after="0"/>
              <w:rPr>
                <w:sz w:val="16"/>
                <w:szCs w:val="16"/>
                <w:color w:val="auto"/>
              </w:rPr>
            </w:pPr>
          </w:p>
        </w:tc>
        <w:tc>
          <w:tcPr>
            <w:tcW w:w="3660" w:type="dxa"/>
            <w:vAlign w:val="bottom"/>
            <w:gridSpan w:val="2"/>
            <w:shd w:val="clear" w:color="auto" w:fill="DBE5F1"/>
          </w:tcPr>
          <w:p>
            <w:pPr>
              <w:jc w:val="center"/>
              <w:spacing w:after="0"/>
              <w:rPr>
                <w:sz w:val="20"/>
                <w:szCs w:val="20"/>
                <w:color w:val="auto"/>
              </w:rPr>
            </w:pPr>
            <w:r>
              <w:rPr>
                <w:rFonts w:ascii="Arial" w:cs="Arial" w:eastAsia="Arial" w:hAnsi="Arial"/>
                <w:sz w:val="16"/>
                <w:szCs w:val="16"/>
                <w:b w:val="1"/>
                <w:bCs w:val="1"/>
                <w:color w:val="auto"/>
              </w:rPr>
              <w:t>Resignation for Good Reason in Connection</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240" w:type="dxa"/>
            <w:vAlign w:val="bottom"/>
            <w:tcBorders>
              <w:bottom w:val="single" w:sz="8" w:color="4A7EBB"/>
            </w:tcBorders>
            <w:gridSpan w:val="3"/>
            <w:shd w:val="clear" w:color="auto" w:fill="DBE5F1"/>
          </w:tcPr>
          <w:p>
            <w:pPr>
              <w:jc w:val="right"/>
              <w:ind w:right="188"/>
              <w:spacing w:after="0"/>
              <w:rPr>
                <w:sz w:val="20"/>
                <w:szCs w:val="20"/>
                <w:color w:val="auto"/>
              </w:rPr>
            </w:pPr>
            <w:r>
              <w:rPr>
                <w:rFonts w:ascii="Arial" w:cs="Arial" w:eastAsia="Arial" w:hAnsi="Arial"/>
                <w:sz w:val="16"/>
                <w:szCs w:val="16"/>
                <w:b w:val="1"/>
                <w:bCs w:val="1"/>
                <w:color w:val="auto"/>
              </w:rPr>
              <w:t>Resignation for Good Reason</w:t>
            </w:r>
          </w:p>
        </w:tc>
        <w:tc>
          <w:tcPr>
            <w:tcW w:w="420" w:type="dxa"/>
            <w:vAlign w:val="bottom"/>
            <w:tcBorders>
              <w:bottom w:val="single" w:sz="8" w:color="4A7EBB"/>
            </w:tcBorders>
            <w:shd w:val="clear" w:color="auto" w:fill="DBE5F1"/>
          </w:tcPr>
          <w:p>
            <w:pPr>
              <w:spacing w:after="0"/>
              <w:rPr>
                <w:sz w:val="16"/>
                <w:szCs w:val="16"/>
                <w:color w:val="auto"/>
              </w:rPr>
            </w:pPr>
          </w:p>
        </w:tc>
        <w:tc>
          <w:tcPr>
            <w:tcW w:w="3240" w:type="dxa"/>
            <w:vAlign w:val="bottom"/>
            <w:tcBorders>
              <w:bottom w:val="single" w:sz="8" w:color="4A7EBB"/>
            </w:tcBorders>
            <w:shd w:val="clear" w:color="auto" w:fill="DBE5F1"/>
          </w:tcPr>
          <w:p>
            <w:pPr>
              <w:jc w:val="center"/>
              <w:ind w:right="349"/>
              <w:spacing w:after="0"/>
              <w:rPr>
                <w:sz w:val="20"/>
                <w:szCs w:val="20"/>
                <w:color w:val="auto"/>
              </w:rPr>
            </w:pPr>
            <w:r>
              <w:rPr>
                <w:rFonts w:ascii="Arial" w:cs="Arial" w:eastAsia="Arial" w:hAnsi="Arial"/>
                <w:sz w:val="16"/>
                <w:szCs w:val="16"/>
                <w:b w:val="1"/>
                <w:bCs w:val="1"/>
                <w:color w:val="auto"/>
              </w:rPr>
              <w:t>with a Change in Control</w:t>
            </w:r>
          </w:p>
        </w:tc>
        <w:tc>
          <w:tcPr>
            <w:tcW w:w="20" w:type="dxa"/>
            <w:vAlign w:val="bottom"/>
            <w:tcBorders>
              <w:bottom w:val="single" w:sz="8" w:color="4A7EBB"/>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20" w:type="dxa"/>
            <w:vAlign w:val="bottom"/>
            <w:tcBorders>
              <w:bottom w:val="single" w:sz="8" w:color="4A7EBB"/>
            </w:tcBorders>
          </w:tcPr>
          <w:p>
            <w:pPr>
              <w:spacing w:after="0"/>
              <w:rPr>
                <w:sz w:val="20"/>
                <w:szCs w:val="20"/>
                <w:color w:val="auto"/>
              </w:rPr>
            </w:pPr>
            <w:r>
              <w:rPr>
                <w:rFonts w:ascii="Arial" w:cs="Arial" w:eastAsia="Arial" w:hAnsi="Arial"/>
                <w:sz w:val="16"/>
                <w:szCs w:val="16"/>
                <w:color w:val="auto"/>
              </w:rPr>
              <w:t>Base Salary</w:t>
            </w:r>
          </w:p>
        </w:tc>
        <w:tc>
          <w:tcPr>
            <w:tcW w:w="1460" w:type="dxa"/>
            <w:vAlign w:val="bottom"/>
            <w:tcBorders>
              <w:bottom w:val="single" w:sz="8" w:color="4A7EBB"/>
            </w:tcBorders>
          </w:tcPr>
          <w:p>
            <w:pPr>
              <w:jc w:val="right"/>
              <w:spacing w:after="0"/>
              <w:rPr>
                <w:sz w:val="20"/>
                <w:szCs w:val="20"/>
                <w:color w:val="auto"/>
              </w:rPr>
            </w:pPr>
            <w:r>
              <w:rPr>
                <w:rFonts w:ascii="Arial" w:cs="Arial" w:eastAsia="Arial" w:hAnsi="Arial"/>
                <w:sz w:val="15"/>
                <w:szCs w:val="15"/>
                <w:color w:val="auto"/>
              </w:rPr>
              <w:t>$823,077</w:t>
            </w:r>
          </w:p>
        </w:tc>
        <w:tc>
          <w:tcPr>
            <w:tcW w:w="260" w:type="dxa"/>
            <w:vAlign w:val="bottom"/>
            <w:tcBorders>
              <w:bottom w:val="single" w:sz="8" w:color="4A7EBB"/>
            </w:tcBorders>
          </w:tcPr>
          <w:p>
            <w:pPr>
              <w:jc w:val="right"/>
              <w:ind w:right="8"/>
              <w:spacing w:after="0"/>
              <w:rPr>
                <w:sz w:val="20"/>
                <w:szCs w:val="20"/>
                <w:color w:val="auto"/>
              </w:rPr>
            </w:pPr>
            <w:r>
              <w:rPr>
                <w:rFonts w:ascii="Arial" w:cs="Arial" w:eastAsia="Arial" w:hAnsi="Arial"/>
                <w:sz w:val="13"/>
                <w:szCs w:val="13"/>
                <w:color w:val="auto"/>
              </w:rPr>
              <w:t>(1)</w:t>
            </w:r>
          </w:p>
        </w:tc>
        <w:tc>
          <w:tcPr>
            <w:tcW w:w="420" w:type="dxa"/>
            <w:vAlign w:val="bottom"/>
            <w:tcBorders>
              <w:bottom w:val="single" w:sz="8" w:color="4A7EBB"/>
            </w:tcBorders>
          </w:tcPr>
          <w:p>
            <w:pPr>
              <w:spacing w:after="0"/>
              <w:rPr>
                <w:sz w:val="17"/>
                <w:szCs w:val="17"/>
                <w:color w:val="auto"/>
              </w:rPr>
            </w:pPr>
          </w:p>
        </w:tc>
        <w:tc>
          <w:tcPr>
            <w:tcW w:w="3240" w:type="dxa"/>
            <w:vAlign w:val="bottom"/>
            <w:tcBorders>
              <w:bottom w:val="single" w:sz="8" w:color="4A7EBB"/>
            </w:tcBorders>
          </w:tcPr>
          <w:p>
            <w:pPr>
              <w:jc w:val="right"/>
              <w:ind w:right="89"/>
              <w:spacing w:after="0" w:line="122" w:lineRule="exact"/>
              <w:rPr>
                <w:sz w:val="20"/>
                <w:szCs w:val="20"/>
                <w:color w:val="auto"/>
              </w:rPr>
            </w:pPr>
            <w:r>
              <w:rPr>
                <w:rFonts w:ascii="Arial" w:cs="Arial" w:eastAsia="Arial" w:hAnsi="Arial"/>
                <w:sz w:val="11"/>
                <w:szCs w:val="11"/>
                <w:color w:val="auto"/>
              </w:rPr>
              <w:t>—</w:t>
            </w:r>
          </w:p>
        </w:tc>
        <w:tc>
          <w:tcPr>
            <w:tcW w:w="20" w:type="dxa"/>
            <w:vAlign w:val="bottom"/>
            <w:tcBorders>
              <w:bottom w:val="single" w:sz="8" w:color="4A7EBB"/>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20" w:type="dxa"/>
            <w:vAlign w:val="bottom"/>
            <w:tcBorders>
              <w:bottom w:val="single" w:sz="8" w:color="4A7EBB"/>
            </w:tcBorders>
            <w:shd w:val="clear" w:color="auto" w:fill="F2F2F2"/>
          </w:tcPr>
          <w:p>
            <w:pPr>
              <w:spacing w:after="0"/>
              <w:rPr>
                <w:sz w:val="20"/>
                <w:szCs w:val="20"/>
                <w:color w:val="auto"/>
              </w:rPr>
            </w:pPr>
            <w:r>
              <w:rPr>
                <w:rFonts w:ascii="Arial" w:cs="Arial" w:eastAsia="Arial" w:hAnsi="Arial"/>
                <w:sz w:val="16"/>
                <w:szCs w:val="16"/>
                <w:color w:val="auto"/>
              </w:rPr>
              <w:t>Value of Continuing Employee Benefits</w:t>
            </w:r>
          </w:p>
        </w:tc>
        <w:tc>
          <w:tcPr>
            <w:tcW w:w="1460" w:type="dxa"/>
            <w:vAlign w:val="bottom"/>
            <w:tcBorders>
              <w:bottom w:val="single" w:sz="8" w:color="4A7EBB"/>
            </w:tcBorders>
            <w:shd w:val="clear" w:color="auto" w:fill="F2F2F2"/>
          </w:tcPr>
          <w:p>
            <w:pPr>
              <w:jc w:val="right"/>
              <w:spacing w:after="0"/>
              <w:rPr>
                <w:sz w:val="20"/>
                <w:szCs w:val="20"/>
                <w:color w:val="auto"/>
              </w:rPr>
            </w:pPr>
            <w:r>
              <w:rPr>
                <w:rFonts w:ascii="Arial" w:cs="Arial" w:eastAsia="Arial" w:hAnsi="Arial"/>
                <w:sz w:val="15"/>
                <w:szCs w:val="15"/>
                <w:color w:val="auto"/>
              </w:rPr>
              <w:t>$26,278</w:t>
            </w:r>
          </w:p>
        </w:tc>
        <w:tc>
          <w:tcPr>
            <w:tcW w:w="260" w:type="dxa"/>
            <w:vAlign w:val="bottom"/>
            <w:tcBorders>
              <w:bottom w:val="single" w:sz="8" w:color="4A7EBB"/>
            </w:tcBorders>
            <w:shd w:val="clear" w:color="auto" w:fill="F2F2F2"/>
          </w:tcPr>
          <w:p>
            <w:pPr>
              <w:jc w:val="right"/>
              <w:ind w:right="8"/>
              <w:spacing w:after="0"/>
              <w:rPr>
                <w:sz w:val="20"/>
                <w:szCs w:val="20"/>
                <w:color w:val="auto"/>
              </w:rPr>
            </w:pPr>
            <w:r>
              <w:rPr>
                <w:rFonts w:ascii="Arial" w:cs="Arial" w:eastAsia="Arial" w:hAnsi="Arial"/>
                <w:sz w:val="13"/>
                <w:szCs w:val="13"/>
                <w:color w:val="auto"/>
              </w:rPr>
              <w:t>(2)</w:t>
            </w:r>
          </w:p>
        </w:tc>
        <w:tc>
          <w:tcPr>
            <w:tcW w:w="420" w:type="dxa"/>
            <w:vAlign w:val="bottom"/>
            <w:tcBorders>
              <w:bottom w:val="single" w:sz="8" w:color="4A7EBB"/>
            </w:tcBorders>
            <w:shd w:val="clear" w:color="auto" w:fill="F2F2F2"/>
          </w:tcPr>
          <w:p>
            <w:pPr>
              <w:spacing w:after="0"/>
              <w:rPr>
                <w:sz w:val="17"/>
                <w:szCs w:val="17"/>
                <w:color w:val="auto"/>
              </w:rPr>
            </w:pPr>
          </w:p>
        </w:tc>
        <w:tc>
          <w:tcPr>
            <w:tcW w:w="3240" w:type="dxa"/>
            <w:vAlign w:val="bottom"/>
            <w:tcBorders>
              <w:bottom w:val="single" w:sz="8" w:color="4A7EBB"/>
            </w:tcBorders>
            <w:shd w:val="clear" w:color="auto" w:fill="F2F2F2"/>
          </w:tcPr>
          <w:p>
            <w:pPr>
              <w:jc w:val="right"/>
              <w:ind w:right="89"/>
              <w:spacing w:after="0" w:line="122" w:lineRule="exact"/>
              <w:rPr>
                <w:sz w:val="20"/>
                <w:szCs w:val="20"/>
                <w:color w:val="auto"/>
              </w:rPr>
            </w:pPr>
            <w:r>
              <w:rPr>
                <w:rFonts w:ascii="Arial" w:cs="Arial" w:eastAsia="Arial" w:hAnsi="Arial"/>
                <w:sz w:val="11"/>
                <w:szCs w:val="11"/>
                <w:color w:val="auto"/>
              </w:rPr>
              <w:t>—</w:t>
            </w:r>
          </w:p>
        </w:tc>
        <w:tc>
          <w:tcPr>
            <w:tcW w:w="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83"/>
        </w:trPr>
        <w:tc>
          <w:tcPr>
            <w:tcW w:w="20" w:type="dxa"/>
            <w:vAlign w:val="bottom"/>
            <w:tcBorders>
              <w:bottom w:val="single" w:sz="8" w:color="808080"/>
            </w:tcBorders>
          </w:tcPr>
          <w:p>
            <w:pPr>
              <w:spacing w:after="0"/>
              <w:rPr>
                <w:sz w:val="15"/>
                <w:szCs w:val="15"/>
                <w:color w:val="auto"/>
              </w:rPr>
            </w:pPr>
          </w:p>
        </w:tc>
        <w:tc>
          <w:tcPr>
            <w:tcW w:w="4520" w:type="dxa"/>
            <w:vAlign w:val="bottom"/>
            <w:tcBorders>
              <w:bottom w:val="single" w:sz="8" w:color="808080"/>
            </w:tcBorders>
          </w:tcPr>
          <w:p>
            <w:pPr>
              <w:spacing w:after="0" w:line="183" w:lineRule="exact"/>
              <w:rPr>
                <w:sz w:val="20"/>
                <w:szCs w:val="20"/>
                <w:color w:val="auto"/>
              </w:rPr>
            </w:pPr>
            <w:r>
              <w:rPr>
                <w:rFonts w:ascii="Arial" w:cs="Arial" w:eastAsia="Arial" w:hAnsi="Arial"/>
                <w:sz w:val="16"/>
                <w:szCs w:val="16"/>
                <w:b w:val="1"/>
                <w:bCs w:val="1"/>
                <w:color w:val="auto"/>
              </w:rPr>
              <w:t>Total</w:t>
            </w:r>
          </w:p>
        </w:tc>
        <w:tc>
          <w:tcPr>
            <w:tcW w:w="1460" w:type="dxa"/>
            <w:vAlign w:val="bottom"/>
            <w:tcBorders>
              <w:bottom w:val="single" w:sz="8" w:color="808080"/>
            </w:tcBorders>
          </w:tcPr>
          <w:p>
            <w:pPr>
              <w:jc w:val="right"/>
              <w:spacing w:after="0"/>
              <w:rPr>
                <w:sz w:val="20"/>
                <w:szCs w:val="20"/>
                <w:color w:val="auto"/>
              </w:rPr>
            </w:pPr>
            <w:r>
              <w:rPr>
                <w:rFonts w:ascii="Arial" w:cs="Arial" w:eastAsia="Arial" w:hAnsi="Arial"/>
                <w:sz w:val="15"/>
                <w:szCs w:val="15"/>
                <w:b w:val="1"/>
                <w:bCs w:val="1"/>
                <w:color w:val="auto"/>
              </w:rPr>
              <w:t>$849,355</w:t>
            </w:r>
          </w:p>
        </w:tc>
        <w:tc>
          <w:tcPr>
            <w:tcW w:w="260" w:type="dxa"/>
            <w:vAlign w:val="bottom"/>
            <w:tcBorders>
              <w:bottom w:val="single" w:sz="8" w:color="808080"/>
            </w:tcBorders>
          </w:tcPr>
          <w:p>
            <w:pPr>
              <w:spacing w:after="0"/>
              <w:rPr>
                <w:sz w:val="15"/>
                <w:szCs w:val="15"/>
                <w:color w:val="auto"/>
              </w:rPr>
            </w:pPr>
          </w:p>
        </w:tc>
        <w:tc>
          <w:tcPr>
            <w:tcW w:w="420" w:type="dxa"/>
            <w:vAlign w:val="bottom"/>
            <w:tcBorders>
              <w:bottom w:val="single" w:sz="8" w:color="808080"/>
            </w:tcBorders>
          </w:tcPr>
          <w:p>
            <w:pPr>
              <w:spacing w:after="0"/>
              <w:rPr>
                <w:sz w:val="15"/>
                <w:szCs w:val="15"/>
                <w:color w:val="auto"/>
              </w:rPr>
            </w:pPr>
          </w:p>
        </w:tc>
        <w:tc>
          <w:tcPr>
            <w:tcW w:w="3240" w:type="dxa"/>
            <w:vAlign w:val="bottom"/>
            <w:tcBorders>
              <w:bottom w:val="single" w:sz="8" w:color="808080"/>
            </w:tcBorders>
          </w:tcPr>
          <w:p>
            <w:pPr>
              <w:jc w:val="right"/>
              <w:ind w:right="89"/>
              <w:spacing w:after="0"/>
              <w:rPr>
                <w:sz w:val="20"/>
                <w:szCs w:val="20"/>
                <w:color w:val="auto"/>
              </w:rPr>
            </w:pPr>
            <w:r>
              <w:rPr>
                <w:rFonts w:ascii="Arial" w:cs="Arial" w:eastAsia="Arial" w:hAnsi="Arial"/>
                <w:sz w:val="15"/>
                <w:szCs w:val="15"/>
                <w:b w:val="1"/>
                <w:bCs w:val="1"/>
                <w:color w:val="auto"/>
              </w:rPr>
              <w:t>$0</w:t>
            </w:r>
          </w:p>
        </w:tc>
        <w:tc>
          <w:tcPr>
            <w:tcW w:w="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2346325</wp:posOffset>
            </wp:positionH>
            <wp:positionV relativeFrom="paragraph">
              <wp:posOffset>-273685</wp:posOffset>
            </wp:positionV>
            <wp:extent cx="8255" cy="27432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255" cy="27432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-410845</wp:posOffset>
            </wp:positionV>
            <wp:extent cx="8255" cy="14605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255" cy="146050"/>
                    </a:xfrm>
                    <a:prstGeom prst="rect">
                      <a:avLst/>
                    </a:prstGeom>
                    <a:noFill/>
                  </pic:spPr>
                </pic:pic>
              </a:graphicData>
            </a:graphic>
          </wp:anchor>
        </w:drawing>
        <w:drawing>
          <wp:anchor simplePos="0" relativeHeight="251657728" behindDoc="1" locked="0" layoutInCell="0" allowOverlap="1">
            <wp:simplePos x="0" y="0"/>
            <wp:positionH relativeFrom="column">
              <wp:posOffset>4034790</wp:posOffset>
            </wp:positionH>
            <wp:positionV relativeFrom="paragraph">
              <wp:posOffset>-410845</wp:posOffset>
            </wp:positionV>
            <wp:extent cx="8890" cy="28321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8890" cy="283210"/>
                    </a:xfrm>
                    <a:prstGeom prst="rect">
                      <a:avLst/>
                    </a:prstGeom>
                    <a:noFill/>
                  </pic:spPr>
                </pic:pic>
              </a:graphicData>
            </a:graphic>
          </wp:anchor>
        </w:drawing>
        <w:drawing>
          <wp:anchor simplePos="0" relativeHeight="251657728" behindDoc="1" locked="0" layoutInCell="0" allowOverlap="1">
            <wp:simplePos x="0" y="0"/>
            <wp:positionH relativeFrom="column">
              <wp:posOffset>3975100</wp:posOffset>
            </wp:positionH>
            <wp:positionV relativeFrom="paragraph">
              <wp:posOffset>-410845</wp:posOffset>
            </wp:positionV>
            <wp:extent cx="8255" cy="41148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8255" cy="411480"/>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-410845</wp:posOffset>
            </wp:positionV>
            <wp:extent cx="8255" cy="41148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8255" cy="411480"/>
                    </a:xfrm>
                    <a:prstGeom prst="rect">
                      <a:avLst/>
                    </a:prstGeom>
                    <a:noFill/>
                  </pic:spPr>
                </pic:pic>
              </a:graphicData>
            </a:graphic>
          </wp:anchor>
        </w:drawing>
      </w:r>
    </w:p>
    <w:p>
      <w:pPr>
        <w:spacing w:after="0" w:line="168" w:lineRule="exact"/>
        <w:rPr>
          <w:sz w:val="20"/>
          <w:szCs w:val="20"/>
          <w:color w:val="auto"/>
        </w:rPr>
      </w:pPr>
    </w:p>
    <w:p>
      <w:pPr>
        <w:ind w:left="340" w:hanging="332"/>
        <w:spacing w:after="0"/>
        <w:tabs>
          <w:tab w:leader="none" w:pos="3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Assumes a base salary of $823,077 per year.</w:t>
      </w:r>
    </w:p>
    <w:p>
      <w:pPr>
        <w:spacing w:after="0" w:line="194" w:lineRule="exact"/>
        <w:rPr>
          <w:rFonts w:ascii="Arial" w:cs="Arial" w:eastAsia="Arial" w:hAnsi="Arial"/>
          <w:sz w:val="16"/>
          <w:szCs w:val="16"/>
          <w:color w:val="auto"/>
        </w:rPr>
      </w:pPr>
    </w:p>
    <w:p>
      <w:pPr>
        <w:ind w:left="340" w:hanging="332"/>
        <w:spacing w:after="0"/>
        <w:tabs>
          <w:tab w:leader="none" w:pos="3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figures for benefit continuation represent the estimated value of all employee benefits for 12 months.</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CEO PAY RATIO</w:t>
      </w:r>
    </w:p>
    <w:p>
      <w:pPr>
        <w:spacing w:after="0" w:line="189" w:lineRule="exact"/>
        <w:rPr>
          <w:sz w:val="20"/>
          <w:szCs w:val="20"/>
          <w:color w:val="auto"/>
        </w:rPr>
      </w:pPr>
    </w:p>
    <w:p>
      <w:pPr>
        <w:jc w:val="both"/>
        <w:ind w:right="40"/>
        <w:spacing w:after="0"/>
        <w:rPr>
          <w:sz w:val="20"/>
          <w:szCs w:val="20"/>
          <w:color w:val="auto"/>
        </w:rPr>
      </w:pPr>
      <w:r>
        <w:rPr>
          <w:rFonts w:ascii="Arial" w:cs="Arial" w:eastAsia="Arial" w:hAnsi="Arial"/>
          <w:sz w:val="18"/>
          <w:szCs w:val="18"/>
          <w:color w:val="auto"/>
        </w:rPr>
        <w:t>The total compensation for fiscal 2026 of our Chairman and Chief Executive Officer, Morris Goldfarb, was $12,508,253, as reflected in the Fiscal 2026 Summary Compensation Table above. We estimate that the median annual compensation for all G-III employees, excluding Morris Goldfarb, was $26,624 for fiscal 2026. As a result, we estimate that, for fiscal 2026, the ratio of Morris Goldfarb’s total annual compensation to that of our median employee was 470 to 1. The CEO pay ratio is skewed upwards by part-time and seasonal employees, paid on an hourly basis, that work in retail stores owned and operated by us. Excluding our retail store employees, the median annual compensation for fiscal 2026 of G-III employees, excluding Morris Goldfarb, was $58,494 for fiscal 2026. Based on these amounts, we estimate that, for fiscal 2026, the ratio of Morris Goldfarb’s total annual compensation to that of our median non-retail store employees was 214 to 1.</w:t>
      </w:r>
    </w:p>
    <w:p>
      <w:pPr>
        <w:spacing w:after="0" w:line="180" w:lineRule="exact"/>
        <w:rPr>
          <w:sz w:val="20"/>
          <w:szCs w:val="20"/>
          <w:color w:val="auto"/>
        </w:rPr>
      </w:pPr>
    </w:p>
    <w:p>
      <w:pPr>
        <w:jc w:val="both"/>
        <w:ind w:right="40"/>
        <w:spacing w:after="0" w:line="253" w:lineRule="auto"/>
        <w:rPr>
          <w:sz w:val="20"/>
          <w:szCs w:val="20"/>
          <w:color w:val="auto"/>
        </w:rPr>
      </w:pPr>
      <w:r>
        <w:rPr>
          <w:rFonts w:ascii="Arial" w:cs="Arial" w:eastAsia="Arial" w:hAnsi="Arial"/>
          <w:sz w:val="18"/>
          <w:szCs w:val="18"/>
          <w:color w:val="auto"/>
        </w:rPr>
        <w:t>As of December 31, 2025, G-III employed approximately 4,500 employees worldwide, of which approximately 66% were employed in the U.S., 10% were employed in Asia and 25% were employed in Europe. All compensation elements for non-U.S. employees were converted to U.S. dollars using monthly average exchange rates used by our accounting department.</w:t>
      </w:r>
    </w:p>
    <w:p>
      <w:pPr>
        <w:spacing w:after="0" w:line="169" w:lineRule="exact"/>
        <w:rPr>
          <w:sz w:val="20"/>
          <w:szCs w:val="20"/>
          <w:color w:val="auto"/>
        </w:rPr>
      </w:pPr>
    </w:p>
    <w:p>
      <w:pPr>
        <w:jc w:val="both"/>
        <w:ind w:right="40"/>
        <w:spacing w:after="0" w:line="244" w:lineRule="auto"/>
        <w:rPr>
          <w:sz w:val="20"/>
          <w:szCs w:val="20"/>
          <w:color w:val="auto"/>
        </w:rPr>
      </w:pPr>
      <w:r>
        <w:rPr>
          <w:rFonts w:ascii="Arial" w:cs="Arial" w:eastAsia="Arial" w:hAnsi="Arial"/>
          <w:sz w:val="18"/>
          <w:szCs w:val="18"/>
          <w:color w:val="auto"/>
        </w:rPr>
        <w:t>We identified the median employee using individual income tax compensation reporting for all employees, except Morris Goldfarb, employed by us on December 31, 2025, whether employed on a full-time, part-time, seasonal or temporary basis. We calculated annual total compensation of the median employee in the same manner as our Named Executive Officers in the Fiscal 2026 Summary Compensation Table included in this Proxy Statement. We did not annualize the compensation for any employee employed for less than the calendar year 2025.</w:t>
      </w:r>
    </w:p>
    <w:p>
      <w:pPr>
        <w:spacing w:after="0" w:line="176" w:lineRule="exact"/>
        <w:rPr>
          <w:sz w:val="20"/>
          <w:szCs w:val="20"/>
          <w:color w:val="auto"/>
        </w:rPr>
      </w:pPr>
    </w:p>
    <w:p>
      <w:pPr>
        <w:jc w:val="both"/>
        <w:ind w:right="40"/>
        <w:spacing w:after="0" w:line="247" w:lineRule="auto"/>
        <w:rPr>
          <w:sz w:val="20"/>
          <w:szCs w:val="20"/>
          <w:color w:val="auto"/>
        </w:rPr>
      </w:pPr>
      <w:r>
        <w:rPr>
          <w:rFonts w:ascii="Arial" w:cs="Arial" w:eastAsia="Arial" w:hAnsi="Arial"/>
          <w:sz w:val="18"/>
          <w:szCs w:val="18"/>
          <w:color w:val="auto"/>
        </w:rPr>
        <w:t>The foregoing pay ratio disclosure, which is provided pursuant to the SEC’s guidance under Item 402(u) of Regulation S-K, is intended only to reflect G-III’s reasonable good faith estimate of the CEO pay ratio. It is based on the methodologies, assumptions and estimates described above and is not necessarily comparable to the CEO pay ratios reported by other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542290</wp:posOffset>
            </wp:positionV>
            <wp:extent cx="629221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288925</wp:posOffset>
            </wp:positionH>
            <wp:positionV relativeFrom="paragraph">
              <wp:posOffset>593725</wp:posOffset>
            </wp:positionV>
            <wp:extent cx="265430" cy="14541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65430"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0"/>
          <w:szCs w:val="20"/>
          <w:b w:val="1"/>
          <w:bCs w:val="1"/>
          <w:color w:val="4A7EBB"/>
        </w:rPr>
        <w:t xml:space="preserve">50 </w:t>
      </w:r>
      <w:r>
        <w:rPr>
          <w:rFonts w:ascii="Arial" w:cs="Arial" w:eastAsia="Arial" w:hAnsi="Arial"/>
          <w:sz w:val="20"/>
          <w:szCs w:val="20"/>
          <w:color w:val="80808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17780</wp:posOffset>
            </wp:positionV>
            <wp:extent cx="629221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FISCAL 2026 PAY vs. PERFORMANCE</w:t>
      </w:r>
    </w:p>
    <w:p>
      <w:pPr>
        <w:spacing w:after="0" w:line="17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following table sets forth the pay versus performance disclosure required by Section 953(a) of the Dodd-Frank Wall Street Reform and Consumer Protection Act and Item 402(v) of Regulation S-K. The Compensation Committee did not consider the pay versus performance disclosure below in making its pay decisions for any of the years shown. For further information concerning the Company’s pay-for-performance philosophy and how the Company aligns executive compensation with the Company’s performance, refer to “Compensation Discussion and Analysis”.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40" w:type="dxa"/>
            <w:vAlign w:val="bottom"/>
            <w:tcBorders>
              <w:top w:val="single" w:sz="8" w:color="4A7EBB"/>
            </w:tcBorders>
            <w:shd w:val="clear" w:color="auto" w:fill="DBE5F1"/>
          </w:tcPr>
          <w:p>
            <w:pPr>
              <w:jc w:val="center"/>
              <w:spacing w:after="0"/>
              <w:rPr>
                <w:sz w:val="20"/>
                <w:szCs w:val="20"/>
                <w:color w:val="auto"/>
              </w:rPr>
            </w:pPr>
            <w:r>
              <w:rPr>
                <w:rFonts w:ascii="Arial" w:cs="Arial" w:eastAsia="Arial" w:hAnsi="Arial"/>
                <w:sz w:val="14"/>
                <w:szCs w:val="14"/>
                <w:b w:val="1"/>
                <w:bCs w:val="1"/>
                <w:color w:val="auto"/>
              </w:rPr>
              <w:t>(a)</w:t>
            </w:r>
          </w:p>
        </w:tc>
        <w:tc>
          <w:tcPr>
            <w:tcW w:w="200" w:type="dxa"/>
            <w:vAlign w:val="bottom"/>
            <w:tcBorders>
              <w:top w:val="single" w:sz="8" w:color="4A7EBB"/>
            </w:tcBorders>
            <w:gridSpan w:val="2"/>
            <w:shd w:val="clear" w:color="auto" w:fill="DBE5F1"/>
          </w:tcPr>
          <w:p>
            <w:pPr>
              <w:ind w:left="120"/>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4A7EBB"/>
            </w:tcBorders>
            <w:shd w:val="clear" w:color="auto" w:fill="DBE5F1"/>
          </w:tcPr>
          <w:p>
            <w:pPr>
              <w:jc w:val="center"/>
              <w:ind w:right="8"/>
              <w:spacing w:after="0"/>
              <w:rPr>
                <w:sz w:val="20"/>
                <w:szCs w:val="20"/>
                <w:color w:val="auto"/>
              </w:rPr>
            </w:pPr>
            <w:r>
              <w:rPr>
                <w:rFonts w:ascii="Arial" w:cs="Arial" w:eastAsia="Arial" w:hAnsi="Arial"/>
                <w:sz w:val="14"/>
                <w:szCs w:val="14"/>
                <w:b w:val="1"/>
                <w:bCs w:val="1"/>
                <w:color w:val="auto"/>
              </w:rPr>
              <w:t>(b)</w:t>
            </w:r>
          </w:p>
        </w:tc>
        <w:tc>
          <w:tcPr>
            <w:tcW w:w="160" w:type="dxa"/>
            <w:vAlign w:val="bottom"/>
            <w:tcBorders>
              <w:top w:val="single" w:sz="8" w:color="4A7EBB"/>
            </w:tcBorders>
            <w:shd w:val="clear" w:color="auto" w:fill="DBE5F1"/>
          </w:tcPr>
          <w:p>
            <w:pPr>
              <w:ind w:left="100"/>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4A7EBB"/>
            </w:tcBorders>
            <w:shd w:val="clear" w:color="auto" w:fill="DBE5F1"/>
          </w:tcPr>
          <w:p>
            <w:pPr>
              <w:jc w:val="center"/>
              <w:spacing w:after="0"/>
              <w:rPr>
                <w:sz w:val="20"/>
                <w:szCs w:val="20"/>
                <w:color w:val="auto"/>
              </w:rPr>
            </w:pPr>
            <w:r>
              <w:rPr>
                <w:rFonts w:ascii="Arial" w:cs="Arial" w:eastAsia="Arial" w:hAnsi="Arial"/>
                <w:sz w:val="14"/>
                <w:szCs w:val="14"/>
                <w:b w:val="1"/>
                <w:bCs w:val="1"/>
                <w:color w:val="auto"/>
              </w:rPr>
              <w:t>(c)</w:t>
            </w:r>
          </w:p>
        </w:tc>
        <w:tc>
          <w:tcPr>
            <w:tcW w:w="160" w:type="dxa"/>
            <w:vAlign w:val="bottom"/>
            <w:tcBorders>
              <w:top w:val="single" w:sz="8" w:color="4A7EBB"/>
            </w:tcBorders>
            <w:shd w:val="clear" w:color="auto" w:fill="DBE5F1"/>
          </w:tcPr>
          <w:p>
            <w:pPr>
              <w:ind w:left="100"/>
              <w:spacing w:after="0"/>
              <w:rPr>
                <w:sz w:val="20"/>
                <w:szCs w:val="20"/>
                <w:color w:val="auto"/>
              </w:rPr>
            </w:pPr>
            <w:r>
              <w:rPr>
                <w:rFonts w:ascii="Arial" w:cs="Arial" w:eastAsia="Arial" w:hAnsi="Arial"/>
                <w:sz w:val="14"/>
                <w:szCs w:val="14"/>
                <w:b w:val="1"/>
                <w:bCs w:val="1"/>
                <w:color w:val="auto"/>
              </w:rPr>
              <w:t>​</w:t>
            </w:r>
          </w:p>
        </w:tc>
        <w:tc>
          <w:tcPr>
            <w:tcW w:w="1140" w:type="dxa"/>
            <w:vAlign w:val="bottom"/>
            <w:tcBorders>
              <w:top w:val="single" w:sz="8" w:color="4A7EBB"/>
            </w:tcBorders>
            <w:shd w:val="clear" w:color="auto" w:fill="DBE5F1"/>
          </w:tcPr>
          <w:p>
            <w:pPr>
              <w:jc w:val="center"/>
              <w:ind w:right="8"/>
              <w:spacing w:after="0"/>
              <w:rPr>
                <w:sz w:val="20"/>
                <w:szCs w:val="20"/>
                <w:color w:val="auto"/>
              </w:rPr>
            </w:pPr>
            <w:r>
              <w:rPr>
                <w:rFonts w:ascii="Arial" w:cs="Arial" w:eastAsia="Arial" w:hAnsi="Arial"/>
                <w:sz w:val="14"/>
                <w:szCs w:val="14"/>
                <w:b w:val="1"/>
                <w:bCs w:val="1"/>
                <w:color w:val="auto"/>
              </w:rPr>
              <w:t>(d)</w:t>
            </w:r>
          </w:p>
        </w:tc>
        <w:tc>
          <w:tcPr>
            <w:tcW w:w="140" w:type="dxa"/>
            <w:vAlign w:val="bottom"/>
            <w:tcBorders>
              <w:top w:val="single" w:sz="8" w:color="4A7EBB"/>
            </w:tcBorders>
            <w:shd w:val="clear" w:color="auto" w:fill="DBE5F1"/>
          </w:tcPr>
          <w:p>
            <w:pPr>
              <w:ind w:left="80"/>
              <w:spacing w:after="0"/>
              <w:rPr>
                <w:sz w:val="20"/>
                <w:szCs w:val="20"/>
                <w:color w:val="auto"/>
              </w:rPr>
            </w:pPr>
            <w:r>
              <w:rPr>
                <w:rFonts w:ascii="Arial" w:cs="Arial" w:eastAsia="Arial" w:hAnsi="Arial"/>
                <w:sz w:val="14"/>
                <w:szCs w:val="14"/>
                <w:b w:val="1"/>
                <w:bCs w:val="1"/>
                <w:color w:val="auto"/>
              </w:rPr>
              <w:t>​</w:t>
            </w:r>
          </w:p>
        </w:tc>
        <w:tc>
          <w:tcPr>
            <w:tcW w:w="1260" w:type="dxa"/>
            <w:vAlign w:val="bottom"/>
            <w:tcBorders>
              <w:top w:val="single" w:sz="8" w:color="4A7EBB"/>
            </w:tcBorders>
            <w:shd w:val="clear" w:color="auto" w:fill="DBE5F1"/>
          </w:tcPr>
          <w:p>
            <w:pPr>
              <w:jc w:val="center"/>
              <w:ind w:right="48"/>
              <w:spacing w:after="0"/>
              <w:rPr>
                <w:sz w:val="20"/>
                <w:szCs w:val="20"/>
                <w:color w:val="auto"/>
              </w:rPr>
            </w:pPr>
            <w:r>
              <w:rPr>
                <w:rFonts w:ascii="Arial" w:cs="Arial" w:eastAsia="Arial" w:hAnsi="Arial"/>
                <w:sz w:val="14"/>
                <w:szCs w:val="14"/>
                <w:b w:val="1"/>
                <w:bCs w:val="1"/>
                <w:color w:val="auto"/>
              </w:rPr>
              <w:t>(e)</w:t>
            </w:r>
          </w:p>
        </w:tc>
        <w:tc>
          <w:tcPr>
            <w:tcW w:w="120" w:type="dxa"/>
            <w:vAlign w:val="bottom"/>
            <w:tcBorders>
              <w:top w:val="single" w:sz="8" w:color="4A7EBB"/>
            </w:tcBorders>
            <w:gridSpan w:val="2"/>
            <w:shd w:val="clear" w:color="auto" w:fill="DBE5F1"/>
          </w:tcPr>
          <w:p>
            <w:pPr>
              <w:ind w:left="60"/>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4A7EBB"/>
            </w:tcBorders>
            <w:shd w:val="clear" w:color="auto" w:fill="DBE5F1"/>
          </w:tcPr>
          <w:p>
            <w:pPr>
              <w:jc w:val="center"/>
              <w:ind w:right="28"/>
              <w:spacing w:after="0"/>
              <w:rPr>
                <w:sz w:val="20"/>
                <w:szCs w:val="20"/>
                <w:color w:val="auto"/>
              </w:rPr>
            </w:pPr>
            <w:r>
              <w:rPr>
                <w:rFonts w:ascii="Arial" w:cs="Arial" w:eastAsia="Arial" w:hAnsi="Arial"/>
                <w:sz w:val="14"/>
                <w:szCs w:val="14"/>
                <w:b w:val="1"/>
                <w:bCs w:val="1"/>
                <w:color w:val="auto"/>
                <w:w w:val="99"/>
              </w:rPr>
              <w:t>(f)</w:t>
            </w:r>
          </w:p>
        </w:tc>
        <w:tc>
          <w:tcPr>
            <w:tcW w:w="120" w:type="dxa"/>
            <w:vAlign w:val="bottom"/>
            <w:tcBorders>
              <w:top w:val="single" w:sz="8" w:color="4A7EBB"/>
            </w:tcBorders>
            <w:shd w:val="clear" w:color="auto" w:fill="DBE5F1"/>
          </w:tcPr>
          <w:p>
            <w:pPr>
              <w:ind w:left="60"/>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4A7EBB"/>
            </w:tcBorders>
            <w:shd w:val="clear" w:color="auto" w:fill="DBE5F1"/>
          </w:tcPr>
          <w:p>
            <w:pPr>
              <w:jc w:val="center"/>
              <w:spacing w:after="0"/>
              <w:rPr>
                <w:sz w:val="20"/>
                <w:szCs w:val="20"/>
                <w:color w:val="auto"/>
              </w:rPr>
            </w:pPr>
            <w:r>
              <w:rPr>
                <w:rFonts w:ascii="Arial" w:cs="Arial" w:eastAsia="Arial" w:hAnsi="Arial"/>
                <w:sz w:val="14"/>
                <w:szCs w:val="14"/>
                <w:b w:val="1"/>
                <w:bCs w:val="1"/>
                <w:color w:val="auto"/>
              </w:rPr>
              <w:t>(g)</w:t>
            </w:r>
          </w:p>
        </w:tc>
        <w:tc>
          <w:tcPr>
            <w:tcW w:w="160" w:type="dxa"/>
            <w:vAlign w:val="bottom"/>
            <w:tcBorders>
              <w:top w:val="single" w:sz="8" w:color="4A7EBB"/>
            </w:tcBorders>
            <w:shd w:val="clear" w:color="auto" w:fill="DBE5F1"/>
          </w:tcPr>
          <w:p>
            <w:pPr>
              <w:ind w:left="100"/>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4A7EBB"/>
            </w:tcBorders>
            <w:shd w:val="clear" w:color="auto" w:fill="DBE5F1"/>
          </w:tcPr>
          <w:p>
            <w:pPr>
              <w:jc w:val="center"/>
              <w:ind w:right="28"/>
              <w:spacing w:after="0"/>
              <w:rPr>
                <w:sz w:val="20"/>
                <w:szCs w:val="20"/>
                <w:color w:val="auto"/>
              </w:rPr>
            </w:pPr>
            <w:r>
              <w:rPr>
                <w:rFonts w:ascii="Arial" w:cs="Arial" w:eastAsia="Arial" w:hAnsi="Arial"/>
                <w:sz w:val="14"/>
                <w:szCs w:val="14"/>
                <w:b w:val="1"/>
                <w:bCs w:val="1"/>
                <w:color w:val="auto"/>
              </w:rPr>
              <w:t>(h)</w:t>
            </w:r>
          </w:p>
        </w:tc>
        <w:tc>
          <w:tcPr>
            <w:tcW w:w="140" w:type="dxa"/>
            <w:vAlign w:val="bottom"/>
            <w:tcBorders>
              <w:top w:val="single" w:sz="8" w:color="4A7EBB"/>
            </w:tcBorders>
            <w:shd w:val="clear" w:color="auto" w:fill="DBE5F1"/>
          </w:tcPr>
          <w:p>
            <w:pPr>
              <w:ind w:left="80"/>
              <w:spacing w:after="0"/>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4A7EBB"/>
            </w:tcBorders>
            <w:shd w:val="clear" w:color="auto" w:fill="DBE5F1"/>
          </w:tcPr>
          <w:p>
            <w:pPr>
              <w:jc w:val="center"/>
              <w:spacing w:after="0"/>
              <w:rPr>
                <w:sz w:val="20"/>
                <w:szCs w:val="20"/>
                <w:color w:val="auto"/>
              </w:rPr>
            </w:pPr>
            <w:r>
              <w:rPr>
                <w:rFonts w:ascii="Arial" w:cs="Arial" w:eastAsia="Arial" w:hAnsi="Arial"/>
                <w:sz w:val="14"/>
                <w:szCs w:val="14"/>
                <w:b w:val="1"/>
                <w:bCs w:val="1"/>
                <w:color w:val="auto"/>
              </w:rPr>
              <w:t>(i)</w:t>
            </w:r>
          </w:p>
        </w:tc>
      </w:tr>
      <w:tr>
        <w:trPr>
          <w:trHeight w:val="162"/>
        </w:trPr>
        <w:tc>
          <w:tcPr>
            <w:tcW w:w="640" w:type="dxa"/>
            <w:vAlign w:val="bottom"/>
            <w:shd w:val="clear" w:color="auto" w:fill="DBE5F1"/>
          </w:tcPr>
          <w:p>
            <w:pPr>
              <w:spacing w:after="0"/>
              <w:rPr>
                <w:sz w:val="14"/>
                <w:szCs w:val="14"/>
                <w:color w:val="auto"/>
              </w:rPr>
            </w:pPr>
          </w:p>
        </w:tc>
        <w:tc>
          <w:tcPr>
            <w:tcW w:w="120" w:type="dxa"/>
            <w:vAlign w:val="bottom"/>
            <w:shd w:val="clear" w:color="auto" w:fill="DBE5F1"/>
          </w:tcPr>
          <w:p>
            <w:pPr>
              <w:spacing w:after="0"/>
              <w:rPr>
                <w:sz w:val="14"/>
                <w:szCs w:val="14"/>
                <w:color w:val="auto"/>
              </w:rPr>
            </w:pPr>
          </w:p>
        </w:tc>
        <w:tc>
          <w:tcPr>
            <w:tcW w:w="80" w:type="dxa"/>
            <w:vAlign w:val="bottom"/>
            <w:shd w:val="clear" w:color="auto" w:fill="DBE5F1"/>
          </w:tcPr>
          <w:p>
            <w:pPr>
              <w:spacing w:after="0"/>
              <w:rPr>
                <w:sz w:val="14"/>
                <w:szCs w:val="14"/>
                <w:color w:val="auto"/>
              </w:rPr>
            </w:pPr>
          </w:p>
        </w:tc>
        <w:tc>
          <w:tcPr>
            <w:tcW w:w="940" w:type="dxa"/>
            <w:vAlign w:val="bottom"/>
            <w:shd w:val="clear" w:color="auto" w:fill="DBE5F1"/>
          </w:tcPr>
          <w:p>
            <w:pPr>
              <w:spacing w:after="0"/>
              <w:rPr>
                <w:sz w:val="14"/>
                <w:szCs w:val="14"/>
                <w:color w:val="auto"/>
              </w:rPr>
            </w:pPr>
          </w:p>
        </w:tc>
        <w:tc>
          <w:tcPr>
            <w:tcW w:w="160" w:type="dxa"/>
            <w:vAlign w:val="bottom"/>
            <w:shd w:val="clear" w:color="auto" w:fill="DBE5F1"/>
          </w:tcPr>
          <w:p>
            <w:pPr>
              <w:spacing w:after="0"/>
              <w:rPr>
                <w:sz w:val="14"/>
                <w:szCs w:val="14"/>
                <w:color w:val="auto"/>
              </w:rPr>
            </w:pPr>
          </w:p>
        </w:tc>
        <w:tc>
          <w:tcPr>
            <w:tcW w:w="1120" w:type="dxa"/>
            <w:vAlign w:val="bottom"/>
            <w:shd w:val="clear" w:color="auto" w:fill="DBE5F1"/>
          </w:tcPr>
          <w:p>
            <w:pPr>
              <w:spacing w:after="0"/>
              <w:rPr>
                <w:sz w:val="14"/>
                <w:szCs w:val="14"/>
                <w:color w:val="auto"/>
              </w:rPr>
            </w:pPr>
          </w:p>
        </w:tc>
        <w:tc>
          <w:tcPr>
            <w:tcW w:w="160" w:type="dxa"/>
            <w:vAlign w:val="bottom"/>
            <w:shd w:val="clear" w:color="auto" w:fill="DBE5F1"/>
          </w:tcPr>
          <w:p>
            <w:pPr>
              <w:spacing w:after="0"/>
              <w:rPr>
                <w:sz w:val="14"/>
                <w:szCs w:val="14"/>
                <w:color w:val="auto"/>
              </w:rPr>
            </w:pPr>
          </w:p>
        </w:tc>
        <w:tc>
          <w:tcPr>
            <w:tcW w:w="1140" w:type="dxa"/>
            <w:vAlign w:val="bottom"/>
            <w:shd w:val="clear" w:color="auto" w:fill="DBE5F1"/>
          </w:tcPr>
          <w:p>
            <w:pPr>
              <w:jc w:val="center"/>
              <w:ind w:right="28"/>
              <w:spacing w:after="0"/>
              <w:rPr>
                <w:sz w:val="20"/>
                <w:szCs w:val="20"/>
                <w:color w:val="auto"/>
              </w:rPr>
            </w:pPr>
            <w:r>
              <w:rPr>
                <w:rFonts w:ascii="Arial" w:cs="Arial" w:eastAsia="Arial" w:hAnsi="Arial"/>
                <w:sz w:val="14"/>
                <w:szCs w:val="14"/>
                <w:b w:val="1"/>
                <w:bCs w:val="1"/>
                <w:color w:val="auto"/>
              </w:rPr>
              <w:t>Average</w:t>
            </w:r>
          </w:p>
        </w:tc>
        <w:tc>
          <w:tcPr>
            <w:tcW w:w="140" w:type="dxa"/>
            <w:vAlign w:val="bottom"/>
            <w:shd w:val="clear" w:color="auto" w:fill="DBE5F1"/>
          </w:tcPr>
          <w:p>
            <w:pPr>
              <w:spacing w:after="0"/>
              <w:rPr>
                <w:sz w:val="14"/>
                <w:szCs w:val="14"/>
                <w:color w:val="auto"/>
              </w:rPr>
            </w:pPr>
          </w:p>
        </w:tc>
        <w:tc>
          <w:tcPr>
            <w:tcW w:w="1260" w:type="dxa"/>
            <w:vAlign w:val="bottom"/>
            <w:shd w:val="clear" w:color="auto" w:fill="DBE5F1"/>
          </w:tcPr>
          <w:p>
            <w:pPr>
              <w:spacing w:after="0"/>
              <w:rPr>
                <w:sz w:val="14"/>
                <w:szCs w:val="14"/>
                <w:color w:val="auto"/>
              </w:rPr>
            </w:pPr>
          </w:p>
        </w:tc>
        <w:tc>
          <w:tcPr>
            <w:tcW w:w="60" w:type="dxa"/>
            <w:vAlign w:val="bottom"/>
            <w:shd w:val="clear" w:color="auto" w:fill="DBE5F1"/>
          </w:tcPr>
          <w:p>
            <w:pPr>
              <w:spacing w:after="0"/>
              <w:rPr>
                <w:sz w:val="14"/>
                <w:szCs w:val="14"/>
                <w:color w:val="auto"/>
              </w:rPr>
            </w:pPr>
          </w:p>
        </w:tc>
        <w:tc>
          <w:tcPr>
            <w:tcW w:w="60" w:type="dxa"/>
            <w:vAlign w:val="bottom"/>
            <w:shd w:val="clear" w:color="auto" w:fill="DBE5F1"/>
          </w:tcPr>
          <w:p>
            <w:pPr>
              <w:spacing w:after="0"/>
              <w:rPr>
                <w:sz w:val="14"/>
                <w:szCs w:val="14"/>
                <w:color w:val="auto"/>
              </w:rPr>
            </w:pPr>
          </w:p>
        </w:tc>
        <w:tc>
          <w:tcPr>
            <w:tcW w:w="2020" w:type="dxa"/>
            <w:vAlign w:val="bottom"/>
            <w:gridSpan w:val="3"/>
            <w:shd w:val="clear" w:color="auto" w:fill="DBE5F1"/>
          </w:tcPr>
          <w:p>
            <w:pPr>
              <w:jc w:val="center"/>
              <w:ind w:right="8"/>
              <w:spacing w:after="0"/>
              <w:rPr>
                <w:sz w:val="20"/>
                <w:szCs w:val="20"/>
                <w:color w:val="auto"/>
              </w:rPr>
            </w:pPr>
            <w:r>
              <w:rPr>
                <w:rFonts w:ascii="Arial" w:cs="Arial" w:eastAsia="Arial" w:hAnsi="Arial"/>
                <w:sz w:val="14"/>
                <w:szCs w:val="14"/>
                <w:b w:val="1"/>
                <w:bCs w:val="1"/>
                <w:color w:val="auto"/>
              </w:rPr>
              <w:t>Value of Initial Fixed $100</w:t>
            </w:r>
          </w:p>
        </w:tc>
        <w:tc>
          <w:tcPr>
            <w:tcW w:w="160" w:type="dxa"/>
            <w:vAlign w:val="bottom"/>
            <w:shd w:val="clear" w:color="auto" w:fill="DBE5F1"/>
          </w:tcPr>
          <w:p>
            <w:pPr>
              <w:spacing w:after="0"/>
              <w:rPr>
                <w:sz w:val="14"/>
                <w:szCs w:val="14"/>
                <w:color w:val="auto"/>
              </w:rPr>
            </w:pPr>
          </w:p>
        </w:tc>
        <w:tc>
          <w:tcPr>
            <w:tcW w:w="880" w:type="dxa"/>
            <w:vAlign w:val="bottom"/>
            <w:shd w:val="clear" w:color="auto" w:fill="DBE5F1"/>
          </w:tcPr>
          <w:p>
            <w:pPr>
              <w:spacing w:after="0"/>
              <w:rPr>
                <w:sz w:val="14"/>
                <w:szCs w:val="14"/>
                <w:color w:val="auto"/>
              </w:rPr>
            </w:pPr>
          </w:p>
        </w:tc>
        <w:tc>
          <w:tcPr>
            <w:tcW w:w="140" w:type="dxa"/>
            <w:vAlign w:val="bottom"/>
            <w:shd w:val="clear" w:color="auto" w:fill="DBE5F1"/>
          </w:tcPr>
          <w:p>
            <w:pPr>
              <w:spacing w:after="0"/>
              <w:rPr>
                <w:sz w:val="14"/>
                <w:szCs w:val="14"/>
                <w:color w:val="auto"/>
              </w:rPr>
            </w:pPr>
          </w:p>
        </w:tc>
        <w:tc>
          <w:tcPr>
            <w:tcW w:w="840" w:type="dxa"/>
            <w:vAlign w:val="bottom"/>
            <w:shd w:val="clear" w:color="auto" w:fill="DBE5F1"/>
          </w:tcPr>
          <w:p>
            <w:pPr>
              <w:spacing w:after="0"/>
              <w:rPr>
                <w:sz w:val="14"/>
                <w:szCs w:val="14"/>
                <w:color w:val="auto"/>
              </w:rPr>
            </w:pPr>
          </w:p>
        </w:tc>
      </w:tr>
      <w:tr>
        <w:trPr>
          <w:trHeight w:val="162"/>
        </w:trPr>
        <w:tc>
          <w:tcPr>
            <w:tcW w:w="640" w:type="dxa"/>
            <w:vAlign w:val="bottom"/>
            <w:tcBorders>
              <w:bottom w:val="single" w:sz="8" w:color="DBE5F1"/>
            </w:tcBorders>
            <w:shd w:val="clear" w:color="auto" w:fill="DBE5F1"/>
          </w:tcPr>
          <w:p>
            <w:pPr>
              <w:spacing w:after="0"/>
              <w:rPr>
                <w:sz w:val="14"/>
                <w:szCs w:val="14"/>
                <w:color w:val="auto"/>
              </w:rPr>
            </w:pPr>
          </w:p>
        </w:tc>
        <w:tc>
          <w:tcPr>
            <w:tcW w:w="120" w:type="dxa"/>
            <w:vAlign w:val="bottom"/>
            <w:tcBorders>
              <w:bottom w:val="single" w:sz="8" w:color="DBE5F1"/>
            </w:tcBorders>
            <w:shd w:val="clear" w:color="auto" w:fill="DBE5F1"/>
          </w:tcPr>
          <w:p>
            <w:pPr>
              <w:spacing w:after="0"/>
              <w:rPr>
                <w:sz w:val="14"/>
                <w:szCs w:val="14"/>
                <w:color w:val="auto"/>
              </w:rPr>
            </w:pPr>
          </w:p>
        </w:tc>
        <w:tc>
          <w:tcPr>
            <w:tcW w:w="80" w:type="dxa"/>
            <w:vAlign w:val="bottom"/>
            <w:tcBorders>
              <w:bottom w:val="single" w:sz="8" w:color="DBE5F1"/>
            </w:tcBorders>
            <w:shd w:val="clear" w:color="auto" w:fill="DBE5F1"/>
          </w:tcPr>
          <w:p>
            <w:pPr>
              <w:spacing w:after="0"/>
              <w:rPr>
                <w:sz w:val="14"/>
                <w:szCs w:val="14"/>
                <w:color w:val="auto"/>
              </w:rPr>
            </w:pPr>
          </w:p>
        </w:tc>
        <w:tc>
          <w:tcPr>
            <w:tcW w:w="940" w:type="dxa"/>
            <w:vAlign w:val="bottom"/>
            <w:tcBorders>
              <w:bottom w:val="single" w:sz="8" w:color="DBE5F1"/>
            </w:tcBorders>
            <w:shd w:val="clear" w:color="auto" w:fill="DBE5F1"/>
          </w:tcPr>
          <w:p>
            <w:pPr>
              <w:jc w:val="center"/>
              <w:ind w:right="8"/>
              <w:spacing w:after="0"/>
              <w:rPr>
                <w:sz w:val="20"/>
                <w:szCs w:val="20"/>
                <w:color w:val="auto"/>
              </w:rPr>
            </w:pPr>
            <w:r>
              <w:rPr>
                <w:rFonts w:ascii="Arial" w:cs="Arial" w:eastAsia="Arial" w:hAnsi="Arial"/>
                <w:sz w:val="14"/>
                <w:szCs w:val="14"/>
                <w:b w:val="1"/>
                <w:bCs w:val="1"/>
                <w:color w:val="auto"/>
              </w:rPr>
              <w:t>Summary</w:t>
            </w:r>
          </w:p>
        </w:tc>
        <w:tc>
          <w:tcPr>
            <w:tcW w:w="160" w:type="dxa"/>
            <w:vAlign w:val="bottom"/>
            <w:tcBorders>
              <w:bottom w:val="single" w:sz="8" w:color="DBE5F1"/>
            </w:tcBorders>
            <w:shd w:val="clear" w:color="auto" w:fill="DBE5F1"/>
          </w:tcPr>
          <w:p>
            <w:pPr>
              <w:spacing w:after="0"/>
              <w:rPr>
                <w:sz w:val="14"/>
                <w:szCs w:val="14"/>
                <w:color w:val="auto"/>
              </w:rPr>
            </w:pPr>
          </w:p>
        </w:tc>
        <w:tc>
          <w:tcPr>
            <w:tcW w:w="1120" w:type="dxa"/>
            <w:vAlign w:val="bottom"/>
            <w:tcBorders>
              <w:bottom w:val="single" w:sz="8" w:color="DBE5F1"/>
            </w:tcBorders>
            <w:shd w:val="clear" w:color="auto" w:fill="DBE5F1"/>
          </w:tcPr>
          <w:p>
            <w:pPr>
              <w:spacing w:after="0"/>
              <w:rPr>
                <w:sz w:val="14"/>
                <w:szCs w:val="14"/>
                <w:color w:val="auto"/>
              </w:rPr>
            </w:pPr>
          </w:p>
        </w:tc>
        <w:tc>
          <w:tcPr>
            <w:tcW w:w="160" w:type="dxa"/>
            <w:vAlign w:val="bottom"/>
            <w:tcBorders>
              <w:bottom w:val="single" w:sz="8" w:color="DBE5F1"/>
            </w:tcBorders>
            <w:shd w:val="clear" w:color="auto" w:fill="DBE5F1"/>
          </w:tcPr>
          <w:p>
            <w:pPr>
              <w:spacing w:after="0"/>
              <w:rPr>
                <w:sz w:val="14"/>
                <w:szCs w:val="14"/>
                <w:color w:val="auto"/>
              </w:rPr>
            </w:pPr>
          </w:p>
        </w:tc>
        <w:tc>
          <w:tcPr>
            <w:tcW w:w="1140" w:type="dxa"/>
            <w:vAlign w:val="bottom"/>
            <w:tcBorders>
              <w:bottom w:val="single" w:sz="8" w:color="DBE5F1"/>
            </w:tcBorders>
            <w:shd w:val="clear" w:color="auto" w:fill="DBE5F1"/>
          </w:tcPr>
          <w:p>
            <w:pPr>
              <w:jc w:val="center"/>
              <w:ind w:right="8"/>
              <w:spacing w:after="0"/>
              <w:rPr>
                <w:sz w:val="20"/>
                <w:szCs w:val="20"/>
                <w:color w:val="auto"/>
              </w:rPr>
            </w:pPr>
            <w:r>
              <w:rPr>
                <w:rFonts w:ascii="Arial" w:cs="Arial" w:eastAsia="Arial" w:hAnsi="Arial"/>
                <w:sz w:val="14"/>
                <w:szCs w:val="14"/>
                <w:b w:val="1"/>
                <w:bCs w:val="1"/>
                <w:color w:val="auto"/>
              </w:rPr>
              <w:t>Summary</w:t>
            </w:r>
          </w:p>
        </w:tc>
        <w:tc>
          <w:tcPr>
            <w:tcW w:w="140" w:type="dxa"/>
            <w:vAlign w:val="bottom"/>
            <w:tcBorders>
              <w:bottom w:val="single" w:sz="8" w:color="DBE5F1"/>
            </w:tcBorders>
            <w:shd w:val="clear" w:color="auto" w:fill="DBE5F1"/>
          </w:tcPr>
          <w:p>
            <w:pPr>
              <w:spacing w:after="0"/>
              <w:rPr>
                <w:sz w:val="14"/>
                <w:szCs w:val="14"/>
                <w:color w:val="auto"/>
              </w:rPr>
            </w:pPr>
          </w:p>
        </w:tc>
        <w:tc>
          <w:tcPr>
            <w:tcW w:w="1260" w:type="dxa"/>
            <w:vAlign w:val="bottom"/>
            <w:tcBorders>
              <w:bottom w:val="single" w:sz="8" w:color="DBE5F1"/>
            </w:tcBorders>
            <w:shd w:val="clear" w:color="auto" w:fill="DBE5F1"/>
          </w:tcPr>
          <w:p>
            <w:pPr>
              <w:jc w:val="center"/>
              <w:ind w:right="48"/>
              <w:spacing w:after="0"/>
              <w:rPr>
                <w:sz w:val="20"/>
                <w:szCs w:val="20"/>
                <w:color w:val="auto"/>
              </w:rPr>
            </w:pPr>
            <w:r>
              <w:rPr>
                <w:rFonts w:ascii="Arial" w:cs="Arial" w:eastAsia="Arial" w:hAnsi="Arial"/>
                <w:sz w:val="14"/>
                <w:szCs w:val="14"/>
                <w:b w:val="1"/>
                <w:bCs w:val="1"/>
                <w:color w:val="auto"/>
              </w:rPr>
              <w:t>Average</w:t>
            </w:r>
          </w:p>
        </w:tc>
        <w:tc>
          <w:tcPr>
            <w:tcW w:w="60" w:type="dxa"/>
            <w:vAlign w:val="bottom"/>
            <w:tcBorders>
              <w:bottom w:val="single" w:sz="8" w:color="DBE5F1"/>
            </w:tcBorders>
            <w:shd w:val="clear" w:color="auto" w:fill="DBE5F1"/>
          </w:tcPr>
          <w:p>
            <w:pPr>
              <w:spacing w:after="0"/>
              <w:rPr>
                <w:sz w:val="14"/>
                <w:szCs w:val="14"/>
                <w:color w:val="auto"/>
              </w:rPr>
            </w:pPr>
          </w:p>
        </w:tc>
        <w:tc>
          <w:tcPr>
            <w:tcW w:w="60" w:type="dxa"/>
            <w:vAlign w:val="bottom"/>
            <w:tcBorders>
              <w:bottom w:val="single" w:sz="8" w:color="auto"/>
            </w:tcBorders>
            <w:shd w:val="clear" w:color="auto" w:fill="DBE5F1"/>
          </w:tcPr>
          <w:p>
            <w:pPr>
              <w:spacing w:after="0"/>
              <w:rPr>
                <w:sz w:val="14"/>
                <w:szCs w:val="14"/>
                <w:color w:val="auto"/>
              </w:rPr>
            </w:pPr>
          </w:p>
        </w:tc>
        <w:tc>
          <w:tcPr>
            <w:tcW w:w="2020" w:type="dxa"/>
            <w:vAlign w:val="bottom"/>
            <w:tcBorders>
              <w:bottom w:val="single" w:sz="8" w:color="auto"/>
            </w:tcBorders>
            <w:gridSpan w:val="3"/>
            <w:shd w:val="clear" w:color="auto" w:fill="DBE5F1"/>
          </w:tcPr>
          <w:p>
            <w:pPr>
              <w:jc w:val="center"/>
              <w:spacing w:after="0"/>
              <w:rPr>
                <w:sz w:val="20"/>
                <w:szCs w:val="20"/>
                <w:color w:val="auto"/>
              </w:rPr>
            </w:pPr>
            <w:r>
              <w:rPr>
                <w:rFonts w:ascii="Arial" w:cs="Arial" w:eastAsia="Arial" w:hAnsi="Arial"/>
                <w:sz w:val="14"/>
                <w:szCs w:val="14"/>
                <w:b w:val="1"/>
                <w:bCs w:val="1"/>
                <w:color w:val="auto"/>
              </w:rPr>
              <w:t>Investment Based On:</w:t>
            </w:r>
          </w:p>
        </w:tc>
        <w:tc>
          <w:tcPr>
            <w:tcW w:w="160" w:type="dxa"/>
            <w:vAlign w:val="bottom"/>
            <w:tcBorders>
              <w:bottom w:val="single" w:sz="8" w:color="DBE5F1"/>
            </w:tcBorders>
            <w:shd w:val="clear" w:color="auto" w:fill="DBE5F1"/>
          </w:tcPr>
          <w:p>
            <w:pPr>
              <w:spacing w:after="0"/>
              <w:rPr>
                <w:sz w:val="14"/>
                <w:szCs w:val="14"/>
                <w:color w:val="auto"/>
              </w:rPr>
            </w:pPr>
          </w:p>
        </w:tc>
        <w:tc>
          <w:tcPr>
            <w:tcW w:w="880" w:type="dxa"/>
            <w:vAlign w:val="bottom"/>
            <w:tcBorders>
              <w:bottom w:val="single" w:sz="8" w:color="DBE5F1"/>
            </w:tcBorders>
            <w:shd w:val="clear" w:color="auto" w:fill="DBE5F1"/>
          </w:tcPr>
          <w:p>
            <w:pPr>
              <w:spacing w:after="0"/>
              <w:rPr>
                <w:sz w:val="14"/>
                <w:szCs w:val="14"/>
                <w:color w:val="auto"/>
              </w:rPr>
            </w:pPr>
          </w:p>
        </w:tc>
        <w:tc>
          <w:tcPr>
            <w:tcW w:w="140" w:type="dxa"/>
            <w:vAlign w:val="bottom"/>
            <w:tcBorders>
              <w:bottom w:val="single" w:sz="8" w:color="DBE5F1"/>
            </w:tcBorders>
            <w:shd w:val="clear" w:color="auto" w:fill="DBE5F1"/>
          </w:tcPr>
          <w:p>
            <w:pPr>
              <w:spacing w:after="0"/>
              <w:rPr>
                <w:sz w:val="14"/>
                <w:szCs w:val="14"/>
                <w:color w:val="auto"/>
              </w:rPr>
            </w:pPr>
          </w:p>
        </w:tc>
        <w:tc>
          <w:tcPr>
            <w:tcW w:w="840" w:type="dxa"/>
            <w:vAlign w:val="bottom"/>
            <w:tcBorders>
              <w:bottom w:val="single" w:sz="8" w:color="DBE5F1"/>
            </w:tcBorders>
            <w:shd w:val="clear" w:color="auto" w:fill="DBE5F1"/>
          </w:tcPr>
          <w:p>
            <w:pPr>
              <w:spacing w:after="0"/>
              <w:rPr>
                <w:sz w:val="14"/>
                <w:szCs w:val="14"/>
                <w:color w:val="auto"/>
              </w:rPr>
            </w:pPr>
          </w:p>
        </w:tc>
      </w:tr>
      <w:tr>
        <w:trPr>
          <w:trHeight w:val="156"/>
        </w:trPr>
        <w:tc>
          <w:tcPr>
            <w:tcW w:w="640" w:type="dxa"/>
            <w:vAlign w:val="bottom"/>
            <w:shd w:val="clear" w:color="auto" w:fill="DBE5F1"/>
          </w:tcPr>
          <w:p>
            <w:pPr>
              <w:spacing w:after="0"/>
              <w:rPr>
                <w:sz w:val="13"/>
                <w:szCs w:val="13"/>
                <w:color w:val="auto"/>
              </w:rPr>
            </w:pPr>
          </w:p>
        </w:tc>
        <w:tc>
          <w:tcPr>
            <w:tcW w:w="120" w:type="dxa"/>
            <w:vAlign w:val="bottom"/>
            <w:shd w:val="clear" w:color="auto" w:fill="DBE5F1"/>
          </w:tcPr>
          <w:p>
            <w:pPr>
              <w:spacing w:after="0"/>
              <w:rPr>
                <w:sz w:val="13"/>
                <w:szCs w:val="13"/>
                <w:color w:val="auto"/>
              </w:rPr>
            </w:pPr>
          </w:p>
        </w:tc>
        <w:tc>
          <w:tcPr>
            <w:tcW w:w="1020" w:type="dxa"/>
            <w:vAlign w:val="bottom"/>
            <w:gridSpan w:val="2"/>
            <w:shd w:val="clear" w:color="auto" w:fill="DBE5F1"/>
          </w:tcPr>
          <w:p>
            <w:pPr>
              <w:jc w:val="center"/>
              <w:spacing w:after="0" w:line="155" w:lineRule="exact"/>
              <w:rPr>
                <w:sz w:val="20"/>
                <w:szCs w:val="20"/>
                <w:color w:val="auto"/>
              </w:rPr>
            </w:pPr>
            <w:r>
              <w:rPr>
                <w:rFonts w:ascii="Arial" w:cs="Arial" w:eastAsia="Arial" w:hAnsi="Arial"/>
                <w:sz w:val="14"/>
                <w:szCs w:val="14"/>
                <w:b w:val="1"/>
                <w:bCs w:val="1"/>
                <w:color w:val="auto"/>
              </w:rPr>
              <w:t>Compensation</w:t>
            </w:r>
          </w:p>
        </w:tc>
        <w:tc>
          <w:tcPr>
            <w:tcW w:w="160" w:type="dxa"/>
            <w:vAlign w:val="bottom"/>
            <w:shd w:val="clear" w:color="auto" w:fill="DBE5F1"/>
          </w:tcPr>
          <w:p>
            <w:pPr>
              <w:spacing w:after="0"/>
              <w:rPr>
                <w:sz w:val="13"/>
                <w:szCs w:val="13"/>
                <w:color w:val="auto"/>
              </w:rPr>
            </w:pPr>
          </w:p>
        </w:tc>
        <w:tc>
          <w:tcPr>
            <w:tcW w:w="1120" w:type="dxa"/>
            <w:vAlign w:val="bottom"/>
            <w:shd w:val="clear" w:color="auto" w:fill="DBE5F1"/>
          </w:tcPr>
          <w:p>
            <w:pPr>
              <w:jc w:val="center"/>
              <w:spacing w:after="0" w:line="155" w:lineRule="exact"/>
              <w:rPr>
                <w:sz w:val="20"/>
                <w:szCs w:val="20"/>
                <w:color w:val="auto"/>
              </w:rPr>
            </w:pPr>
            <w:r>
              <w:rPr>
                <w:rFonts w:ascii="Arial" w:cs="Arial" w:eastAsia="Arial" w:hAnsi="Arial"/>
                <w:sz w:val="14"/>
                <w:szCs w:val="14"/>
                <w:b w:val="1"/>
                <w:bCs w:val="1"/>
                <w:color w:val="auto"/>
              </w:rPr>
              <w:t>Compensation</w:t>
            </w:r>
          </w:p>
        </w:tc>
        <w:tc>
          <w:tcPr>
            <w:tcW w:w="160" w:type="dxa"/>
            <w:vAlign w:val="bottom"/>
            <w:shd w:val="clear" w:color="auto" w:fill="DBE5F1"/>
          </w:tcPr>
          <w:p>
            <w:pPr>
              <w:spacing w:after="0"/>
              <w:rPr>
                <w:sz w:val="13"/>
                <w:szCs w:val="13"/>
                <w:color w:val="auto"/>
              </w:rPr>
            </w:pPr>
          </w:p>
        </w:tc>
        <w:tc>
          <w:tcPr>
            <w:tcW w:w="1140" w:type="dxa"/>
            <w:vAlign w:val="bottom"/>
            <w:shd w:val="clear" w:color="auto" w:fill="DBE5F1"/>
          </w:tcPr>
          <w:p>
            <w:pPr>
              <w:jc w:val="center"/>
              <w:ind w:right="28"/>
              <w:spacing w:after="0" w:line="155" w:lineRule="exact"/>
              <w:rPr>
                <w:sz w:val="20"/>
                <w:szCs w:val="20"/>
                <w:color w:val="auto"/>
              </w:rPr>
            </w:pPr>
            <w:r>
              <w:rPr>
                <w:rFonts w:ascii="Arial" w:cs="Arial" w:eastAsia="Arial" w:hAnsi="Arial"/>
                <w:sz w:val="14"/>
                <w:szCs w:val="14"/>
                <w:b w:val="1"/>
                <w:bCs w:val="1"/>
                <w:color w:val="auto"/>
              </w:rPr>
              <w:t>Compensation</w:t>
            </w:r>
          </w:p>
        </w:tc>
        <w:tc>
          <w:tcPr>
            <w:tcW w:w="140" w:type="dxa"/>
            <w:vAlign w:val="bottom"/>
            <w:shd w:val="clear" w:color="auto" w:fill="DBE5F1"/>
          </w:tcPr>
          <w:p>
            <w:pPr>
              <w:spacing w:after="0"/>
              <w:rPr>
                <w:sz w:val="13"/>
                <w:szCs w:val="13"/>
                <w:color w:val="auto"/>
              </w:rPr>
            </w:pPr>
          </w:p>
        </w:tc>
        <w:tc>
          <w:tcPr>
            <w:tcW w:w="1260" w:type="dxa"/>
            <w:vAlign w:val="bottom"/>
            <w:shd w:val="clear" w:color="auto" w:fill="DBE5F1"/>
          </w:tcPr>
          <w:p>
            <w:pPr>
              <w:jc w:val="center"/>
              <w:ind w:right="28"/>
              <w:spacing w:after="0" w:line="155" w:lineRule="exact"/>
              <w:rPr>
                <w:sz w:val="20"/>
                <w:szCs w:val="20"/>
                <w:color w:val="auto"/>
              </w:rPr>
            </w:pPr>
            <w:r>
              <w:rPr>
                <w:rFonts w:ascii="Arial" w:cs="Arial" w:eastAsia="Arial" w:hAnsi="Arial"/>
                <w:sz w:val="14"/>
                <w:szCs w:val="14"/>
                <w:b w:val="1"/>
                <w:bCs w:val="1"/>
                <w:color w:val="auto"/>
              </w:rPr>
              <w:t>Compensation</w:t>
            </w:r>
          </w:p>
        </w:tc>
        <w:tc>
          <w:tcPr>
            <w:tcW w:w="60" w:type="dxa"/>
            <w:vAlign w:val="bottom"/>
            <w:shd w:val="clear" w:color="auto" w:fill="DBE5F1"/>
          </w:tcPr>
          <w:p>
            <w:pPr>
              <w:spacing w:after="0"/>
              <w:rPr>
                <w:sz w:val="13"/>
                <w:szCs w:val="13"/>
                <w:color w:val="auto"/>
              </w:rPr>
            </w:pPr>
          </w:p>
        </w:tc>
        <w:tc>
          <w:tcPr>
            <w:tcW w:w="60" w:type="dxa"/>
            <w:vAlign w:val="bottom"/>
            <w:shd w:val="clear" w:color="auto" w:fill="DBE5F1"/>
          </w:tcPr>
          <w:p>
            <w:pPr>
              <w:spacing w:after="0"/>
              <w:rPr>
                <w:sz w:val="13"/>
                <w:szCs w:val="13"/>
                <w:color w:val="auto"/>
              </w:rPr>
            </w:pPr>
          </w:p>
        </w:tc>
        <w:tc>
          <w:tcPr>
            <w:tcW w:w="960" w:type="dxa"/>
            <w:vAlign w:val="bottom"/>
            <w:shd w:val="clear" w:color="auto" w:fill="DBE5F1"/>
          </w:tcPr>
          <w:p>
            <w:pPr>
              <w:spacing w:after="0"/>
              <w:rPr>
                <w:sz w:val="13"/>
                <w:szCs w:val="13"/>
                <w:color w:val="auto"/>
              </w:rPr>
            </w:pPr>
          </w:p>
        </w:tc>
        <w:tc>
          <w:tcPr>
            <w:tcW w:w="120" w:type="dxa"/>
            <w:vAlign w:val="bottom"/>
            <w:shd w:val="clear" w:color="auto" w:fill="DBE5F1"/>
          </w:tcPr>
          <w:p>
            <w:pPr>
              <w:spacing w:after="0"/>
              <w:rPr>
                <w:sz w:val="13"/>
                <w:szCs w:val="13"/>
                <w:color w:val="auto"/>
              </w:rPr>
            </w:pPr>
          </w:p>
        </w:tc>
        <w:tc>
          <w:tcPr>
            <w:tcW w:w="940" w:type="dxa"/>
            <w:vAlign w:val="bottom"/>
            <w:shd w:val="clear" w:color="auto" w:fill="DBE5F1"/>
          </w:tcPr>
          <w:p>
            <w:pPr>
              <w:jc w:val="center"/>
              <w:spacing w:after="0" w:line="155" w:lineRule="exact"/>
              <w:rPr>
                <w:sz w:val="20"/>
                <w:szCs w:val="20"/>
                <w:color w:val="auto"/>
              </w:rPr>
            </w:pPr>
            <w:r>
              <w:rPr>
                <w:rFonts w:ascii="Arial" w:cs="Arial" w:eastAsia="Arial" w:hAnsi="Arial"/>
                <w:sz w:val="14"/>
                <w:szCs w:val="14"/>
                <w:b w:val="1"/>
                <w:bCs w:val="1"/>
                <w:color w:val="auto"/>
              </w:rPr>
              <w:t>Peer Group</w:t>
            </w:r>
          </w:p>
        </w:tc>
        <w:tc>
          <w:tcPr>
            <w:tcW w:w="160" w:type="dxa"/>
            <w:vAlign w:val="bottom"/>
            <w:shd w:val="clear" w:color="auto" w:fill="DBE5F1"/>
          </w:tcPr>
          <w:p>
            <w:pPr>
              <w:spacing w:after="0"/>
              <w:rPr>
                <w:sz w:val="13"/>
                <w:szCs w:val="13"/>
                <w:color w:val="auto"/>
              </w:rPr>
            </w:pPr>
          </w:p>
        </w:tc>
        <w:tc>
          <w:tcPr>
            <w:tcW w:w="880" w:type="dxa"/>
            <w:vAlign w:val="bottom"/>
            <w:shd w:val="clear" w:color="auto" w:fill="DBE5F1"/>
          </w:tcPr>
          <w:p>
            <w:pPr>
              <w:spacing w:after="0"/>
              <w:rPr>
                <w:sz w:val="13"/>
                <w:szCs w:val="13"/>
                <w:color w:val="auto"/>
              </w:rPr>
            </w:pPr>
          </w:p>
        </w:tc>
        <w:tc>
          <w:tcPr>
            <w:tcW w:w="140" w:type="dxa"/>
            <w:vAlign w:val="bottom"/>
            <w:shd w:val="clear" w:color="auto" w:fill="DBE5F1"/>
          </w:tcPr>
          <w:p>
            <w:pPr>
              <w:spacing w:after="0"/>
              <w:rPr>
                <w:sz w:val="13"/>
                <w:szCs w:val="13"/>
                <w:color w:val="auto"/>
              </w:rPr>
            </w:pPr>
          </w:p>
        </w:tc>
        <w:tc>
          <w:tcPr>
            <w:tcW w:w="840" w:type="dxa"/>
            <w:vAlign w:val="bottom"/>
            <w:shd w:val="clear" w:color="auto" w:fill="DBE5F1"/>
          </w:tcPr>
          <w:p>
            <w:pPr>
              <w:spacing w:after="0"/>
              <w:rPr>
                <w:sz w:val="13"/>
                <w:szCs w:val="13"/>
                <w:color w:val="auto"/>
              </w:rPr>
            </w:pPr>
          </w:p>
        </w:tc>
      </w:tr>
      <w:tr>
        <w:trPr>
          <w:trHeight w:val="148"/>
        </w:trPr>
        <w:tc>
          <w:tcPr>
            <w:tcW w:w="640" w:type="dxa"/>
            <w:vAlign w:val="bottom"/>
            <w:shd w:val="clear" w:color="auto" w:fill="DBE5F1"/>
          </w:tcPr>
          <w:p>
            <w:pPr>
              <w:spacing w:after="0"/>
              <w:rPr>
                <w:sz w:val="12"/>
                <w:szCs w:val="12"/>
                <w:color w:val="auto"/>
              </w:rPr>
            </w:pPr>
          </w:p>
        </w:tc>
        <w:tc>
          <w:tcPr>
            <w:tcW w:w="120" w:type="dxa"/>
            <w:vAlign w:val="bottom"/>
            <w:shd w:val="clear" w:color="auto" w:fill="DBE5F1"/>
          </w:tcPr>
          <w:p>
            <w:pPr>
              <w:spacing w:after="0"/>
              <w:rPr>
                <w:sz w:val="12"/>
                <w:szCs w:val="12"/>
                <w:color w:val="auto"/>
              </w:rPr>
            </w:pPr>
          </w:p>
        </w:tc>
        <w:tc>
          <w:tcPr>
            <w:tcW w:w="80" w:type="dxa"/>
            <w:vAlign w:val="bottom"/>
            <w:shd w:val="clear" w:color="auto" w:fill="DBE5F1"/>
          </w:tcPr>
          <w:p>
            <w:pPr>
              <w:spacing w:after="0"/>
              <w:rPr>
                <w:sz w:val="12"/>
                <w:szCs w:val="12"/>
                <w:color w:val="auto"/>
              </w:rPr>
            </w:pPr>
          </w:p>
        </w:tc>
        <w:tc>
          <w:tcPr>
            <w:tcW w:w="940" w:type="dxa"/>
            <w:vAlign w:val="bottom"/>
            <w:shd w:val="clear" w:color="auto" w:fill="DBE5F1"/>
          </w:tcPr>
          <w:p>
            <w:pPr>
              <w:jc w:val="center"/>
              <w:ind w:right="8"/>
              <w:spacing w:after="0" w:line="149" w:lineRule="exact"/>
              <w:rPr>
                <w:sz w:val="20"/>
                <w:szCs w:val="20"/>
                <w:color w:val="auto"/>
              </w:rPr>
            </w:pPr>
            <w:r>
              <w:rPr>
                <w:rFonts w:ascii="Arial" w:cs="Arial" w:eastAsia="Arial" w:hAnsi="Arial"/>
                <w:sz w:val="14"/>
                <w:szCs w:val="14"/>
                <w:b w:val="1"/>
                <w:bCs w:val="1"/>
                <w:color w:val="auto"/>
              </w:rPr>
              <w:t>Table Total</w:t>
            </w:r>
          </w:p>
        </w:tc>
        <w:tc>
          <w:tcPr>
            <w:tcW w:w="160" w:type="dxa"/>
            <w:vAlign w:val="bottom"/>
            <w:shd w:val="clear" w:color="auto" w:fill="DBE5F1"/>
          </w:tcPr>
          <w:p>
            <w:pPr>
              <w:spacing w:after="0"/>
              <w:rPr>
                <w:sz w:val="12"/>
                <w:szCs w:val="12"/>
                <w:color w:val="auto"/>
              </w:rPr>
            </w:pPr>
          </w:p>
        </w:tc>
        <w:tc>
          <w:tcPr>
            <w:tcW w:w="1120" w:type="dxa"/>
            <w:vAlign w:val="bottom"/>
            <w:shd w:val="clear" w:color="auto" w:fill="DBE5F1"/>
          </w:tcPr>
          <w:p>
            <w:pPr>
              <w:jc w:val="center"/>
              <w:spacing w:after="0" w:line="149" w:lineRule="exact"/>
              <w:rPr>
                <w:sz w:val="20"/>
                <w:szCs w:val="20"/>
                <w:color w:val="auto"/>
              </w:rPr>
            </w:pPr>
            <w:r>
              <w:rPr>
                <w:rFonts w:ascii="Arial" w:cs="Arial" w:eastAsia="Arial" w:hAnsi="Arial"/>
                <w:sz w:val="14"/>
                <w:szCs w:val="14"/>
                <w:b w:val="1"/>
                <w:bCs w:val="1"/>
                <w:color w:val="auto"/>
              </w:rPr>
              <w:t>Actually Paid</w:t>
            </w:r>
          </w:p>
        </w:tc>
        <w:tc>
          <w:tcPr>
            <w:tcW w:w="160" w:type="dxa"/>
            <w:vAlign w:val="bottom"/>
            <w:shd w:val="clear" w:color="auto" w:fill="DBE5F1"/>
          </w:tcPr>
          <w:p>
            <w:pPr>
              <w:spacing w:after="0"/>
              <w:rPr>
                <w:sz w:val="12"/>
                <w:szCs w:val="12"/>
                <w:color w:val="auto"/>
              </w:rPr>
            </w:pPr>
          </w:p>
        </w:tc>
        <w:tc>
          <w:tcPr>
            <w:tcW w:w="1140" w:type="dxa"/>
            <w:vAlign w:val="bottom"/>
            <w:shd w:val="clear" w:color="auto" w:fill="DBE5F1"/>
          </w:tcPr>
          <w:p>
            <w:pPr>
              <w:jc w:val="center"/>
              <w:ind w:right="8"/>
              <w:spacing w:after="0" w:line="149" w:lineRule="exact"/>
              <w:rPr>
                <w:sz w:val="20"/>
                <w:szCs w:val="20"/>
                <w:color w:val="auto"/>
              </w:rPr>
            </w:pPr>
            <w:r>
              <w:rPr>
                <w:rFonts w:ascii="Arial" w:cs="Arial" w:eastAsia="Arial" w:hAnsi="Arial"/>
                <w:sz w:val="14"/>
                <w:szCs w:val="14"/>
                <w:b w:val="1"/>
                <w:bCs w:val="1"/>
                <w:color w:val="auto"/>
              </w:rPr>
              <w:t>Table Total for</w:t>
            </w:r>
          </w:p>
        </w:tc>
        <w:tc>
          <w:tcPr>
            <w:tcW w:w="140" w:type="dxa"/>
            <w:vAlign w:val="bottom"/>
            <w:shd w:val="clear" w:color="auto" w:fill="DBE5F1"/>
          </w:tcPr>
          <w:p>
            <w:pPr>
              <w:spacing w:after="0"/>
              <w:rPr>
                <w:sz w:val="12"/>
                <w:szCs w:val="12"/>
                <w:color w:val="auto"/>
              </w:rPr>
            </w:pPr>
          </w:p>
        </w:tc>
        <w:tc>
          <w:tcPr>
            <w:tcW w:w="1260" w:type="dxa"/>
            <w:vAlign w:val="bottom"/>
            <w:shd w:val="clear" w:color="auto" w:fill="DBE5F1"/>
          </w:tcPr>
          <w:p>
            <w:pPr>
              <w:jc w:val="center"/>
              <w:ind w:right="28"/>
              <w:spacing w:after="0" w:line="149" w:lineRule="exact"/>
              <w:rPr>
                <w:sz w:val="20"/>
                <w:szCs w:val="20"/>
                <w:color w:val="auto"/>
              </w:rPr>
            </w:pPr>
            <w:r>
              <w:rPr>
                <w:rFonts w:ascii="Arial" w:cs="Arial" w:eastAsia="Arial" w:hAnsi="Arial"/>
                <w:sz w:val="14"/>
                <w:szCs w:val="14"/>
                <w:b w:val="1"/>
                <w:bCs w:val="1"/>
                <w:color w:val="auto"/>
              </w:rPr>
              <w:t>Actually Paid to</w:t>
            </w:r>
          </w:p>
        </w:tc>
        <w:tc>
          <w:tcPr>
            <w:tcW w:w="60" w:type="dxa"/>
            <w:vAlign w:val="bottom"/>
            <w:shd w:val="clear" w:color="auto" w:fill="DBE5F1"/>
          </w:tcPr>
          <w:p>
            <w:pPr>
              <w:spacing w:after="0"/>
              <w:rPr>
                <w:sz w:val="12"/>
                <w:szCs w:val="12"/>
                <w:color w:val="auto"/>
              </w:rPr>
            </w:pPr>
          </w:p>
        </w:tc>
        <w:tc>
          <w:tcPr>
            <w:tcW w:w="60" w:type="dxa"/>
            <w:vAlign w:val="bottom"/>
            <w:shd w:val="clear" w:color="auto" w:fill="DBE5F1"/>
          </w:tcPr>
          <w:p>
            <w:pPr>
              <w:spacing w:after="0"/>
              <w:rPr>
                <w:sz w:val="12"/>
                <w:szCs w:val="12"/>
                <w:color w:val="auto"/>
              </w:rPr>
            </w:pPr>
          </w:p>
        </w:tc>
        <w:tc>
          <w:tcPr>
            <w:tcW w:w="960" w:type="dxa"/>
            <w:vAlign w:val="bottom"/>
            <w:shd w:val="clear" w:color="auto" w:fill="DBE5F1"/>
          </w:tcPr>
          <w:p>
            <w:pPr>
              <w:jc w:val="center"/>
              <w:ind w:right="28"/>
              <w:spacing w:after="0" w:line="149" w:lineRule="exact"/>
              <w:rPr>
                <w:sz w:val="20"/>
                <w:szCs w:val="20"/>
                <w:color w:val="auto"/>
              </w:rPr>
            </w:pPr>
            <w:r>
              <w:rPr>
                <w:rFonts w:ascii="Arial" w:cs="Arial" w:eastAsia="Arial" w:hAnsi="Arial"/>
                <w:sz w:val="14"/>
                <w:szCs w:val="14"/>
                <w:b w:val="1"/>
                <w:bCs w:val="1"/>
                <w:color w:val="auto"/>
              </w:rPr>
              <w:t>Total Share-</w:t>
            </w:r>
          </w:p>
        </w:tc>
        <w:tc>
          <w:tcPr>
            <w:tcW w:w="120" w:type="dxa"/>
            <w:vAlign w:val="bottom"/>
            <w:shd w:val="clear" w:color="auto" w:fill="DBE5F1"/>
          </w:tcPr>
          <w:p>
            <w:pPr>
              <w:spacing w:after="0"/>
              <w:rPr>
                <w:sz w:val="12"/>
                <w:szCs w:val="12"/>
                <w:color w:val="auto"/>
              </w:rPr>
            </w:pPr>
          </w:p>
        </w:tc>
        <w:tc>
          <w:tcPr>
            <w:tcW w:w="940" w:type="dxa"/>
            <w:vAlign w:val="bottom"/>
            <w:shd w:val="clear" w:color="auto" w:fill="DBE5F1"/>
          </w:tcPr>
          <w:p>
            <w:pPr>
              <w:jc w:val="center"/>
              <w:ind w:right="8"/>
              <w:spacing w:after="0" w:line="149" w:lineRule="exact"/>
              <w:rPr>
                <w:sz w:val="20"/>
                <w:szCs w:val="20"/>
                <w:color w:val="auto"/>
              </w:rPr>
            </w:pPr>
            <w:r>
              <w:rPr>
                <w:rFonts w:ascii="Arial" w:cs="Arial" w:eastAsia="Arial" w:hAnsi="Arial"/>
                <w:sz w:val="14"/>
                <w:szCs w:val="14"/>
                <w:b w:val="1"/>
                <w:bCs w:val="1"/>
                <w:color w:val="auto"/>
              </w:rPr>
              <w:t>Total Share-</w:t>
            </w:r>
          </w:p>
        </w:tc>
        <w:tc>
          <w:tcPr>
            <w:tcW w:w="160" w:type="dxa"/>
            <w:vAlign w:val="bottom"/>
            <w:shd w:val="clear" w:color="auto" w:fill="DBE5F1"/>
          </w:tcPr>
          <w:p>
            <w:pPr>
              <w:spacing w:after="0"/>
              <w:rPr>
                <w:sz w:val="12"/>
                <w:szCs w:val="12"/>
                <w:color w:val="auto"/>
              </w:rPr>
            </w:pPr>
          </w:p>
        </w:tc>
        <w:tc>
          <w:tcPr>
            <w:tcW w:w="880" w:type="dxa"/>
            <w:vAlign w:val="bottom"/>
            <w:shd w:val="clear" w:color="auto" w:fill="DBE5F1"/>
          </w:tcPr>
          <w:p>
            <w:pPr>
              <w:spacing w:after="0"/>
              <w:rPr>
                <w:sz w:val="12"/>
                <w:szCs w:val="12"/>
                <w:color w:val="auto"/>
              </w:rPr>
            </w:pPr>
          </w:p>
        </w:tc>
        <w:tc>
          <w:tcPr>
            <w:tcW w:w="140" w:type="dxa"/>
            <w:vAlign w:val="bottom"/>
            <w:shd w:val="clear" w:color="auto" w:fill="DBE5F1"/>
          </w:tcPr>
          <w:p>
            <w:pPr>
              <w:spacing w:after="0"/>
              <w:rPr>
                <w:sz w:val="12"/>
                <w:szCs w:val="12"/>
                <w:color w:val="auto"/>
              </w:rPr>
            </w:pPr>
          </w:p>
        </w:tc>
        <w:tc>
          <w:tcPr>
            <w:tcW w:w="840" w:type="dxa"/>
            <w:vAlign w:val="bottom"/>
            <w:shd w:val="clear" w:color="auto" w:fill="DBE5F1"/>
          </w:tcPr>
          <w:p>
            <w:pPr>
              <w:jc w:val="center"/>
              <w:spacing w:after="0" w:line="149" w:lineRule="exact"/>
              <w:rPr>
                <w:sz w:val="20"/>
                <w:szCs w:val="20"/>
                <w:color w:val="auto"/>
              </w:rPr>
            </w:pPr>
            <w:r>
              <w:rPr>
                <w:rFonts w:ascii="Arial" w:cs="Arial" w:eastAsia="Arial" w:hAnsi="Arial"/>
                <w:sz w:val="14"/>
                <w:szCs w:val="14"/>
                <w:b w:val="1"/>
                <w:bCs w:val="1"/>
                <w:color w:val="auto"/>
              </w:rPr>
              <w:t>Pre-tax</w:t>
            </w:r>
          </w:p>
        </w:tc>
      </w:tr>
      <w:tr>
        <w:trPr>
          <w:trHeight w:val="176"/>
        </w:trPr>
        <w:tc>
          <w:tcPr>
            <w:tcW w:w="640" w:type="dxa"/>
            <w:vAlign w:val="bottom"/>
            <w:tcBorders>
              <w:bottom w:val="single" w:sz="8" w:color="4A7EBB"/>
            </w:tcBorders>
            <w:shd w:val="clear" w:color="auto" w:fill="DBE5F1"/>
          </w:tcPr>
          <w:p>
            <w:pPr>
              <w:jc w:val="center"/>
              <w:spacing w:after="0"/>
              <w:rPr>
                <w:sz w:val="20"/>
                <w:szCs w:val="20"/>
                <w:color w:val="auto"/>
              </w:rPr>
            </w:pPr>
            <w:r>
              <w:rPr>
                <w:rFonts w:ascii="Arial" w:cs="Arial" w:eastAsia="Arial" w:hAnsi="Arial"/>
                <w:sz w:val="14"/>
                <w:szCs w:val="14"/>
                <w:b w:val="1"/>
                <w:bCs w:val="1"/>
                <w:color w:val="auto"/>
                <w:w w:val="98"/>
              </w:rPr>
              <w:t>Year</w:t>
            </w:r>
          </w:p>
        </w:tc>
        <w:tc>
          <w:tcPr>
            <w:tcW w:w="120" w:type="dxa"/>
            <w:vAlign w:val="bottom"/>
            <w:tcBorders>
              <w:bottom w:val="single" w:sz="8" w:color="4A7EBB"/>
            </w:tcBorders>
            <w:shd w:val="clear" w:color="auto" w:fill="DBE5F1"/>
          </w:tcPr>
          <w:p>
            <w:pPr>
              <w:spacing w:after="0"/>
              <w:rPr>
                <w:sz w:val="15"/>
                <w:szCs w:val="15"/>
                <w:color w:val="auto"/>
              </w:rPr>
            </w:pPr>
          </w:p>
        </w:tc>
        <w:tc>
          <w:tcPr>
            <w:tcW w:w="80" w:type="dxa"/>
            <w:vAlign w:val="bottom"/>
            <w:tcBorders>
              <w:bottom w:val="single" w:sz="8" w:color="4A7EBB"/>
            </w:tcBorders>
            <w:shd w:val="clear" w:color="auto" w:fill="DBE5F1"/>
          </w:tcPr>
          <w:p>
            <w:pPr>
              <w:spacing w:after="0"/>
              <w:rPr>
                <w:sz w:val="15"/>
                <w:szCs w:val="15"/>
                <w:color w:val="auto"/>
              </w:rPr>
            </w:pPr>
          </w:p>
        </w:tc>
        <w:tc>
          <w:tcPr>
            <w:tcW w:w="940" w:type="dxa"/>
            <w:vAlign w:val="bottom"/>
            <w:tcBorders>
              <w:bottom w:val="single" w:sz="8" w:color="4A7EBB"/>
            </w:tcBorders>
            <w:shd w:val="clear" w:color="auto" w:fill="DBE5F1"/>
          </w:tcPr>
          <w:p>
            <w:pPr>
              <w:jc w:val="center"/>
              <w:ind w:right="8"/>
              <w:spacing w:after="0"/>
              <w:rPr>
                <w:sz w:val="20"/>
                <w:szCs w:val="20"/>
                <w:color w:val="auto"/>
              </w:rPr>
            </w:pPr>
            <w:r>
              <w:rPr>
                <w:rFonts w:ascii="Arial" w:cs="Arial" w:eastAsia="Arial" w:hAnsi="Arial"/>
                <w:sz w:val="14"/>
                <w:szCs w:val="14"/>
                <w:b w:val="1"/>
                <w:bCs w:val="1"/>
                <w:color w:val="auto"/>
              </w:rPr>
              <w:t>for PEO</w:t>
            </w:r>
          </w:p>
        </w:tc>
        <w:tc>
          <w:tcPr>
            <w:tcW w:w="160" w:type="dxa"/>
            <w:vAlign w:val="bottom"/>
            <w:tcBorders>
              <w:bottom w:val="single" w:sz="8" w:color="4A7EBB"/>
            </w:tcBorders>
            <w:shd w:val="clear" w:color="auto" w:fill="DBE5F1"/>
          </w:tcPr>
          <w:p>
            <w:pPr>
              <w:spacing w:after="0"/>
              <w:rPr>
                <w:sz w:val="15"/>
                <w:szCs w:val="15"/>
                <w:color w:val="auto"/>
              </w:rPr>
            </w:pPr>
          </w:p>
        </w:tc>
        <w:tc>
          <w:tcPr>
            <w:tcW w:w="1120" w:type="dxa"/>
            <w:vAlign w:val="bottom"/>
            <w:tcBorders>
              <w:bottom w:val="single" w:sz="8" w:color="4A7EBB"/>
            </w:tcBorders>
            <w:shd w:val="clear" w:color="auto" w:fill="DBE5F1"/>
          </w:tcPr>
          <w:p>
            <w:pPr>
              <w:jc w:val="center"/>
              <w:spacing w:after="0" w:line="176" w:lineRule="exact"/>
              <w:rPr>
                <w:sz w:val="20"/>
                <w:szCs w:val="20"/>
                <w:color w:val="auto"/>
              </w:rPr>
            </w:pPr>
            <w:r>
              <w:rPr>
                <w:rFonts w:ascii="Arial" w:cs="Arial" w:eastAsia="Arial" w:hAnsi="Arial"/>
                <w:sz w:val="12"/>
                <w:szCs w:val="12"/>
                <w:b w:val="1"/>
                <w:bCs w:val="1"/>
                <w:color w:val="auto"/>
              </w:rPr>
              <w:t xml:space="preserve">to PEO </w:t>
            </w:r>
            <w:r>
              <w:rPr>
                <w:rFonts w:ascii="Arial" w:cs="Arial" w:eastAsia="Arial" w:hAnsi="Arial"/>
                <w:sz w:val="20"/>
                <w:szCs w:val="20"/>
                <w:b w:val="1"/>
                <w:bCs w:val="1"/>
                <w:color w:val="auto"/>
                <w:vertAlign w:val="superscript"/>
              </w:rPr>
              <w:t>(1)</w:t>
            </w:r>
          </w:p>
        </w:tc>
        <w:tc>
          <w:tcPr>
            <w:tcW w:w="160" w:type="dxa"/>
            <w:vAlign w:val="bottom"/>
            <w:tcBorders>
              <w:bottom w:val="single" w:sz="8" w:color="4A7EBB"/>
            </w:tcBorders>
            <w:shd w:val="clear" w:color="auto" w:fill="DBE5F1"/>
          </w:tcPr>
          <w:p>
            <w:pPr>
              <w:spacing w:after="0"/>
              <w:rPr>
                <w:sz w:val="15"/>
                <w:szCs w:val="15"/>
                <w:color w:val="auto"/>
              </w:rPr>
            </w:pPr>
          </w:p>
        </w:tc>
        <w:tc>
          <w:tcPr>
            <w:tcW w:w="1140" w:type="dxa"/>
            <w:vAlign w:val="bottom"/>
            <w:tcBorders>
              <w:bottom w:val="single" w:sz="8" w:color="4A7EBB"/>
            </w:tcBorders>
            <w:shd w:val="clear" w:color="auto" w:fill="DBE5F1"/>
          </w:tcPr>
          <w:p>
            <w:pPr>
              <w:jc w:val="center"/>
              <w:ind w:right="8"/>
              <w:spacing w:after="0"/>
              <w:rPr>
                <w:sz w:val="20"/>
                <w:szCs w:val="20"/>
                <w:color w:val="auto"/>
              </w:rPr>
            </w:pPr>
            <w:r>
              <w:rPr>
                <w:rFonts w:ascii="Arial" w:cs="Arial" w:eastAsia="Arial" w:hAnsi="Arial"/>
                <w:sz w:val="14"/>
                <w:szCs w:val="14"/>
                <w:b w:val="1"/>
                <w:bCs w:val="1"/>
                <w:color w:val="auto"/>
              </w:rPr>
              <w:t>Non-PEO NEOs</w:t>
            </w:r>
          </w:p>
        </w:tc>
        <w:tc>
          <w:tcPr>
            <w:tcW w:w="1400" w:type="dxa"/>
            <w:vAlign w:val="bottom"/>
            <w:tcBorders>
              <w:bottom w:val="single" w:sz="8" w:color="4A7EBB"/>
            </w:tcBorders>
            <w:gridSpan w:val="2"/>
            <w:shd w:val="clear" w:color="auto" w:fill="DBE5F1"/>
          </w:tcPr>
          <w:p>
            <w:pPr>
              <w:jc w:val="center"/>
              <w:spacing w:after="0" w:line="176" w:lineRule="exact"/>
              <w:rPr>
                <w:sz w:val="20"/>
                <w:szCs w:val="20"/>
                <w:color w:val="auto"/>
              </w:rPr>
            </w:pPr>
            <w:r>
              <w:rPr>
                <w:rFonts w:ascii="Arial" w:cs="Arial" w:eastAsia="Arial" w:hAnsi="Arial"/>
                <w:sz w:val="12"/>
                <w:szCs w:val="12"/>
                <w:b w:val="1"/>
                <w:bCs w:val="1"/>
                <w:color w:val="auto"/>
              </w:rPr>
              <w:t xml:space="preserve">Non-PEO NEOs </w:t>
            </w:r>
            <w:r>
              <w:rPr>
                <w:rFonts w:ascii="Arial" w:cs="Arial" w:eastAsia="Arial" w:hAnsi="Arial"/>
                <w:sz w:val="20"/>
                <w:szCs w:val="20"/>
                <w:b w:val="1"/>
                <w:bCs w:val="1"/>
                <w:color w:val="auto"/>
                <w:vertAlign w:val="superscript"/>
              </w:rPr>
              <w:t>(1)</w:t>
            </w:r>
          </w:p>
        </w:tc>
        <w:tc>
          <w:tcPr>
            <w:tcW w:w="60" w:type="dxa"/>
            <w:vAlign w:val="bottom"/>
            <w:tcBorders>
              <w:bottom w:val="single" w:sz="8" w:color="4A7EBB"/>
            </w:tcBorders>
            <w:shd w:val="clear" w:color="auto" w:fill="DBE5F1"/>
          </w:tcPr>
          <w:p>
            <w:pPr>
              <w:spacing w:after="0"/>
              <w:rPr>
                <w:sz w:val="15"/>
                <w:szCs w:val="15"/>
                <w:color w:val="auto"/>
              </w:rPr>
            </w:pPr>
          </w:p>
        </w:tc>
        <w:tc>
          <w:tcPr>
            <w:tcW w:w="1020" w:type="dxa"/>
            <w:vAlign w:val="bottom"/>
            <w:tcBorders>
              <w:bottom w:val="single" w:sz="8" w:color="4A7EBB"/>
            </w:tcBorders>
            <w:gridSpan w:val="2"/>
            <w:shd w:val="clear" w:color="auto" w:fill="DBE5F1"/>
          </w:tcPr>
          <w:p>
            <w:pPr>
              <w:jc w:val="center"/>
              <w:spacing w:after="0"/>
              <w:rPr>
                <w:sz w:val="20"/>
                <w:szCs w:val="20"/>
                <w:color w:val="auto"/>
              </w:rPr>
            </w:pPr>
            <w:r>
              <w:rPr>
                <w:rFonts w:ascii="Arial" w:cs="Arial" w:eastAsia="Arial" w:hAnsi="Arial"/>
                <w:sz w:val="14"/>
                <w:szCs w:val="14"/>
                <w:b w:val="1"/>
                <w:bCs w:val="1"/>
                <w:color w:val="auto"/>
              </w:rPr>
              <w:t>Holder Return</w:t>
            </w:r>
          </w:p>
        </w:tc>
        <w:tc>
          <w:tcPr>
            <w:tcW w:w="1060" w:type="dxa"/>
            <w:vAlign w:val="bottom"/>
            <w:tcBorders>
              <w:bottom w:val="single" w:sz="8" w:color="4A7EBB"/>
            </w:tcBorders>
            <w:gridSpan w:val="2"/>
            <w:shd w:val="clear" w:color="auto" w:fill="DBE5F1"/>
          </w:tcPr>
          <w:p>
            <w:pPr>
              <w:jc w:val="center"/>
              <w:spacing w:after="0"/>
              <w:rPr>
                <w:sz w:val="20"/>
                <w:szCs w:val="20"/>
                <w:color w:val="auto"/>
              </w:rPr>
            </w:pPr>
            <w:r>
              <w:rPr>
                <w:rFonts w:ascii="Arial" w:cs="Arial" w:eastAsia="Arial" w:hAnsi="Arial"/>
                <w:sz w:val="14"/>
                <w:szCs w:val="14"/>
                <w:b w:val="1"/>
                <w:bCs w:val="1"/>
                <w:color w:val="auto"/>
              </w:rPr>
              <w:t>Holder Return</w:t>
            </w:r>
          </w:p>
        </w:tc>
        <w:tc>
          <w:tcPr>
            <w:tcW w:w="160" w:type="dxa"/>
            <w:vAlign w:val="bottom"/>
            <w:tcBorders>
              <w:bottom w:val="single" w:sz="8" w:color="4A7EBB"/>
            </w:tcBorders>
            <w:shd w:val="clear" w:color="auto" w:fill="DBE5F1"/>
          </w:tcPr>
          <w:p>
            <w:pPr>
              <w:spacing w:after="0"/>
              <w:rPr>
                <w:sz w:val="15"/>
                <w:szCs w:val="15"/>
                <w:color w:val="auto"/>
              </w:rPr>
            </w:pPr>
          </w:p>
        </w:tc>
        <w:tc>
          <w:tcPr>
            <w:tcW w:w="880" w:type="dxa"/>
            <w:vAlign w:val="bottom"/>
            <w:tcBorders>
              <w:bottom w:val="single" w:sz="8" w:color="4A7EBB"/>
            </w:tcBorders>
            <w:shd w:val="clear" w:color="auto" w:fill="DBE5F1"/>
          </w:tcPr>
          <w:p>
            <w:pPr>
              <w:jc w:val="center"/>
              <w:ind w:right="28"/>
              <w:spacing w:after="0"/>
              <w:rPr>
                <w:sz w:val="20"/>
                <w:szCs w:val="20"/>
                <w:color w:val="auto"/>
              </w:rPr>
            </w:pPr>
            <w:r>
              <w:rPr>
                <w:rFonts w:ascii="Arial" w:cs="Arial" w:eastAsia="Arial" w:hAnsi="Arial"/>
                <w:sz w:val="14"/>
                <w:szCs w:val="14"/>
                <w:b w:val="1"/>
                <w:bCs w:val="1"/>
                <w:color w:val="auto"/>
              </w:rPr>
              <w:t>Net Income</w:t>
            </w:r>
          </w:p>
        </w:tc>
        <w:tc>
          <w:tcPr>
            <w:tcW w:w="140" w:type="dxa"/>
            <w:vAlign w:val="bottom"/>
            <w:tcBorders>
              <w:bottom w:val="single" w:sz="8" w:color="4A7EBB"/>
            </w:tcBorders>
            <w:shd w:val="clear" w:color="auto" w:fill="DBE5F1"/>
          </w:tcPr>
          <w:p>
            <w:pPr>
              <w:spacing w:after="0"/>
              <w:rPr>
                <w:sz w:val="15"/>
                <w:szCs w:val="15"/>
                <w:color w:val="auto"/>
              </w:rPr>
            </w:pPr>
          </w:p>
        </w:tc>
        <w:tc>
          <w:tcPr>
            <w:tcW w:w="840" w:type="dxa"/>
            <w:vAlign w:val="bottom"/>
            <w:tcBorders>
              <w:bottom w:val="single" w:sz="8" w:color="4A7EBB"/>
            </w:tcBorders>
            <w:shd w:val="clear" w:color="auto" w:fill="DBE5F1"/>
          </w:tcPr>
          <w:p>
            <w:pPr>
              <w:jc w:val="center"/>
              <w:spacing w:after="0"/>
              <w:rPr>
                <w:sz w:val="20"/>
                <w:szCs w:val="20"/>
                <w:color w:val="auto"/>
              </w:rPr>
            </w:pPr>
            <w:r>
              <w:rPr>
                <w:rFonts w:ascii="Arial" w:cs="Arial" w:eastAsia="Arial" w:hAnsi="Arial"/>
                <w:sz w:val="14"/>
                <w:szCs w:val="14"/>
                <w:b w:val="1"/>
                <w:bCs w:val="1"/>
                <w:color w:val="auto"/>
              </w:rPr>
              <w:t>Net Income</w:t>
            </w:r>
          </w:p>
        </w:tc>
      </w:tr>
      <w:tr>
        <w:trPr>
          <w:trHeight w:val="155"/>
        </w:trPr>
        <w:tc>
          <w:tcPr>
            <w:tcW w:w="640" w:type="dxa"/>
            <w:vAlign w:val="bottom"/>
            <w:tcBorders>
              <w:bottom w:val="single" w:sz="8" w:color="4A7EBB"/>
            </w:tcBorders>
          </w:tcPr>
          <w:p>
            <w:pPr>
              <w:jc w:val="center"/>
              <w:spacing w:after="0" w:line="155" w:lineRule="exact"/>
              <w:rPr>
                <w:sz w:val="20"/>
                <w:szCs w:val="20"/>
                <w:color w:val="auto"/>
              </w:rPr>
            </w:pPr>
            <w:r>
              <w:rPr>
                <w:rFonts w:ascii="Arial" w:cs="Arial" w:eastAsia="Arial" w:hAnsi="Arial"/>
                <w:sz w:val="14"/>
                <w:szCs w:val="14"/>
                <w:color w:val="auto"/>
              </w:rPr>
              <w:t>2026</w:t>
            </w:r>
          </w:p>
        </w:tc>
        <w:tc>
          <w:tcPr>
            <w:tcW w:w="120" w:type="dxa"/>
            <w:vAlign w:val="bottom"/>
            <w:tcBorders>
              <w:bottom w:val="single" w:sz="8" w:color="4A7EBB"/>
            </w:tcBorders>
          </w:tcPr>
          <w:p>
            <w:pPr>
              <w:spacing w:after="0"/>
              <w:rPr>
                <w:sz w:val="13"/>
                <w:szCs w:val="13"/>
                <w:color w:val="auto"/>
              </w:rPr>
            </w:pPr>
          </w:p>
        </w:tc>
        <w:tc>
          <w:tcPr>
            <w:tcW w:w="80" w:type="dxa"/>
            <w:vAlign w:val="bottom"/>
            <w:tcBorders>
              <w:bottom w:val="single" w:sz="8" w:color="4A7EBB"/>
            </w:tcBorders>
          </w:tcPr>
          <w:p>
            <w:pPr>
              <w:spacing w:after="0"/>
              <w:rPr>
                <w:sz w:val="13"/>
                <w:szCs w:val="13"/>
                <w:color w:val="auto"/>
              </w:rPr>
            </w:pPr>
          </w:p>
        </w:tc>
        <w:tc>
          <w:tcPr>
            <w:tcW w:w="940" w:type="dxa"/>
            <w:vAlign w:val="bottom"/>
            <w:tcBorders>
              <w:bottom w:val="single" w:sz="8" w:color="4A7EBB"/>
            </w:tcBorders>
          </w:tcPr>
          <w:p>
            <w:pPr>
              <w:jc w:val="center"/>
              <w:ind w:right="28"/>
              <w:spacing w:after="0" w:line="155" w:lineRule="exact"/>
              <w:rPr>
                <w:sz w:val="20"/>
                <w:szCs w:val="20"/>
                <w:color w:val="auto"/>
              </w:rPr>
            </w:pPr>
            <w:r>
              <w:rPr>
                <w:rFonts w:ascii="Arial" w:cs="Arial" w:eastAsia="Arial" w:hAnsi="Arial"/>
                <w:sz w:val="14"/>
                <w:szCs w:val="14"/>
                <w:color w:val="auto"/>
              </w:rPr>
              <w:t>12,508,253</w:t>
            </w:r>
          </w:p>
        </w:tc>
        <w:tc>
          <w:tcPr>
            <w:tcW w:w="160" w:type="dxa"/>
            <w:vAlign w:val="bottom"/>
            <w:tcBorders>
              <w:bottom w:val="single" w:sz="8" w:color="4A7EBB"/>
            </w:tcBorders>
          </w:tcPr>
          <w:p>
            <w:pPr>
              <w:spacing w:after="0"/>
              <w:rPr>
                <w:sz w:val="13"/>
                <w:szCs w:val="13"/>
                <w:color w:val="auto"/>
              </w:rPr>
            </w:pPr>
          </w:p>
        </w:tc>
        <w:tc>
          <w:tcPr>
            <w:tcW w:w="1120" w:type="dxa"/>
            <w:vAlign w:val="bottom"/>
            <w:tcBorders>
              <w:bottom w:val="single" w:sz="8" w:color="4A7EBB"/>
            </w:tcBorders>
          </w:tcPr>
          <w:p>
            <w:pPr>
              <w:jc w:val="center"/>
              <w:spacing w:after="0" w:line="155" w:lineRule="exact"/>
              <w:rPr>
                <w:sz w:val="20"/>
                <w:szCs w:val="20"/>
                <w:color w:val="auto"/>
              </w:rPr>
            </w:pPr>
            <w:r>
              <w:rPr>
                <w:rFonts w:ascii="Arial" w:cs="Arial" w:eastAsia="Arial" w:hAnsi="Arial"/>
                <w:sz w:val="14"/>
                <w:szCs w:val="14"/>
                <w:color w:val="auto"/>
              </w:rPr>
              <w:t>9,057,121</w:t>
            </w:r>
          </w:p>
        </w:tc>
        <w:tc>
          <w:tcPr>
            <w:tcW w:w="160" w:type="dxa"/>
            <w:vAlign w:val="bottom"/>
            <w:tcBorders>
              <w:bottom w:val="single" w:sz="8" w:color="4A7EBB"/>
            </w:tcBorders>
          </w:tcPr>
          <w:p>
            <w:pPr>
              <w:spacing w:after="0"/>
              <w:rPr>
                <w:sz w:val="13"/>
                <w:szCs w:val="13"/>
                <w:color w:val="auto"/>
              </w:rPr>
            </w:pPr>
          </w:p>
        </w:tc>
        <w:tc>
          <w:tcPr>
            <w:tcW w:w="1140" w:type="dxa"/>
            <w:vAlign w:val="bottom"/>
            <w:tcBorders>
              <w:bottom w:val="single" w:sz="8" w:color="4A7EBB"/>
            </w:tcBorders>
          </w:tcPr>
          <w:p>
            <w:pPr>
              <w:jc w:val="center"/>
              <w:ind w:right="28"/>
              <w:spacing w:after="0" w:line="155" w:lineRule="exact"/>
              <w:rPr>
                <w:sz w:val="20"/>
                <w:szCs w:val="20"/>
                <w:color w:val="auto"/>
              </w:rPr>
            </w:pPr>
            <w:r>
              <w:rPr>
                <w:rFonts w:ascii="Arial" w:cs="Arial" w:eastAsia="Arial" w:hAnsi="Arial"/>
                <w:sz w:val="14"/>
                <w:szCs w:val="14"/>
                <w:color w:val="auto"/>
              </w:rPr>
              <w:t>6,584,492</w:t>
            </w:r>
          </w:p>
        </w:tc>
        <w:tc>
          <w:tcPr>
            <w:tcW w:w="140" w:type="dxa"/>
            <w:vAlign w:val="bottom"/>
            <w:tcBorders>
              <w:bottom w:val="single" w:sz="8" w:color="4A7EBB"/>
            </w:tcBorders>
          </w:tcPr>
          <w:p>
            <w:pPr>
              <w:spacing w:after="0"/>
              <w:rPr>
                <w:sz w:val="13"/>
                <w:szCs w:val="13"/>
                <w:color w:val="auto"/>
              </w:rPr>
            </w:pPr>
          </w:p>
        </w:tc>
        <w:tc>
          <w:tcPr>
            <w:tcW w:w="1260" w:type="dxa"/>
            <w:vAlign w:val="bottom"/>
            <w:tcBorders>
              <w:bottom w:val="single" w:sz="8" w:color="4A7EBB"/>
            </w:tcBorders>
          </w:tcPr>
          <w:p>
            <w:pPr>
              <w:jc w:val="center"/>
              <w:ind w:right="28"/>
              <w:spacing w:after="0" w:line="155" w:lineRule="exact"/>
              <w:rPr>
                <w:sz w:val="20"/>
                <w:szCs w:val="20"/>
                <w:color w:val="auto"/>
              </w:rPr>
            </w:pPr>
            <w:r>
              <w:rPr>
                <w:rFonts w:ascii="Arial" w:cs="Arial" w:eastAsia="Arial" w:hAnsi="Arial"/>
                <w:sz w:val="14"/>
                <w:szCs w:val="14"/>
                <w:color w:val="auto"/>
              </w:rPr>
              <w:t>5,843,218</w:t>
            </w:r>
          </w:p>
        </w:tc>
        <w:tc>
          <w:tcPr>
            <w:tcW w:w="60" w:type="dxa"/>
            <w:vAlign w:val="bottom"/>
            <w:tcBorders>
              <w:bottom w:val="single" w:sz="8" w:color="4A7EBB"/>
            </w:tcBorders>
          </w:tcPr>
          <w:p>
            <w:pPr>
              <w:spacing w:after="0"/>
              <w:rPr>
                <w:sz w:val="13"/>
                <w:szCs w:val="13"/>
                <w:color w:val="auto"/>
              </w:rPr>
            </w:pPr>
          </w:p>
        </w:tc>
        <w:tc>
          <w:tcPr>
            <w:tcW w:w="60" w:type="dxa"/>
            <w:vAlign w:val="bottom"/>
            <w:tcBorders>
              <w:bottom w:val="single" w:sz="8" w:color="4A7EBB"/>
            </w:tcBorders>
          </w:tcPr>
          <w:p>
            <w:pPr>
              <w:spacing w:after="0"/>
              <w:rPr>
                <w:sz w:val="13"/>
                <w:szCs w:val="13"/>
                <w:color w:val="auto"/>
              </w:rPr>
            </w:pPr>
          </w:p>
        </w:tc>
        <w:tc>
          <w:tcPr>
            <w:tcW w:w="960" w:type="dxa"/>
            <w:vAlign w:val="bottom"/>
            <w:tcBorders>
              <w:bottom w:val="single" w:sz="8" w:color="4A7EBB"/>
            </w:tcBorders>
          </w:tcPr>
          <w:p>
            <w:pPr>
              <w:jc w:val="center"/>
              <w:ind w:right="48"/>
              <w:spacing w:after="0" w:line="155" w:lineRule="exact"/>
              <w:rPr>
                <w:sz w:val="20"/>
                <w:szCs w:val="20"/>
                <w:color w:val="auto"/>
              </w:rPr>
            </w:pPr>
            <w:r>
              <w:rPr>
                <w:rFonts w:ascii="Arial" w:cs="Arial" w:eastAsia="Arial" w:hAnsi="Arial"/>
                <w:sz w:val="14"/>
                <w:szCs w:val="14"/>
                <w:color w:val="auto"/>
              </w:rPr>
              <w:t>$ 108.89</w:t>
            </w:r>
          </w:p>
        </w:tc>
        <w:tc>
          <w:tcPr>
            <w:tcW w:w="120" w:type="dxa"/>
            <w:vAlign w:val="bottom"/>
            <w:tcBorders>
              <w:bottom w:val="single" w:sz="8" w:color="4A7EBB"/>
            </w:tcBorders>
          </w:tcPr>
          <w:p>
            <w:pPr>
              <w:spacing w:after="0"/>
              <w:rPr>
                <w:sz w:val="13"/>
                <w:szCs w:val="13"/>
                <w:color w:val="auto"/>
              </w:rPr>
            </w:pPr>
          </w:p>
        </w:tc>
        <w:tc>
          <w:tcPr>
            <w:tcW w:w="940" w:type="dxa"/>
            <w:vAlign w:val="bottom"/>
            <w:tcBorders>
              <w:bottom w:val="single" w:sz="8" w:color="4A7EBB"/>
            </w:tcBorders>
          </w:tcPr>
          <w:p>
            <w:pPr>
              <w:jc w:val="center"/>
              <w:spacing w:after="0" w:line="155" w:lineRule="exact"/>
              <w:rPr>
                <w:sz w:val="20"/>
                <w:szCs w:val="20"/>
                <w:color w:val="auto"/>
              </w:rPr>
            </w:pPr>
            <w:r>
              <w:rPr>
                <w:rFonts w:ascii="Arial" w:cs="Arial" w:eastAsia="Arial" w:hAnsi="Arial"/>
                <w:sz w:val="14"/>
                <w:szCs w:val="14"/>
                <w:color w:val="auto"/>
              </w:rPr>
              <w:t>$ 57.16</w:t>
            </w:r>
          </w:p>
        </w:tc>
        <w:tc>
          <w:tcPr>
            <w:tcW w:w="160" w:type="dxa"/>
            <w:vAlign w:val="bottom"/>
            <w:tcBorders>
              <w:bottom w:val="single" w:sz="8" w:color="4A7EBB"/>
            </w:tcBorders>
          </w:tcPr>
          <w:p>
            <w:pPr>
              <w:spacing w:after="0"/>
              <w:rPr>
                <w:sz w:val="13"/>
                <w:szCs w:val="13"/>
                <w:color w:val="auto"/>
              </w:rPr>
            </w:pPr>
          </w:p>
        </w:tc>
        <w:tc>
          <w:tcPr>
            <w:tcW w:w="880" w:type="dxa"/>
            <w:vAlign w:val="bottom"/>
            <w:tcBorders>
              <w:bottom w:val="single" w:sz="8" w:color="4A7EBB"/>
            </w:tcBorders>
          </w:tcPr>
          <w:p>
            <w:pPr>
              <w:jc w:val="center"/>
              <w:ind w:right="8"/>
              <w:spacing w:after="0" w:line="155" w:lineRule="exact"/>
              <w:rPr>
                <w:sz w:val="20"/>
                <w:szCs w:val="20"/>
                <w:color w:val="auto"/>
              </w:rPr>
            </w:pPr>
            <w:r>
              <w:rPr>
                <w:rFonts w:ascii="Arial" w:cs="Arial" w:eastAsia="Arial" w:hAnsi="Arial"/>
                <w:sz w:val="14"/>
                <w:szCs w:val="14"/>
                <w:color w:val="auto"/>
              </w:rPr>
              <w:t>67,353</w:t>
            </w:r>
          </w:p>
        </w:tc>
        <w:tc>
          <w:tcPr>
            <w:tcW w:w="140" w:type="dxa"/>
            <w:vAlign w:val="bottom"/>
            <w:tcBorders>
              <w:bottom w:val="single" w:sz="8" w:color="4A7EBB"/>
            </w:tcBorders>
          </w:tcPr>
          <w:p>
            <w:pPr>
              <w:spacing w:after="0"/>
              <w:rPr>
                <w:sz w:val="13"/>
                <w:szCs w:val="13"/>
                <w:color w:val="auto"/>
              </w:rPr>
            </w:pPr>
          </w:p>
        </w:tc>
        <w:tc>
          <w:tcPr>
            <w:tcW w:w="840" w:type="dxa"/>
            <w:vAlign w:val="bottom"/>
            <w:tcBorders>
              <w:bottom w:val="single" w:sz="8" w:color="4A7EBB"/>
            </w:tcBorders>
          </w:tcPr>
          <w:p>
            <w:pPr>
              <w:jc w:val="right"/>
              <w:ind w:right="128"/>
              <w:spacing w:after="0" w:line="155" w:lineRule="exact"/>
              <w:rPr>
                <w:sz w:val="20"/>
                <w:szCs w:val="20"/>
                <w:color w:val="auto"/>
              </w:rPr>
            </w:pPr>
            <w:r>
              <w:rPr>
                <w:rFonts w:ascii="Arial" w:cs="Arial" w:eastAsia="Arial" w:hAnsi="Arial"/>
                <w:sz w:val="14"/>
                <w:szCs w:val="14"/>
                <w:color w:val="auto"/>
              </w:rPr>
              <w:t>110,669</w:t>
            </w:r>
          </w:p>
        </w:tc>
      </w:tr>
      <w:tr>
        <w:trPr>
          <w:trHeight w:val="156"/>
        </w:trPr>
        <w:tc>
          <w:tcPr>
            <w:tcW w:w="640" w:type="dxa"/>
            <w:vAlign w:val="bottom"/>
            <w:tcBorders>
              <w:bottom w:val="single" w:sz="8" w:color="4A7EBB"/>
            </w:tcBorders>
            <w:shd w:val="clear" w:color="auto" w:fill="F2F2F2"/>
          </w:tcPr>
          <w:p>
            <w:pPr>
              <w:jc w:val="center"/>
              <w:spacing w:after="0" w:line="155" w:lineRule="exact"/>
              <w:rPr>
                <w:sz w:val="20"/>
                <w:szCs w:val="20"/>
                <w:color w:val="auto"/>
              </w:rPr>
            </w:pPr>
            <w:r>
              <w:rPr>
                <w:rFonts w:ascii="Arial" w:cs="Arial" w:eastAsia="Arial" w:hAnsi="Arial"/>
                <w:sz w:val="14"/>
                <w:szCs w:val="14"/>
                <w:color w:val="auto"/>
              </w:rPr>
              <w:t>2025</w:t>
            </w:r>
          </w:p>
        </w:tc>
        <w:tc>
          <w:tcPr>
            <w:tcW w:w="120" w:type="dxa"/>
            <w:vAlign w:val="bottom"/>
            <w:tcBorders>
              <w:bottom w:val="single" w:sz="8" w:color="4A7EBB"/>
            </w:tcBorders>
            <w:shd w:val="clear" w:color="auto" w:fill="F2F2F2"/>
          </w:tcPr>
          <w:p>
            <w:pPr>
              <w:spacing w:after="0"/>
              <w:rPr>
                <w:sz w:val="13"/>
                <w:szCs w:val="13"/>
                <w:color w:val="auto"/>
              </w:rPr>
            </w:pPr>
          </w:p>
        </w:tc>
        <w:tc>
          <w:tcPr>
            <w:tcW w:w="80" w:type="dxa"/>
            <w:vAlign w:val="bottom"/>
            <w:tcBorders>
              <w:bottom w:val="single" w:sz="8" w:color="4A7EBB"/>
            </w:tcBorders>
            <w:shd w:val="clear" w:color="auto" w:fill="F2F2F2"/>
          </w:tcPr>
          <w:p>
            <w:pPr>
              <w:spacing w:after="0"/>
              <w:rPr>
                <w:sz w:val="13"/>
                <w:szCs w:val="13"/>
                <w:color w:val="auto"/>
              </w:rPr>
            </w:pPr>
          </w:p>
        </w:tc>
        <w:tc>
          <w:tcPr>
            <w:tcW w:w="940" w:type="dxa"/>
            <w:vAlign w:val="bottom"/>
            <w:tcBorders>
              <w:bottom w:val="single" w:sz="8" w:color="4A7EBB"/>
            </w:tcBorders>
            <w:shd w:val="clear" w:color="auto" w:fill="F2F2F2"/>
          </w:tcPr>
          <w:p>
            <w:pPr>
              <w:jc w:val="center"/>
              <w:ind w:right="28"/>
              <w:spacing w:after="0" w:line="155" w:lineRule="exact"/>
              <w:rPr>
                <w:sz w:val="20"/>
                <w:szCs w:val="20"/>
                <w:color w:val="auto"/>
              </w:rPr>
            </w:pPr>
            <w:r>
              <w:rPr>
                <w:rFonts w:ascii="Arial" w:cs="Arial" w:eastAsia="Arial" w:hAnsi="Arial"/>
                <w:sz w:val="14"/>
                <w:szCs w:val="14"/>
                <w:color w:val="auto"/>
              </w:rPr>
              <w:t>16,652,646</w:t>
            </w:r>
          </w:p>
        </w:tc>
        <w:tc>
          <w:tcPr>
            <w:tcW w:w="160" w:type="dxa"/>
            <w:vAlign w:val="bottom"/>
            <w:tcBorders>
              <w:bottom w:val="single" w:sz="8" w:color="4A7EBB"/>
            </w:tcBorders>
            <w:shd w:val="clear" w:color="auto" w:fill="F2F2F2"/>
          </w:tcPr>
          <w:p>
            <w:pPr>
              <w:spacing w:after="0"/>
              <w:rPr>
                <w:sz w:val="13"/>
                <w:szCs w:val="13"/>
                <w:color w:val="auto"/>
              </w:rPr>
            </w:pPr>
          </w:p>
        </w:tc>
        <w:tc>
          <w:tcPr>
            <w:tcW w:w="1120" w:type="dxa"/>
            <w:vAlign w:val="bottom"/>
            <w:tcBorders>
              <w:bottom w:val="single" w:sz="8" w:color="4A7EBB"/>
            </w:tcBorders>
            <w:shd w:val="clear" w:color="auto" w:fill="F2F2F2"/>
          </w:tcPr>
          <w:p>
            <w:pPr>
              <w:jc w:val="center"/>
              <w:spacing w:after="0" w:line="155" w:lineRule="exact"/>
              <w:rPr>
                <w:sz w:val="20"/>
                <w:szCs w:val="20"/>
                <w:color w:val="auto"/>
              </w:rPr>
            </w:pPr>
            <w:r>
              <w:rPr>
                <w:rFonts w:ascii="Arial" w:cs="Arial" w:eastAsia="Arial" w:hAnsi="Arial"/>
                <w:sz w:val="14"/>
                <w:szCs w:val="14"/>
                <w:color w:val="auto"/>
              </w:rPr>
              <w:t>14,323,483</w:t>
            </w:r>
          </w:p>
        </w:tc>
        <w:tc>
          <w:tcPr>
            <w:tcW w:w="160" w:type="dxa"/>
            <w:vAlign w:val="bottom"/>
            <w:tcBorders>
              <w:bottom w:val="single" w:sz="8" w:color="4A7EBB"/>
            </w:tcBorders>
            <w:shd w:val="clear" w:color="auto" w:fill="F2F2F2"/>
          </w:tcPr>
          <w:p>
            <w:pPr>
              <w:spacing w:after="0"/>
              <w:rPr>
                <w:sz w:val="13"/>
                <w:szCs w:val="13"/>
                <w:color w:val="auto"/>
              </w:rPr>
            </w:pPr>
          </w:p>
        </w:tc>
        <w:tc>
          <w:tcPr>
            <w:tcW w:w="1140" w:type="dxa"/>
            <w:vAlign w:val="bottom"/>
            <w:tcBorders>
              <w:bottom w:val="single" w:sz="8" w:color="4A7EBB"/>
            </w:tcBorders>
            <w:shd w:val="clear" w:color="auto" w:fill="F2F2F2"/>
          </w:tcPr>
          <w:p>
            <w:pPr>
              <w:jc w:val="center"/>
              <w:ind w:right="28"/>
              <w:spacing w:after="0" w:line="155" w:lineRule="exact"/>
              <w:rPr>
                <w:sz w:val="20"/>
                <w:szCs w:val="20"/>
                <w:color w:val="auto"/>
              </w:rPr>
            </w:pPr>
            <w:r>
              <w:rPr>
                <w:rFonts w:ascii="Arial" w:cs="Arial" w:eastAsia="Arial" w:hAnsi="Arial"/>
                <w:sz w:val="14"/>
                <w:szCs w:val="14"/>
                <w:color w:val="auto"/>
              </w:rPr>
              <w:t>5,979,871</w:t>
            </w:r>
          </w:p>
        </w:tc>
        <w:tc>
          <w:tcPr>
            <w:tcW w:w="140" w:type="dxa"/>
            <w:vAlign w:val="bottom"/>
            <w:tcBorders>
              <w:bottom w:val="single" w:sz="8" w:color="4A7EBB"/>
            </w:tcBorders>
            <w:shd w:val="clear" w:color="auto" w:fill="F2F2F2"/>
          </w:tcPr>
          <w:p>
            <w:pPr>
              <w:spacing w:after="0"/>
              <w:rPr>
                <w:sz w:val="13"/>
                <w:szCs w:val="13"/>
                <w:color w:val="auto"/>
              </w:rPr>
            </w:pPr>
          </w:p>
        </w:tc>
        <w:tc>
          <w:tcPr>
            <w:tcW w:w="1260" w:type="dxa"/>
            <w:vAlign w:val="bottom"/>
            <w:tcBorders>
              <w:bottom w:val="single" w:sz="8" w:color="4A7EBB"/>
            </w:tcBorders>
            <w:shd w:val="clear" w:color="auto" w:fill="F2F2F2"/>
          </w:tcPr>
          <w:p>
            <w:pPr>
              <w:jc w:val="center"/>
              <w:ind w:right="28"/>
              <w:spacing w:after="0" w:line="155" w:lineRule="exact"/>
              <w:rPr>
                <w:sz w:val="20"/>
                <w:szCs w:val="20"/>
                <w:color w:val="auto"/>
              </w:rPr>
            </w:pPr>
            <w:r>
              <w:rPr>
                <w:rFonts w:ascii="Arial" w:cs="Arial" w:eastAsia="Arial" w:hAnsi="Arial"/>
                <w:sz w:val="14"/>
                <w:szCs w:val="14"/>
                <w:color w:val="auto"/>
              </w:rPr>
              <w:t>4,945,556</w:t>
            </w:r>
          </w:p>
        </w:tc>
        <w:tc>
          <w:tcPr>
            <w:tcW w:w="60" w:type="dxa"/>
            <w:vAlign w:val="bottom"/>
            <w:tcBorders>
              <w:bottom w:val="single" w:sz="8" w:color="4A7EBB"/>
            </w:tcBorders>
            <w:shd w:val="clear" w:color="auto" w:fill="F2F2F2"/>
          </w:tcPr>
          <w:p>
            <w:pPr>
              <w:spacing w:after="0"/>
              <w:rPr>
                <w:sz w:val="13"/>
                <w:szCs w:val="13"/>
                <w:color w:val="auto"/>
              </w:rPr>
            </w:pPr>
          </w:p>
        </w:tc>
        <w:tc>
          <w:tcPr>
            <w:tcW w:w="60" w:type="dxa"/>
            <w:vAlign w:val="bottom"/>
            <w:tcBorders>
              <w:bottom w:val="single" w:sz="8" w:color="4A7EBB"/>
            </w:tcBorders>
            <w:shd w:val="clear" w:color="auto" w:fill="F2F2F2"/>
          </w:tcPr>
          <w:p>
            <w:pPr>
              <w:spacing w:after="0"/>
              <w:rPr>
                <w:sz w:val="13"/>
                <w:szCs w:val="13"/>
                <w:color w:val="auto"/>
              </w:rPr>
            </w:pPr>
          </w:p>
        </w:tc>
        <w:tc>
          <w:tcPr>
            <w:tcW w:w="960" w:type="dxa"/>
            <w:vAlign w:val="bottom"/>
            <w:tcBorders>
              <w:bottom w:val="single" w:sz="8" w:color="4A7EBB"/>
            </w:tcBorders>
            <w:shd w:val="clear" w:color="auto" w:fill="F2F2F2"/>
          </w:tcPr>
          <w:p>
            <w:pPr>
              <w:jc w:val="center"/>
              <w:ind w:right="28"/>
              <w:spacing w:after="0" w:line="155" w:lineRule="exact"/>
              <w:rPr>
                <w:sz w:val="20"/>
                <w:szCs w:val="20"/>
                <w:color w:val="auto"/>
              </w:rPr>
            </w:pPr>
            <w:r>
              <w:rPr>
                <w:rFonts w:ascii="Arial" w:cs="Arial" w:eastAsia="Arial" w:hAnsi="Arial"/>
                <w:sz w:val="14"/>
                <w:szCs w:val="14"/>
                <w:color w:val="auto"/>
                <w:w w:val="99"/>
              </w:rPr>
              <w:t>$ 115.46</w:t>
            </w:r>
          </w:p>
        </w:tc>
        <w:tc>
          <w:tcPr>
            <w:tcW w:w="120" w:type="dxa"/>
            <w:vAlign w:val="bottom"/>
            <w:tcBorders>
              <w:bottom w:val="single" w:sz="8" w:color="4A7EBB"/>
            </w:tcBorders>
            <w:shd w:val="clear" w:color="auto" w:fill="F2F2F2"/>
          </w:tcPr>
          <w:p>
            <w:pPr>
              <w:spacing w:after="0"/>
              <w:rPr>
                <w:sz w:val="13"/>
                <w:szCs w:val="13"/>
                <w:color w:val="auto"/>
              </w:rPr>
            </w:pPr>
          </w:p>
        </w:tc>
        <w:tc>
          <w:tcPr>
            <w:tcW w:w="940" w:type="dxa"/>
            <w:vAlign w:val="bottom"/>
            <w:tcBorders>
              <w:bottom w:val="single" w:sz="8" w:color="4A7EBB"/>
            </w:tcBorders>
            <w:shd w:val="clear" w:color="auto" w:fill="F2F2F2"/>
          </w:tcPr>
          <w:p>
            <w:pPr>
              <w:jc w:val="center"/>
              <w:spacing w:after="0" w:line="155" w:lineRule="exact"/>
              <w:rPr>
                <w:sz w:val="20"/>
                <w:szCs w:val="20"/>
                <w:color w:val="auto"/>
              </w:rPr>
            </w:pPr>
            <w:r>
              <w:rPr>
                <w:rFonts w:ascii="Arial" w:cs="Arial" w:eastAsia="Arial" w:hAnsi="Arial"/>
                <w:sz w:val="14"/>
                <w:szCs w:val="14"/>
                <w:color w:val="auto"/>
              </w:rPr>
              <w:t>$ 70.42</w:t>
            </w:r>
          </w:p>
        </w:tc>
        <w:tc>
          <w:tcPr>
            <w:tcW w:w="160" w:type="dxa"/>
            <w:vAlign w:val="bottom"/>
            <w:tcBorders>
              <w:bottom w:val="single" w:sz="8" w:color="4A7EBB"/>
            </w:tcBorders>
            <w:shd w:val="clear" w:color="auto" w:fill="F2F2F2"/>
          </w:tcPr>
          <w:p>
            <w:pPr>
              <w:spacing w:after="0"/>
              <w:rPr>
                <w:sz w:val="13"/>
                <w:szCs w:val="13"/>
                <w:color w:val="auto"/>
              </w:rPr>
            </w:pPr>
          </w:p>
        </w:tc>
        <w:tc>
          <w:tcPr>
            <w:tcW w:w="880" w:type="dxa"/>
            <w:vAlign w:val="bottom"/>
            <w:tcBorders>
              <w:bottom w:val="single" w:sz="8" w:color="4A7EBB"/>
            </w:tcBorders>
            <w:shd w:val="clear" w:color="auto" w:fill="F2F2F2"/>
          </w:tcPr>
          <w:p>
            <w:pPr>
              <w:jc w:val="center"/>
              <w:ind w:right="8"/>
              <w:spacing w:after="0" w:line="155" w:lineRule="exact"/>
              <w:rPr>
                <w:sz w:val="20"/>
                <w:szCs w:val="20"/>
                <w:color w:val="auto"/>
              </w:rPr>
            </w:pPr>
            <w:r>
              <w:rPr>
                <w:rFonts w:ascii="Arial" w:cs="Arial" w:eastAsia="Arial" w:hAnsi="Arial"/>
                <w:sz w:val="14"/>
                <w:szCs w:val="14"/>
                <w:color w:val="auto"/>
              </w:rPr>
              <w:t>193,293</w:t>
            </w:r>
          </w:p>
        </w:tc>
        <w:tc>
          <w:tcPr>
            <w:tcW w:w="140" w:type="dxa"/>
            <w:vAlign w:val="bottom"/>
            <w:tcBorders>
              <w:bottom w:val="single" w:sz="8" w:color="4A7EBB"/>
            </w:tcBorders>
            <w:shd w:val="clear" w:color="auto" w:fill="F2F2F2"/>
          </w:tcPr>
          <w:p>
            <w:pPr>
              <w:spacing w:after="0"/>
              <w:rPr>
                <w:sz w:val="13"/>
                <w:szCs w:val="13"/>
                <w:color w:val="auto"/>
              </w:rPr>
            </w:pPr>
          </w:p>
        </w:tc>
        <w:tc>
          <w:tcPr>
            <w:tcW w:w="840" w:type="dxa"/>
            <w:vAlign w:val="bottom"/>
            <w:tcBorders>
              <w:bottom w:val="single" w:sz="8" w:color="4A7EBB"/>
            </w:tcBorders>
            <w:shd w:val="clear" w:color="auto" w:fill="F2F2F2"/>
          </w:tcPr>
          <w:p>
            <w:pPr>
              <w:jc w:val="right"/>
              <w:ind w:right="108"/>
              <w:spacing w:after="0" w:line="155" w:lineRule="exact"/>
              <w:rPr>
                <w:sz w:val="20"/>
                <w:szCs w:val="20"/>
                <w:color w:val="auto"/>
              </w:rPr>
            </w:pPr>
            <w:r>
              <w:rPr>
                <w:rFonts w:ascii="Arial" w:cs="Arial" w:eastAsia="Arial" w:hAnsi="Arial"/>
                <w:sz w:val="14"/>
                <w:szCs w:val="14"/>
                <w:color w:val="auto"/>
              </w:rPr>
              <w:t>269,859</w:t>
            </w:r>
          </w:p>
        </w:tc>
      </w:tr>
      <w:tr>
        <w:trPr>
          <w:trHeight w:val="155"/>
        </w:trPr>
        <w:tc>
          <w:tcPr>
            <w:tcW w:w="640" w:type="dxa"/>
            <w:vAlign w:val="bottom"/>
            <w:tcBorders>
              <w:bottom w:val="single" w:sz="8" w:color="4A7EBB"/>
            </w:tcBorders>
          </w:tcPr>
          <w:p>
            <w:pPr>
              <w:jc w:val="center"/>
              <w:spacing w:after="0" w:line="155" w:lineRule="exact"/>
              <w:rPr>
                <w:sz w:val="20"/>
                <w:szCs w:val="20"/>
                <w:color w:val="auto"/>
              </w:rPr>
            </w:pPr>
            <w:r>
              <w:rPr>
                <w:rFonts w:ascii="Arial" w:cs="Arial" w:eastAsia="Arial" w:hAnsi="Arial"/>
                <w:sz w:val="14"/>
                <w:szCs w:val="14"/>
                <w:color w:val="auto"/>
              </w:rPr>
              <w:t>2024</w:t>
            </w:r>
          </w:p>
        </w:tc>
        <w:tc>
          <w:tcPr>
            <w:tcW w:w="120" w:type="dxa"/>
            <w:vAlign w:val="bottom"/>
            <w:tcBorders>
              <w:bottom w:val="single" w:sz="8" w:color="4A7EBB"/>
            </w:tcBorders>
          </w:tcPr>
          <w:p>
            <w:pPr>
              <w:spacing w:after="0"/>
              <w:rPr>
                <w:sz w:val="13"/>
                <w:szCs w:val="13"/>
                <w:color w:val="auto"/>
              </w:rPr>
            </w:pPr>
          </w:p>
        </w:tc>
        <w:tc>
          <w:tcPr>
            <w:tcW w:w="80" w:type="dxa"/>
            <w:vAlign w:val="bottom"/>
            <w:tcBorders>
              <w:bottom w:val="single" w:sz="8" w:color="4A7EBB"/>
            </w:tcBorders>
          </w:tcPr>
          <w:p>
            <w:pPr>
              <w:spacing w:after="0"/>
              <w:rPr>
                <w:sz w:val="13"/>
                <w:szCs w:val="13"/>
                <w:color w:val="auto"/>
              </w:rPr>
            </w:pPr>
          </w:p>
        </w:tc>
        <w:tc>
          <w:tcPr>
            <w:tcW w:w="940" w:type="dxa"/>
            <w:vAlign w:val="bottom"/>
            <w:tcBorders>
              <w:bottom w:val="single" w:sz="8" w:color="4A7EBB"/>
            </w:tcBorders>
          </w:tcPr>
          <w:p>
            <w:pPr>
              <w:jc w:val="center"/>
              <w:ind w:right="28"/>
              <w:spacing w:after="0" w:line="155" w:lineRule="exact"/>
              <w:rPr>
                <w:sz w:val="20"/>
                <w:szCs w:val="20"/>
                <w:color w:val="auto"/>
              </w:rPr>
            </w:pPr>
            <w:r>
              <w:rPr>
                <w:rFonts w:ascii="Arial" w:cs="Arial" w:eastAsia="Arial" w:hAnsi="Arial"/>
                <w:sz w:val="14"/>
                <w:szCs w:val="14"/>
                <w:color w:val="auto"/>
              </w:rPr>
              <w:t>31,431,039</w:t>
            </w:r>
          </w:p>
        </w:tc>
        <w:tc>
          <w:tcPr>
            <w:tcW w:w="160" w:type="dxa"/>
            <w:vAlign w:val="bottom"/>
            <w:tcBorders>
              <w:bottom w:val="single" w:sz="8" w:color="4A7EBB"/>
            </w:tcBorders>
          </w:tcPr>
          <w:p>
            <w:pPr>
              <w:spacing w:after="0"/>
              <w:rPr>
                <w:sz w:val="13"/>
                <w:szCs w:val="13"/>
                <w:color w:val="auto"/>
              </w:rPr>
            </w:pPr>
          </w:p>
        </w:tc>
        <w:tc>
          <w:tcPr>
            <w:tcW w:w="1120" w:type="dxa"/>
            <w:vAlign w:val="bottom"/>
            <w:tcBorders>
              <w:bottom w:val="single" w:sz="8" w:color="4A7EBB"/>
            </w:tcBorders>
          </w:tcPr>
          <w:p>
            <w:pPr>
              <w:jc w:val="center"/>
              <w:spacing w:after="0" w:line="155" w:lineRule="exact"/>
              <w:rPr>
                <w:sz w:val="20"/>
                <w:szCs w:val="20"/>
                <w:color w:val="auto"/>
              </w:rPr>
            </w:pPr>
            <w:r>
              <w:rPr>
                <w:rFonts w:ascii="Arial" w:cs="Arial" w:eastAsia="Arial" w:hAnsi="Arial"/>
                <w:sz w:val="14"/>
                <w:szCs w:val="14"/>
                <w:color w:val="auto"/>
              </w:rPr>
              <w:t>44,305,949</w:t>
            </w:r>
          </w:p>
        </w:tc>
        <w:tc>
          <w:tcPr>
            <w:tcW w:w="160" w:type="dxa"/>
            <w:vAlign w:val="bottom"/>
            <w:tcBorders>
              <w:bottom w:val="single" w:sz="8" w:color="4A7EBB"/>
            </w:tcBorders>
          </w:tcPr>
          <w:p>
            <w:pPr>
              <w:spacing w:after="0"/>
              <w:rPr>
                <w:sz w:val="13"/>
                <w:szCs w:val="13"/>
                <w:color w:val="auto"/>
              </w:rPr>
            </w:pPr>
          </w:p>
        </w:tc>
        <w:tc>
          <w:tcPr>
            <w:tcW w:w="1140" w:type="dxa"/>
            <w:vAlign w:val="bottom"/>
            <w:tcBorders>
              <w:bottom w:val="single" w:sz="8" w:color="4A7EBB"/>
            </w:tcBorders>
          </w:tcPr>
          <w:p>
            <w:pPr>
              <w:jc w:val="center"/>
              <w:ind w:right="28"/>
              <w:spacing w:after="0" w:line="155" w:lineRule="exact"/>
              <w:rPr>
                <w:sz w:val="20"/>
                <w:szCs w:val="20"/>
                <w:color w:val="auto"/>
              </w:rPr>
            </w:pPr>
            <w:r>
              <w:rPr>
                <w:rFonts w:ascii="Arial" w:cs="Arial" w:eastAsia="Arial" w:hAnsi="Arial"/>
                <w:sz w:val="14"/>
                <w:szCs w:val="14"/>
                <w:color w:val="auto"/>
              </w:rPr>
              <w:t>5,295,148</w:t>
            </w:r>
          </w:p>
        </w:tc>
        <w:tc>
          <w:tcPr>
            <w:tcW w:w="140" w:type="dxa"/>
            <w:vAlign w:val="bottom"/>
            <w:tcBorders>
              <w:bottom w:val="single" w:sz="8" w:color="4A7EBB"/>
            </w:tcBorders>
          </w:tcPr>
          <w:p>
            <w:pPr>
              <w:spacing w:after="0"/>
              <w:rPr>
                <w:sz w:val="13"/>
                <w:szCs w:val="13"/>
                <w:color w:val="auto"/>
              </w:rPr>
            </w:pPr>
          </w:p>
        </w:tc>
        <w:tc>
          <w:tcPr>
            <w:tcW w:w="1260" w:type="dxa"/>
            <w:vAlign w:val="bottom"/>
            <w:tcBorders>
              <w:bottom w:val="single" w:sz="8" w:color="4A7EBB"/>
            </w:tcBorders>
          </w:tcPr>
          <w:p>
            <w:pPr>
              <w:jc w:val="center"/>
              <w:ind w:right="28"/>
              <w:spacing w:after="0" w:line="155" w:lineRule="exact"/>
              <w:rPr>
                <w:sz w:val="20"/>
                <w:szCs w:val="20"/>
                <w:color w:val="auto"/>
              </w:rPr>
            </w:pPr>
            <w:r>
              <w:rPr>
                <w:rFonts w:ascii="Arial" w:cs="Arial" w:eastAsia="Arial" w:hAnsi="Arial"/>
                <w:sz w:val="14"/>
                <w:szCs w:val="14"/>
                <w:color w:val="auto"/>
              </w:rPr>
              <w:t>8,807,666</w:t>
            </w:r>
          </w:p>
        </w:tc>
        <w:tc>
          <w:tcPr>
            <w:tcW w:w="60" w:type="dxa"/>
            <w:vAlign w:val="bottom"/>
            <w:tcBorders>
              <w:bottom w:val="single" w:sz="8" w:color="4A7EBB"/>
            </w:tcBorders>
          </w:tcPr>
          <w:p>
            <w:pPr>
              <w:spacing w:after="0"/>
              <w:rPr>
                <w:sz w:val="13"/>
                <w:szCs w:val="13"/>
                <w:color w:val="auto"/>
              </w:rPr>
            </w:pPr>
          </w:p>
        </w:tc>
        <w:tc>
          <w:tcPr>
            <w:tcW w:w="60" w:type="dxa"/>
            <w:vAlign w:val="bottom"/>
            <w:tcBorders>
              <w:bottom w:val="single" w:sz="8" w:color="4A7EBB"/>
            </w:tcBorders>
          </w:tcPr>
          <w:p>
            <w:pPr>
              <w:spacing w:after="0"/>
              <w:rPr>
                <w:sz w:val="13"/>
                <w:szCs w:val="13"/>
                <w:color w:val="auto"/>
              </w:rPr>
            </w:pPr>
          </w:p>
        </w:tc>
        <w:tc>
          <w:tcPr>
            <w:tcW w:w="960" w:type="dxa"/>
            <w:vAlign w:val="bottom"/>
            <w:tcBorders>
              <w:bottom w:val="single" w:sz="8" w:color="4A7EBB"/>
            </w:tcBorders>
          </w:tcPr>
          <w:p>
            <w:pPr>
              <w:jc w:val="center"/>
              <w:ind w:right="28"/>
              <w:spacing w:after="0" w:line="155" w:lineRule="exact"/>
              <w:rPr>
                <w:sz w:val="20"/>
                <w:szCs w:val="20"/>
                <w:color w:val="auto"/>
              </w:rPr>
            </w:pPr>
            <w:r>
              <w:rPr>
                <w:rFonts w:ascii="Arial" w:cs="Arial" w:eastAsia="Arial" w:hAnsi="Arial"/>
                <w:sz w:val="14"/>
                <w:szCs w:val="14"/>
                <w:color w:val="auto"/>
                <w:w w:val="99"/>
              </w:rPr>
              <w:t>$ 111.28</w:t>
            </w:r>
          </w:p>
        </w:tc>
        <w:tc>
          <w:tcPr>
            <w:tcW w:w="120" w:type="dxa"/>
            <w:vAlign w:val="bottom"/>
            <w:tcBorders>
              <w:bottom w:val="single" w:sz="8" w:color="4A7EBB"/>
            </w:tcBorders>
          </w:tcPr>
          <w:p>
            <w:pPr>
              <w:spacing w:after="0"/>
              <w:rPr>
                <w:sz w:val="13"/>
                <w:szCs w:val="13"/>
                <w:color w:val="auto"/>
              </w:rPr>
            </w:pPr>
          </w:p>
        </w:tc>
        <w:tc>
          <w:tcPr>
            <w:tcW w:w="940" w:type="dxa"/>
            <w:vAlign w:val="bottom"/>
            <w:tcBorders>
              <w:bottom w:val="single" w:sz="8" w:color="4A7EBB"/>
            </w:tcBorders>
          </w:tcPr>
          <w:p>
            <w:pPr>
              <w:jc w:val="center"/>
              <w:spacing w:after="0" w:line="155" w:lineRule="exact"/>
              <w:rPr>
                <w:sz w:val="20"/>
                <w:szCs w:val="20"/>
                <w:color w:val="auto"/>
              </w:rPr>
            </w:pPr>
            <w:r>
              <w:rPr>
                <w:rFonts w:ascii="Arial" w:cs="Arial" w:eastAsia="Arial" w:hAnsi="Arial"/>
                <w:sz w:val="14"/>
                <w:szCs w:val="14"/>
                <w:color w:val="auto"/>
              </w:rPr>
              <w:t>$ 76.07</w:t>
            </w:r>
          </w:p>
        </w:tc>
        <w:tc>
          <w:tcPr>
            <w:tcW w:w="160" w:type="dxa"/>
            <w:vAlign w:val="bottom"/>
            <w:tcBorders>
              <w:bottom w:val="single" w:sz="8" w:color="4A7EBB"/>
            </w:tcBorders>
          </w:tcPr>
          <w:p>
            <w:pPr>
              <w:spacing w:after="0"/>
              <w:rPr>
                <w:sz w:val="13"/>
                <w:szCs w:val="13"/>
                <w:color w:val="auto"/>
              </w:rPr>
            </w:pPr>
          </w:p>
        </w:tc>
        <w:tc>
          <w:tcPr>
            <w:tcW w:w="880" w:type="dxa"/>
            <w:vAlign w:val="bottom"/>
            <w:tcBorders>
              <w:bottom w:val="single" w:sz="8" w:color="4A7EBB"/>
            </w:tcBorders>
          </w:tcPr>
          <w:p>
            <w:pPr>
              <w:jc w:val="center"/>
              <w:ind w:right="8"/>
              <w:spacing w:after="0" w:line="155" w:lineRule="exact"/>
              <w:rPr>
                <w:sz w:val="20"/>
                <w:szCs w:val="20"/>
                <w:color w:val="auto"/>
              </w:rPr>
            </w:pPr>
            <w:r>
              <w:rPr>
                <w:rFonts w:ascii="Arial" w:cs="Arial" w:eastAsia="Arial" w:hAnsi="Arial"/>
                <w:sz w:val="14"/>
                <w:szCs w:val="14"/>
                <w:color w:val="auto"/>
              </w:rPr>
              <w:t>174,740</w:t>
            </w:r>
          </w:p>
        </w:tc>
        <w:tc>
          <w:tcPr>
            <w:tcW w:w="140" w:type="dxa"/>
            <w:vAlign w:val="bottom"/>
            <w:tcBorders>
              <w:bottom w:val="single" w:sz="8" w:color="4A7EBB"/>
            </w:tcBorders>
          </w:tcPr>
          <w:p>
            <w:pPr>
              <w:spacing w:after="0"/>
              <w:rPr>
                <w:sz w:val="13"/>
                <w:szCs w:val="13"/>
                <w:color w:val="auto"/>
              </w:rPr>
            </w:pPr>
          </w:p>
        </w:tc>
        <w:tc>
          <w:tcPr>
            <w:tcW w:w="840" w:type="dxa"/>
            <w:vAlign w:val="bottom"/>
            <w:tcBorders>
              <w:bottom w:val="single" w:sz="8" w:color="4A7EBB"/>
            </w:tcBorders>
          </w:tcPr>
          <w:p>
            <w:pPr>
              <w:jc w:val="right"/>
              <w:ind w:right="108"/>
              <w:spacing w:after="0" w:line="155" w:lineRule="exact"/>
              <w:rPr>
                <w:sz w:val="20"/>
                <w:szCs w:val="20"/>
                <w:color w:val="auto"/>
              </w:rPr>
            </w:pPr>
            <w:r>
              <w:rPr>
                <w:rFonts w:ascii="Arial" w:cs="Arial" w:eastAsia="Arial" w:hAnsi="Arial"/>
                <w:sz w:val="14"/>
                <w:szCs w:val="14"/>
                <w:color w:val="auto"/>
              </w:rPr>
              <w:t>240,599</w:t>
            </w:r>
          </w:p>
        </w:tc>
      </w:tr>
      <w:tr>
        <w:trPr>
          <w:trHeight w:val="156"/>
        </w:trPr>
        <w:tc>
          <w:tcPr>
            <w:tcW w:w="640" w:type="dxa"/>
            <w:vAlign w:val="bottom"/>
            <w:tcBorders>
              <w:bottom w:val="single" w:sz="8" w:color="4A7EBB"/>
            </w:tcBorders>
            <w:shd w:val="clear" w:color="auto" w:fill="F2F2F2"/>
          </w:tcPr>
          <w:p>
            <w:pPr>
              <w:jc w:val="center"/>
              <w:spacing w:after="0" w:line="155" w:lineRule="exact"/>
              <w:rPr>
                <w:sz w:val="20"/>
                <w:szCs w:val="20"/>
                <w:color w:val="auto"/>
              </w:rPr>
            </w:pPr>
            <w:r>
              <w:rPr>
                <w:rFonts w:ascii="Arial" w:cs="Arial" w:eastAsia="Arial" w:hAnsi="Arial"/>
                <w:sz w:val="14"/>
                <w:szCs w:val="14"/>
                <w:color w:val="auto"/>
              </w:rPr>
              <w:t>2023</w:t>
            </w:r>
          </w:p>
        </w:tc>
        <w:tc>
          <w:tcPr>
            <w:tcW w:w="120" w:type="dxa"/>
            <w:vAlign w:val="bottom"/>
            <w:tcBorders>
              <w:bottom w:val="single" w:sz="8" w:color="4A7EBB"/>
            </w:tcBorders>
            <w:shd w:val="clear" w:color="auto" w:fill="F2F2F2"/>
          </w:tcPr>
          <w:p>
            <w:pPr>
              <w:spacing w:after="0"/>
              <w:rPr>
                <w:sz w:val="13"/>
                <w:szCs w:val="13"/>
                <w:color w:val="auto"/>
              </w:rPr>
            </w:pPr>
          </w:p>
        </w:tc>
        <w:tc>
          <w:tcPr>
            <w:tcW w:w="80" w:type="dxa"/>
            <w:vAlign w:val="bottom"/>
            <w:tcBorders>
              <w:bottom w:val="single" w:sz="8" w:color="4A7EBB"/>
            </w:tcBorders>
            <w:shd w:val="clear" w:color="auto" w:fill="F2F2F2"/>
          </w:tcPr>
          <w:p>
            <w:pPr>
              <w:spacing w:after="0"/>
              <w:rPr>
                <w:sz w:val="13"/>
                <w:szCs w:val="13"/>
                <w:color w:val="auto"/>
              </w:rPr>
            </w:pPr>
          </w:p>
        </w:tc>
        <w:tc>
          <w:tcPr>
            <w:tcW w:w="940" w:type="dxa"/>
            <w:vAlign w:val="bottom"/>
            <w:tcBorders>
              <w:bottom w:val="single" w:sz="8" w:color="4A7EBB"/>
            </w:tcBorders>
            <w:shd w:val="clear" w:color="auto" w:fill="F2F2F2"/>
          </w:tcPr>
          <w:p>
            <w:pPr>
              <w:jc w:val="center"/>
              <w:ind w:right="28"/>
              <w:spacing w:after="0" w:line="155" w:lineRule="exact"/>
              <w:rPr>
                <w:sz w:val="20"/>
                <w:szCs w:val="20"/>
                <w:color w:val="auto"/>
              </w:rPr>
            </w:pPr>
            <w:r>
              <w:rPr>
                <w:rFonts w:ascii="Arial" w:cs="Arial" w:eastAsia="Arial" w:hAnsi="Arial"/>
                <w:sz w:val="14"/>
                <w:szCs w:val="14"/>
                <w:color w:val="auto"/>
              </w:rPr>
              <w:t>5,790,860</w:t>
            </w:r>
          </w:p>
        </w:tc>
        <w:tc>
          <w:tcPr>
            <w:tcW w:w="160" w:type="dxa"/>
            <w:vAlign w:val="bottom"/>
            <w:tcBorders>
              <w:bottom w:val="single" w:sz="8" w:color="4A7EBB"/>
            </w:tcBorders>
            <w:shd w:val="clear" w:color="auto" w:fill="F2F2F2"/>
          </w:tcPr>
          <w:p>
            <w:pPr>
              <w:spacing w:after="0"/>
              <w:rPr>
                <w:sz w:val="13"/>
                <w:szCs w:val="13"/>
                <w:color w:val="auto"/>
              </w:rPr>
            </w:pPr>
          </w:p>
        </w:tc>
        <w:tc>
          <w:tcPr>
            <w:tcW w:w="1120" w:type="dxa"/>
            <w:vAlign w:val="bottom"/>
            <w:tcBorders>
              <w:bottom w:val="single" w:sz="8" w:color="4A7EBB"/>
            </w:tcBorders>
            <w:shd w:val="clear" w:color="auto" w:fill="F2F2F2"/>
          </w:tcPr>
          <w:p>
            <w:pPr>
              <w:jc w:val="center"/>
              <w:spacing w:after="0" w:line="155" w:lineRule="exact"/>
              <w:rPr>
                <w:sz w:val="20"/>
                <w:szCs w:val="20"/>
                <w:color w:val="auto"/>
              </w:rPr>
            </w:pPr>
            <w:r>
              <w:rPr>
                <w:rFonts w:ascii="Arial" w:cs="Arial" w:eastAsia="Arial" w:hAnsi="Arial"/>
                <w:sz w:val="14"/>
                <w:szCs w:val="14"/>
                <w:color w:val="auto"/>
              </w:rPr>
              <w:t>(3,406,531)</w:t>
            </w:r>
          </w:p>
        </w:tc>
        <w:tc>
          <w:tcPr>
            <w:tcW w:w="160" w:type="dxa"/>
            <w:vAlign w:val="bottom"/>
            <w:tcBorders>
              <w:bottom w:val="single" w:sz="8" w:color="4A7EBB"/>
            </w:tcBorders>
            <w:shd w:val="clear" w:color="auto" w:fill="F2F2F2"/>
          </w:tcPr>
          <w:p>
            <w:pPr>
              <w:spacing w:after="0"/>
              <w:rPr>
                <w:sz w:val="13"/>
                <w:szCs w:val="13"/>
                <w:color w:val="auto"/>
              </w:rPr>
            </w:pPr>
          </w:p>
        </w:tc>
        <w:tc>
          <w:tcPr>
            <w:tcW w:w="1140" w:type="dxa"/>
            <w:vAlign w:val="bottom"/>
            <w:tcBorders>
              <w:bottom w:val="single" w:sz="8" w:color="4A7EBB"/>
            </w:tcBorders>
            <w:shd w:val="clear" w:color="auto" w:fill="F2F2F2"/>
          </w:tcPr>
          <w:p>
            <w:pPr>
              <w:jc w:val="center"/>
              <w:ind w:right="28"/>
              <w:spacing w:after="0" w:line="155" w:lineRule="exact"/>
              <w:rPr>
                <w:sz w:val="20"/>
                <w:szCs w:val="20"/>
                <w:color w:val="auto"/>
              </w:rPr>
            </w:pPr>
            <w:r>
              <w:rPr>
                <w:rFonts w:ascii="Arial" w:cs="Arial" w:eastAsia="Arial" w:hAnsi="Arial"/>
                <w:sz w:val="14"/>
                <w:szCs w:val="14"/>
                <w:color w:val="auto"/>
              </w:rPr>
              <w:t>3,371,945</w:t>
            </w:r>
          </w:p>
        </w:tc>
        <w:tc>
          <w:tcPr>
            <w:tcW w:w="140" w:type="dxa"/>
            <w:vAlign w:val="bottom"/>
            <w:tcBorders>
              <w:bottom w:val="single" w:sz="8" w:color="4A7EBB"/>
            </w:tcBorders>
            <w:shd w:val="clear" w:color="auto" w:fill="F2F2F2"/>
          </w:tcPr>
          <w:p>
            <w:pPr>
              <w:spacing w:after="0"/>
              <w:rPr>
                <w:sz w:val="13"/>
                <w:szCs w:val="13"/>
                <w:color w:val="auto"/>
              </w:rPr>
            </w:pPr>
          </w:p>
        </w:tc>
        <w:tc>
          <w:tcPr>
            <w:tcW w:w="1260" w:type="dxa"/>
            <w:vAlign w:val="bottom"/>
            <w:tcBorders>
              <w:bottom w:val="single" w:sz="8" w:color="4A7EBB"/>
            </w:tcBorders>
            <w:shd w:val="clear" w:color="auto" w:fill="F2F2F2"/>
          </w:tcPr>
          <w:p>
            <w:pPr>
              <w:jc w:val="center"/>
              <w:ind w:right="28"/>
              <w:spacing w:after="0" w:line="155" w:lineRule="exact"/>
              <w:rPr>
                <w:sz w:val="20"/>
                <w:szCs w:val="20"/>
                <w:color w:val="auto"/>
              </w:rPr>
            </w:pPr>
            <w:r>
              <w:rPr>
                <w:rFonts w:ascii="Arial" w:cs="Arial" w:eastAsia="Arial" w:hAnsi="Arial"/>
                <w:sz w:val="14"/>
                <w:szCs w:val="14"/>
                <w:color w:val="auto"/>
              </w:rPr>
              <w:t>169,702</w:t>
            </w:r>
          </w:p>
        </w:tc>
        <w:tc>
          <w:tcPr>
            <w:tcW w:w="60" w:type="dxa"/>
            <w:vAlign w:val="bottom"/>
            <w:tcBorders>
              <w:bottom w:val="single" w:sz="8" w:color="4A7EBB"/>
            </w:tcBorders>
            <w:shd w:val="clear" w:color="auto" w:fill="F2F2F2"/>
          </w:tcPr>
          <w:p>
            <w:pPr>
              <w:spacing w:after="0"/>
              <w:rPr>
                <w:sz w:val="13"/>
                <w:szCs w:val="13"/>
                <w:color w:val="auto"/>
              </w:rPr>
            </w:pPr>
          </w:p>
        </w:tc>
        <w:tc>
          <w:tcPr>
            <w:tcW w:w="60" w:type="dxa"/>
            <w:vAlign w:val="bottom"/>
            <w:tcBorders>
              <w:bottom w:val="single" w:sz="8" w:color="4A7EBB"/>
            </w:tcBorders>
            <w:shd w:val="clear" w:color="auto" w:fill="F2F2F2"/>
          </w:tcPr>
          <w:p>
            <w:pPr>
              <w:spacing w:after="0"/>
              <w:rPr>
                <w:sz w:val="13"/>
                <w:szCs w:val="13"/>
                <w:color w:val="auto"/>
              </w:rPr>
            </w:pPr>
          </w:p>
        </w:tc>
        <w:tc>
          <w:tcPr>
            <w:tcW w:w="960" w:type="dxa"/>
            <w:vAlign w:val="bottom"/>
            <w:tcBorders>
              <w:bottom w:val="single" w:sz="8" w:color="4A7EBB"/>
            </w:tcBorders>
            <w:shd w:val="clear" w:color="auto" w:fill="F2F2F2"/>
          </w:tcPr>
          <w:p>
            <w:pPr>
              <w:jc w:val="center"/>
              <w:ind w:right="48"/>
              <w:spacing w:after="0" w:line="155" w:lineRule="exact"/>
              <w:rPr>
                <w:sz w:val="20"/>
                <w:szCs w:val="20"/>
                <w:color w:val="auto"/>
              </w:rPr>
            </w:pPr>
            <w:r>
              <w:rPr>
                <w:rFonts w:ascii="Arial" w:cs="Arial" w:eastAsia="Arial" w:hAnsi="Arial"/>
                <w:sz w:val="14"/>
                <w:szCs w:val="14"/>
                <w:color w:val="auto"/>
              </w:rPr>
              <w:t>$ 62.57</w:t>
            </w:r>
          </w:p>
        </w:tc>
        <w:tc>
          <w:tcPr>
            <w:tcW w:w="120" w:type="dxa"/>
            <w:vAlign w:val="bottom"/>
            <w:tcBorders>
              <w:bottom w:val="single" w:sz="8" w:color="4A7EBB"/>
            </w:tcBorders>
            <w:shd w:val="clear" w:color="auto" w:fill="F2F2F2"/>
          </w:tcPr>
          <w:p>
            <w:pPr>
              <w:spacing w:after="0"/>
              <w:rPr>
                <w:sz w:val="13"/>
                <w:szCs w:val="13"/>
                <w:color w:val="auto"/>
              </w:rPr>
            </w:pPr>
          </w:p>
        </w:tc>
        <w:tc>
          <w:tcPr>
            <w:tcW w:w="940" w:type="dxa"/>
            <w:vAlign w:val="bottom"/>
            <w:tcBorders>
              <w:bottom w:val="single" w:sz="8" w:color="4A7EBB"/>
            </w:tcBorders>
            <w:shd w:val="clear" w:color="auto" w:fill="F2F2F2"/>
          </w:tcPr>
          <w:p>
            <w:pPr>
              <w:jc w:val="center"/>
              <w:spacing w:after="0" w:line="155" w:lineRule="exact"/>
              <w:rPr>
                <w:sz w:val="20"/>
                <w:szCs w:val="20"/>
                <w:color w:val="auto"/>
              </w:rPr>
            </w:pPr>
            <w:r>
              <w:rPr>
                <w:rFonts w:ascii="Arial" w:cs="Arial" w:eastAsia="Arial" w:hAnsi="Arial"/>
                <w:sz w:val="14"/>
                <w:szCs w:val="14"/>
                <w:color w:val="auto"/>
              </w:rPr>
              <w:t>$ 92.06</w:t>
            </w:r>
          </w:p>
        </w:tc>
        <w:tc>
          <w:tcPr>
            <w:tcW w:w="160" w:type="dxa"/>
            <w:vAlign w:val="bottom"/>
            <w:tcBorders>
              <w:bottom w:val="single" w:sz="8" w:color="4A7EBB"/>
            </w:tcBorders>
            <w:shd w:val="clear" w:color="auto" w:fill="F2F2F2"/>
          </w:tcPr>
          <w:p>
            <w:pPr>
              <w:spacing w:after="0"/>
              <w:rPr>
                <w:sz w:val="13"/>
                <w:szCs w:val="13"/>
                <w:color w:val="auto"/>
              </w:rPr>
            </w:pPr>
          </w:p>
        </w:tc>
        <w:tc>
          <w:tcPr>
            <w:tcW w:w="880" w:type="dxa"/>
            <w:vAlign w:val="bottom"/>
            <w:tcBorders>
              <w:bottom w:val="single" w:sz="8" w:color="4A7EBB"/>
            </w:tcBorders>
            <w:shd w:val="clear" w:color="auto" w:fill="F2F2F2"/>
          </w:tcPr>
          <w:p>
            <w:pPr>
              <w:jc w:val="center"/>
              <w:ind w:right="28"/>
              <w:spacing w:after="0" w:line="155" w:lineRule="exact"/>
              <w:rPr>
                <w:sz w:val="20"/>
                <w:szCs w:val="20"/>
                <w:color w:val="auto"/>
              </w:rPr>
            </w:pPr>
            <w:r>
              <w:rPr>
                <w:rFonts w:ascii="Arial" w:cs="Arial" w:eastAsia="Arial" w:hAnsi="Arial"/>
                <w:sz w:val="14"/>
                <w:szCs w:val="14"/>
                <w:color w:val="auto"/>
              </w:rPr>
              <w:t>(134,382)</w:t>
            </w:r>
          </w:p>
        </w:tc>
        <w:tc>
          <w:tcPr>
            <w:tcW w:w="140" w:type="dxa"/>
            <w:vAlign w:val="bottom"/>
            <w:tcBorders>
              <w:bottom w:val="single" w:sz="8" w:color="4A7EBB"/>
            </w:tcBorders>
            <w:shd w:val="clear" w:color="auto" w:fill="F2F2F2"/>
          </w:tcPr>
          <w:p>
            <w:pPr>
              <w:spacing w:after="0"/>
              <w:rPr>
                <w:sz w:val="13"/>
                <w:szCs w:val="13"/>
                <w:color w:val="auto"/>
              </w:rPr>
            </w:pPr>
          </w:p>
        </w:tc>
        <w:tc>
          <w:tcPr>
            <w:tcW w:w="840" w:type="dxa"/>
            <w:vAlign w:val="bottom"/>
            <w:tcBorders>
              <w:bottom w:val="single" w:sz="8" w:color="4A7EBB"/>
            </w:tcBorders>
            <w:shd w:val="clear" w:color="auto" w:fill="F2F2F2"/>
          </w:tcPr>
          <w:p>
            <w:pPr>
              <w:jc w:val="right"/>
              <w:ind w:right="68"/>
              <w:spacing w:after="0" w:line="155" w:lineRule="exact"/>
              <w:rPr>
                <w:sz w:val="20"/>
                <w:szCs w:val="20"/>
                <w:color w:val="auto"/>
              </w:rPr>
            </w:pPr>
            <w:r>
              <w:rPr>
                <w:rFonts w:ascii="Arial" w:cs="Arial" w:eastAsia="Arial" w:hAnsi="Arial"/>
                <w:sz w:val="14"/>
                <w:szCs w:val="14"/>
                <w:color w:val="auto"/>
              </w:rPr>
              <w:t>(138,170)</w:t>
            </w:r>
          </w:p>
        </w:tc>
      </w:tr>
      <w:tr>
        <w:trPr>
          <w:trHeight w:val="155"/>
        </w:trPr>
        <w:tc>
          <w:tcPr>
            <w:tcW w:w="640" w:type="dxa"/>
            <w:vAlign w:val="bottom"/>
            <w:tcBorders>
              <w:bottom w:val="single" w:sz="8" w:color="4A7EBB"/>
            </w:tcBorders>
          </w:tcPr>
          <w:p>
            <w:pPr>
              <w:jc w:val="center"/>
              <w:spacing w:after="0" w:line="155" w:lineRule="exact"/>
              <w:rPr>
                <w:sz w:val="20"/>
                <w:szCs w:val="20"/>
                <w:color w:val="auto"/>
              </w:rPr>
            </w:pPr>
            <w:r>
              <w:rPr>
                <w:rFonts w:ascii="Arial" w:cs="Arial" w:eastAsia="Arial" w:hAnsi="Arial"/>
                <w:sz w:val="14"/>
                <w:szCs w:val="14"/>
                <w:color w:val="auto"/>
              </w:rPr>
              <w:t>2022</w:t>
            </w:r>
          </w:p>
        </w:tc>
        <w:tc>
          <w:tcPr>
            <w:tcW w:w="120" w:type="dxa"/>
            <w:vAlign w:val="bottom"/>
            <w:tcBorders>
              <w:bottom w:val="single" w:sz="8" w:color="4A7EBB"/>
            </w:tcBorders>
          </w:tcPr>
          <w:p>
            <w:pPr>
              <w:spacing w:after="0"/>
              <w:rPr>
                <w:sz w:val="13"/>
                <w:szCs w:val="13"/>
                <w:color w:val="auto"/>
              </w:rPr>
            </w:pPr>
          </w:p>
        </w:tc>
        <w:tc>
          <w:tcPr>
            <w:tcW w:w="80" w:type="dxa"/>
            <w:vAlign w:val="bottom"/>
            <w:tcBorders>
              <w:bottom w:val="single" w:sz="8" w:color="4A7EBB"/>
            </w:tcBorders>
          </w:tcPr>
          <w:p>
            <w:pPr>
              <w:spacing w:after="0"/>
              <w:rPr>
                <w:sz w:val="13"/>
                <w:szCs w:val="13"/>
                <w:color w:val="auto"/>
              </w:rPr>
            </w:pPr>
          </w:p>
        </w:tc>
        <w:tc>
          <w:tcPr>
            <w:tcW w:w="940" w:type="dxa"/>
            <w:vAlign w:val="bottom"/>
            <w:tcBorders>
              <w:bottom w:val="single" w:sz="8" w:color="4A7EBB"/>
            </w:tcBorders>
          </w:tcPr>
          <w:p>
            <w:pPr>
              <w:jc w:val="center"/>
              <w:ind w:right="28"/>
              <w:spacing w:after="0" w:line="155" w:lineRule="exact"/>
              <w:rPr>
                <w:sz w:val="20"/>
                <w:szCs w:val="20"/>
                <w:color w:val="auto"/>
              </w:rPr>
            </w:pPr>
            <w:r>
              <w:rPr>
                <w:rFonts w:ascii="Arial" w:cs="Arial" w:eastAsia="Arial" w:hAnsi="Arial"/>
                <w:sz w:val="14"/>
                <w:szCs w:val="14"/>
                <w:color w:val="auto"/>
              </w:rPr>
              <w:t>24,942,778</w:t>
            </w:r>
          </w:p>
        </w:tc>
        <w:tc>
          <w:tcPr>
            <w:tcW w:w="160" w:type="dxa"/>
            <w:vAlign w:val="bottom"/>
            <w:tcBorders>
              <w:bottom w:val="single" w:sz="8" w:color="4A7EBB"/>
            </w:tcBorders>
          </w:tcPr>
          <w:p>
            <w:pPr>
              <w:spacing w:after="0"/>
              <w:rPr>
                <w:sz w:val="13"/>
                <w:szCs w:val="13"/>
                <w:color w:val="auto"/>
              </w:rPr>
            </w:pPr>
          </w:p>
        </w:tc>
        <w:tc>
          <w:tcPr>
            <w:tcW w:w="1120" w:type="dxa"/>
            <w:vAlign w:val="bottom"/>
            <w:tcBorders>
              <w:bottom w:val="single" w:sz="8" w:color="4A7EBB"/>
            </w:tcBorders>
          </w:tcPr>
          <w:p>
            <w:pPr>
              <w:jc w:val="center"/>
              <w:spacing w:after="0" w:line="155" w:lineRule="exact"/>
              <w:rPr>
                <w:sz w:val="20"/>
                <w:szCs w:val="20"/>
                <w:color w:val="auto"/>
              </w:rPr>
            </w:pPr>
            <w:r>
              <w:rPr>
                <w:rFonts w:ascii="Arial" w:cs="Arial" w:eastAsia="Arial" w:hAnsi="Arial"/>
                <w:sz w:val="14"/>
                <w:szCs w:val="14"/>
                <w:color w:val="auto"/>
              </w:rPr>
              <w:t>26,290,697</w:t>
            </w:r>
          </w:p>
        </w:tc>
        <w:tc>
          <w:tcPr>
            <w:tcW w:w="160" w:type="dxa"/>
            <w:vAlign w:val="bottom"/>
            <w:tcBorders>
              <w:bottom w:val="single" w:sz="8" w:color="4A7EBB"/>
            </w:tcBorders>
          </w:tcPr>
          <w:p>
            <w:pPr>
              <w:spacing w:after="0"/>
              <w:rPr>
                <w:sz w:val="13"/>
                <w:szCs w:val="13"/>
                <w:color w:val="auto"/>
              </w:rPr>
            </w:pPr>
          </w:p>
        </w:tc>
        <w:tc>
          <w:tcPr>
            <w:tcW w:w="1140" w:type="dxa"/>
            <w:vAlign w:val="bottom"/>
            <w:tcBorders>
              <w:bottom w:val="single" w:sz="8" w:color="4A7EBB"/>
            </w:tcBorders>
          </w:tcPr>
          <w:p>
            <w:pPr>
              <w:jc w:val="center"/>
              <w:ind w:right="28"/>
              <w:spacing w:after="0" w:line="155" w:lineRule="exact"/>
              <w:rPr>
                <w:sz w:val="20"/>
                <w:szCs w:val="20"/>
                <w:color w:val="auto"/>
              </w:rPr>
            </w:pPr>
            <w:r>
              <w:rPr>
                <w:rFonts w:ascii="Arial" w:cs="Arial" w:eastAsia="Arial" w:hAnsi="Arial"/>
                <w:sz w:val="14"/>
                <w:szCs w:val="14"/>
                <w:color w:val="auto"/>
              </w:rPr>
              <w:t>5,854,421</w:t>
            </w:r>
          </w:p>
        </w:tc>
        <w:tc>
          <w:tcPr>
            <w:tcW w:w="140" w:type="dxa"/>
            <w:vAlign w:val="bottom"/>
            <w:tcBorders>
              <w:bottom w:val="single" w:sz="8" w:color="4A7EBB"/>
            </w:tcBorders>
          </w:tcPr>
          <w:p>
            <w:pPr>
              <w:spacing w:after="0"/>
              <w:rPr>
                <w:sz w:val="13"/>
                <w:szCs w:val="13"/>
                <w:color w:val="auto"/>
              </w:rPr>
            </w:pPr>
          </w:p>
        </w:tc>
        <w:tc>
          <w:tcPr>
            <w:tcW w:w="1260" w:type="dxa"/>
            <w:vAlign w:val="bottom"/>
            <w:tcBorders>
              <w:bottom w:val="single" w:sz="8" w:color="4A7EBB"/>
            </w:tcBorders>
          </w:tcPr>
          <w:p>
            <w:pPr>
              <w:jc w:val="center"/>
              <w:ind w:right="28"/>
              <w:spacing w:after="0" w:line="155" w:lineRule="exact"/>
              <w:rPr>
                <w:sz w:val="20"/>
                <w:szCs w:val="20"/>
                <w:color w:val="auto"/>
              </w:rPr>
            </w:pPr>
            <w:r>
              <w:rPr>
                <w:rFonts w:ascii="Arial" w:cs="Arial" w:eastAsia="Arial" w:hAnsi="Arial"/>
                <w:sz w:val="14"/>
                <w:szCs w:val="14"/>
                <w:color w:val="auto"/>
              </w:rPr>
              <w:t>6,494,397</w:t>
            </w:r>
          </w:p>
        </w:tc>
        <w:tc>
          <w:tcPr>
            <w:tcW w:w="60" w:type="dxa"/>
            <w:vAlign w:val="bottom"/>
            <w:tcBorders>
              <w:bottom w:val="single" w:sz="8" w:color="4A7EBB"/>
            </w:tcBorders>
          </w:tcPr>
          <w:p>
            <w:pPr>
              <w:spacing w:after="0"/>
              <w:rPr>
                <w:sz w:val="13"/>
                <w:szCs w:val="13"/>
                <w:color w:val="auto"/>
              </w:rPr>
            </w:pPr>
          </w:p>
        </w:tc>
        <w:tc>
          <w:tcPr>
            <w:tcW w:w="60" w:type="dxa"/>
            <w:vAlign w:val="bottom"/>
            <w:tcBorders>
              <w:bottom w:val="single" w:sz="8" w:color="4A7EBB"/>
            </w:tcBorders>
          </w:tcPr>
          <w:p>
            <w:pPr>
              <w:spacing w:after="0"/>
              <w:rPr>
                <w:sz w:val="13"/>
                <w:szCs w:val="13"/>
                <w:color w:val="auto"/>
              </w:rPr>
            </w:pPr>
          </w:p>
        </w:tc>
        <w:tc>
          <w:tcPr>
            <w:tcW w:w="960" w:type="dxa"/>
            <w:vAlign w:val="bottom"/>
            <w:tcBorders>
              <w:bottom w:val="single" w:sz="8" w:color="4A7EBB"/>
            </w:tcBorders>
          </w:tcPr>
          <w:p>
            <w:pPr>
              <w:jc w:val="center"/>
              <w:ind w:right="48"/>
              <w:spacing w:after="0" w:line="155" w:lineRule="exact"/>
              <w:rPr>
                <w:sz w:val="20"/>
                <w:szCs w:val="20"/>
                <w:color w:val="auto"/>
              </w:rPr>
            </w:pPr>
            <w:r>
              <w:rPr>
                <w:rFonts w:ascii="Arial" w:cs="Arial" w:eastAsia="Arial" w:hAnsi="Arial"/>
                <w:sz w:val="14"/>
                <w:szCs w:val="14"/>
                <w:color w:val="auto"/>
              </w:rPr>
              <w:t>$ 100.48</w:t>
            </w:r>
          </w:p>
        </w:tc>
        <w:tc>
          <w:tcPr>
            <w:tcW w:w="120" w:type="dxa"/>
            <w:vAlign w:val="bottom"/>
            <w:tcBorders>
              <w:bottom w:val="single" w:sz="8" w:color="4A7EBB"/>
            </w:tcBorders>
          </w:tcPr>
          <w:p>
            <w:pPr>
              <w:spacing w:after="0"/>
              <w:rPr>
                <w:sz w:val="13"/>
                <w:szCs w:val="13"/>
                <w:color w:val="auto"/>
              </w:rPr>
            </w:pPr>
          </w:p>
        </w:tc>
        <w:tc>
          <w:tcPr>
            <w:tcW w:w="940" w:type="dxa"/>
            <w:vAlign w:val="bottom"/>
            <w:tcBorders>
              <w:bottom w:val="single" w:sz="8" w:color="4A7EBB"/>
            </w:tcBorders>
          </w:tcPr>
          <w:p>
            <w:pPr>
              <w:jc w:val="center"/>
              <w:spacing w:after="0" w:line="155" w:lineRule="exact"/>
              <w:rPr>
                <w:sz w:val="20"/>
                <w:szCs w:val="20"/>
                <w:color w:val="auto"/>
              </w:rPr>
            </w:pPr>
            <w:r>
              <w:rPr>
                <w:rFonts w:ascii="Arial" w:cs="Arial" w:eastAsia="Arial" w:hAnsi="Arial"/>
                <w:sz w:val="14"/>
                <w:szCs w:val="14"/>
                <w:color w:val="auto"/>
              </w:rPr>
              <w:t>$ 109.04</w:t>
            </w:r>
          </w:p>
        </w:tc>
        <w:tc>
          <w:tcPr>
            <w:tcW w:w="160" w:type="dxa"/>
            <w:vAlign w:val="bottom"/>
            <w:tcBorders>
              <w:bottom w:val="single" w:sz="8" w:color="4A7EBB"/>
            </w:tcBorders>
          </w:tcPr>
          <w:p>
            <w:pPr>
              <w:spacing w:after="0"/>
              <w:rPr>
                <w:sz w:val="13"/>
                <w:szCs w:val="13"/>
                <w:color w:val="auto"/>
              </w:rPr>
            </w:pPr>
          </w:p>
        </w:tc>
        <w:tc>
          <w:tcPr>
            <w:tcW w:w="880" w:type="dxa"/>
            <w:vAlign w:val="bottom"/>
            <w:tcBorders>
              <w:bottom w:val="single" w:sz="8" w:color="4A7EBB"/>
            </w:tcBorders>
          </w:tcPr>
          <w:p>
            <w:pPr>
              <w:jc w:val="center"/>
              <w:ind w:right="8"/>
              <w:spacing w:after="0" w:line="155" w:lineRule="exact"/>
              <w:rPr>
                <w:sz w:val="20"/>
                <w:szCs w:val="20"/>
                <w:color w:val="auto"/>
              </w:rPr>
            </w:pPr>
            <w:r>
              <w:rPr>
                <w:rFonts w:ascii="Arial" w:cs="Arial" w:eastAsia="Arial" w:hAnsi="Arial"/>
                <w:sz w:val="14"/>
                <w:szCs w:val="14"/>
                <w:color w:val="auto"/>
              </w:rPr>
              <w:t>200,101</w:t>
            </w:r>
          </w:p>
        </w:tc>
        <w:tc>
          <w:tcPr>
            <w:tcW w:w="140" w:type="dxa"/>
            <w:vAlign w:val="bottom"/>
            <w:tcBorders>
              <w:bottom w:val="single" w:sz="8" w:color="4A7EBB"/>
            </w:tcBorders>
          </w:tcPr>
          <w:p>
            <w:pPr>
              <w:spacing w:after="0"/>
              <w:rPr>
                <w:sz w:val="13"/>
                <w:szCs w:val="13"/>
                <w:color w:val="auto"/>
              </w:rPr>
            </w:pPr>
          </w:p>
        </w:tc>
        <w:tc>
          <w:tcPr>
            <w:tcW w:w="840" w:type="dxa"/>
            <w:vAlign w:val="bottom"/>
            <w:tcBorders>
              <w:bottom w:val="single" w:sz="8" w:color="4A7EBB"/>
            </w:tcBorders>
          </w:tcPr>
          <w:p>
            <w:pPr>
              <w:jc w:val="right"/>
              <w:ind w:right="108"/>
              <w:spacing w:after="0" w:line="155" w:lineRule="exact"/>
              <w:rPr>
                <w:sz w:val="20"/>
                <w:szCs w:val="20"/>
                <w:color w:val="auto"/>
              </w:rPr>
            </w:pPr>
            <w:r>
              <w:rPr>
                <w:rFonts w:ascii="Arial" w:cs="Arial" w:eastAsia="Arial" w:hAnsi="Arial"/>
                <w:sz w:val="14"/>
                <w:szCs w:val="14"/>
                <w:color w:val="auto"/>
              </w:rPr>
              <w:t>270,976</w:t>
            </w:r>
          </w:p>
        </w:tc>
      </w:tr>
    </w:tbl>
    <w:p>
      <w:pPr>
        <w:spacing w:after="0" w:line="148" w:lineRule="exact"/>
        <w:rPr>
          <w:sz w:val="20"/>
          <w:szCs w:val="20"/>
          <w:color w:val="auto"/>
        </w:rPr>
      </w:pPr>
    </w:p>
    <w:p>
      <w:pPr>
        <w:jc w:val="both"/>
        <w:ind w:left="340" w:hanging="332"/>
        <w:spacing w:after="0" w:line="256" w:lineRule="auto"/>
        <w:tabs>
          <w:tab w:leader="none" w:pos="34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dollar amounts shown in these columns reflect compensation actually paid (“CAP”) to Morris Goldfarb and our non-PEO NEOs, respectively, calculated in accordance with SEC rules. As required, the dollar amounts include (among other items) unpaid amounts of equity compensation that may be realized in future periods, and as such, the dollar amounts shown do not fully represent the actual final amount of compensation earned or actually paid to any individual during the applicable years. The adjustments made to each officer’s total compensation for each year to determine CAP are shown in the tables below.</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color w:val="4A7EBB"/>
        </w:rPr>
        <w:t>IMPORTANT PERFORMANCE MEASURES</w:t>
      </w:r>
    </w:p>
    <w:p>
      <w:pPr>
        <w:spacing w:after="0" w:line="24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following performance measures are the most important used by the Company to link executive compensation actually paid to the NEOs to company performance during fiscal 2026. See “Compensation Discussion and Analysis” for more information about how these measures impact our NEOs’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119380</wp:posOffset>
            </wp:positionV>
            <wp:extent cx="6292215" cy="11112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292215" cy="111125"/>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Company-Selected Performance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6350</wp:posOffset>
            </wp:positionV>
            <wp:extent cx="629221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Adjusted Pre-Tax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wp:posOffset>
            </wp:positionV>
            <wp:extent cx="6292215" cy="11112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292215" cy="11112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Percent Change in Basic Common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wp:posOffset>
            </wp:positionV>
            <wp:extent cx="629221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Percent Change in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wp:posOffset>
            </wp:positionV>
            <wp:extent cx="6292215" cy="11112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292215" cy="11112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Cumulative Adjusted Earnings before Interest and Taxes (EBIT)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wp:posOffset>
            </wp:positionV>
            <wp:extent cx="629221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Return on Invested Capital (ROIC)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wp:posOffset>
            </wp:positionV>
            <wp:extent cx="6292215" cy="11112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292215" cy="11112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Total Shareholder Return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wp:posOffset>
            </wp:positionV>
            <wp:extent cx="629221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4" w:lineRule="exact"/>
        <w:rPr>
          <w:sz w:val="20"/>
          <w:szCs w:val="20"/>
          <w:color w:val="auto"/>
        </w:rPr>
      </w:pPr>
    </w:p>
    <w:p>
      <w:pPr>
        <w:jc w:val="both"/>
        <w:spacing w:after="0" w:line="272" w:lineRule="auto"/>
        <w:rPr>
          <w:sz w:val="20"/>
          <w:szCs w:val="20"/>
          <w:color w:val="auto"/>
        </w:rPr>
      </w:pPr>
      <w:r>
        <w:rPr>
          <w:rFonts w:ascii="Arial" w:cs="Arial" w:eastAsia="Arial" w:hAnsi="Arial"/>
          <w:sz w:val="22"/>
          <w:szCs w:val="22"/>
          <w:b w:val="1"/>
          <w:bCs w:val="1"/>
          <w:color w:val="4A7EBB"/>
        </w:rPr>
        <w:t>RECONCILIATION OF SUMMARY COMPENSATION TABLE TOTAL TO COMPENSATION ACTUALLY PAID (“CAP”) TOTAL</w:t>
      </w:r>
    </w:p>
    <w:p>
      <w:pPr>
        <w:spacing w:after="0" w:line="13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shown in the tables below, the CAP totals represent the Summary Compensation Table totals for the applicable year, but adjusted as required by SEC rules to include the fair value of current and prior year equity awards that are outstanding, vested, or forfeited during the applicable year, instead of the grant date value of awards granted during the applicable year.</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20" w:type="dxa"/>
            <w:vAlign w:val="bottom"/>
            <w:tcBorders>
              <w:top w:val="single" w:sz="8" w:color="4A7EBB"/>
            </w:tcBorders>
            <w:shd w:val="clear" w:color="auto" w:fill="DBE5F1"/>
          </w:tcPr>
          <w:p>
            <w:pPr>
              <w:spacing w:after="0"/>
              <w:rPr>
                <w:sz w:val="15"/>
                <w:szCs w:val="15"/>
                <w:color w:val="auto"/>
              </w:rPr>
            </w:pPr>
          </w:p>
        </w:tc>
        <w:tc>
          <w:tcPr>
            <w:tcW w:w="2340" w:type="dxa"/>
            <w:vAlign w:val="bottom"/>
            <w:tcBorders>
              <w:top w:val="single" w:sz="8" w:color="4A7EBB"/>
            </w:tcBorders>
            <w:shd w:val="clear" w:color="auto" w:fill="DBE5F1"/>
          </w:tcPr>
          <w:p>
            <w:pPr>
              <w:jc w:val="center"/>
              <w:ind w:left="8"/>
              <w:spacing w:after="0"/>
              <w:rPr>
                <w:sz w:val="20"/>
                <w:szCs w:val="20"/>
                <w:color w:val="auto"/>
              </w:rPr>
            </w:pPr>
            <w:r>
              <w:rPr>
                <w:rFonts w:ascii="Arial" w:cs="Arial" w:eastAsia="Arial" w:hAnsi="Arial"/>
                <w:sz w:val="14"/>
                <w:szCs w:val="14"/>
                <w:b w:val="1"/>
                <w:bCs w:val="1"/>
                <w:color w:val="auto"/>
              </w:rPr>
              <w:t>Reported Summary</w:t>
            </w:r>
          </w:p>
        </w:tc>
        <w:tc>
          <w:tcPr>
            <w:tcW w:w="2300" w:type="dxa"/>
            <w:vAlign w:val="bottom"/>
            <w:tcBorders>
              <w:top w:val="single" w:sz="8" w:color="4A7EBB"/>
            </w:tcBorders>
            <w:shd w:val="clear" w:color="auto" w:fill="DBE5F1"/>
          </w:tcPr>
          <w:p>
            <w:pPr>
              <w:spacing w:after="0"/>
              <w:rPr>
                <w:sz w:val="15"/>
                <w:szCs w:val="15"/>
                <w:color w:val="auto"/>
              </w:rPr>
            </w:pPr>
          </w:p>
        </w:tc>
        <w:tc>
          <w:tcPr>
            <w:tcW w:w="2040" w:type="dxa"/>
            <w:vAlign w:val="bottom"/>
            <w:tcBorders>
              <w:top w:val="single" w:sz="8" w:color="4A7EBB"/>
            </w:tcBorders>
            <w:shd w:val="clear" w:color="auto" w:fill="DBE5F1"/>
          </w:tcPr>
          <w:p>
            <w:pPr>
              <w:spacing w:after="0"/>
              <w:rPr>
                <w:sz w:val="15"/>
                <w:szCs w:val="15"/>
                <w:color w:val="auto"/>
              </w:rPr>
            </w:pPr>
          </w:p>
        </w:tc>
        <w:tc>
          <w:tcPr>
            <w:tcW w:w="2320" w:type="dxa"/>
            <w:vAlign w:val="bottom"/>
            <w:tcBorders>
              <w:top w:val="single" w:sz="8" w:color="4A7EBB"/>
            </w:tcBorders>
            <w:shd w:val="clear" w:color="auto" w:fill="DBE5F1"/>
          </w:tcPr>
          <w:p>
            <w:pPr>
              <w:spacing w:after="0"/>
              <w:rPr>
                <w:sz w:val="15"/>
                <w:szCs w:val="15"/>
                <w:color w:val="auto"/>
              </w:rPr>
            </w:pPr>
          </w:p>
        </w:tc>
      </w:tr>
      <w:tr>
        <w:trPr>
          <w:trHeight w:val="135"/>
        </w:trPr>
        <w:tc>
          <w:tcPr>
            <w:tcW w:w="920" w:type="dxa"/>
            <w:vAlign w:val="bottom"/>
            <w:shd w:val="clear" w:color="auto" w:fill="DBE5F1"/>
          </w:tcPr>
          <w:p>
            <w:pPr>
              <w:spacing w:after="0"/>
              <w:rPr>
                <w:sz w:val="11"/>
                <w:szCs w:val="11"/>
                <w:color w:val="auto"/>
              </w:rPr>
            </w:pPr>
          </w:p>
        </w:tc>
        <w:tc>
          <w:tcPr>
            <w:tcW w:w="2340" w:type="dxa"/>
            <w:vAlign w:val="bottom"/>
            <w:shd w:val="clear" w:color="auto" w:fill="DBE5F1"/>
          </w:tcPr>
          <w:p>
            <w:pPr>
              <w:jc w:val="center"/>
              <w:spacing w:after="0" w:line="135" w:lineRule="exact"/>
              <w:rPr>
                <w:sz w:val="20"/>
                <w:szCs w:val="20"/>
                <w:color w:val="auto"/>
              </w:rPr>
            </w:pPr>
            <w:r>
              <w:rPr>
                <w:rFonts w:ascii="Arial" w:cs="Arial" w:eastAsia="Arial" w:hAnsi="Arial"/>
                <w:sz w:val="14"/>
                <w:szCs w:val="14"/>
                <w:b w:val="1"/>
                <w:bCs w:val="1"/>
                <w:color w:val="auto"/>
              </w:rPr>
              <w:t>Compensation Table</w:t>
            </w:r>
          </w:p>
        </w:tc>
        <w:tc>
          <w:tcPr>
            <w:tcW w:w="2300" w:type="dxa"/>
            <w:vAlign w:val="bottom"/>
            <w:shd w:val="clear" w:color="auto" w:fill="DBE5F1"/>
          </w:tcPr>
          <w:p>
            <w:pPr>
              <w:jc w:val="center"/>
              <w:ind w:right="9"/>
              <w:spacing w:after="0" w:line="135" w:lineRule="exact"/>
              <w:rPr>
                <w:sz w:val="20"/>
                <w:szCs w:val="20"/>
                <w:color w:val="auto"/>
              </w:rPr>
            </w:pPr>
            <w:r>
              <w:rPr>
                <w:rFonts w:ascii="Arial" w:cs="Arial" w:eastAsia="Arial" w:hAnsi="Arial"/>
                <w:sz w:val="14"/>
                <w:szCs w:val="14"/>
                <w:b w:val="1"/>
                <w:bCs w:val="1"/>
                <w:color w:val="auto"/>
              </w:rPr>
              <w:t>Reported Value</w:t>
            </w:r>
          </w:p>
        </w:tc>
        <w:tc>
          <w:tcPr>
            <w:tcW w:w="2040" w:type="dxa"/>
            <w:vAlign w:val="bottom"/>
            <w:shd w:val="clear" w:color="auto" w:fill="DBE5F1"/>
          </w:tcPr>
          <w:p>
            <w:pPr>
              <w:jc w:val="center"/>
              <w:ind w:left="9"/>
              <w:spacing w:after="0" w:line="135" w:lineRule="exact"/>
              <w:rPr>
                <w:sz w:val="20"/>
                <w:szCs w:val="20"/>
                <w:color w:val="auto"/>
              </w:rPr>
            </w:pPr>
            <w:r>
              <w:rPr>
                <w:rFonts w:ascii="Arial" w:cs="Arial" w:eastAsia="Arial" w:hAnsi="Arial"/>
                <w:sz w:val="14"/>
                <w:szCs w:val="14"/>
                <w:b w:val="1"/>
                <w:bCs w:val="1"/>
                <w:color w:val="auto"/>
              </w:rPr>
              <w:t>Equity Award</w:t>
            </w:r>
          </w:p>
        </w:tc>
        <w:tc>
          <w:tcPr>
            <w:tcW w:w="2320" w:type="dxa"/>
            <w:vAlign w:val="bottom"/>
            <w:shd w:val="clear" w:color="auto" w:fill="DBE5F1"/>
          </w:tcPr>
          <w:p>
            <w:pPr>
              <w:jc w:val="center"/>
              <w:ind w:left="168"/>
              <w:spacing w:after="0" w:line="135" w:lineRule="exact"/>
              <w:rPr>
                <w:sz w:val="20"/>
                <w:szCs w:val="20"/>
                <w:color w:val="auto"/>
              </w:rPr>
            </w:pPr>
            <w:r>
              <w:rPr>
                <w:rFonts w:ascii="Arial" w:cs="Arial" w:eastAsia="Arial" w:hAnsi="Arial"/>
                <w:sz w:val="14"/>
                <w:szCs w:val="14"/>
                <w:b w:val="1"/>
                <w:bCs w:val="1"/>
                <w:color w:val="auto"/>
              </w:rPr>
              <w:t>Compensation Actually</w:t>
            </w:r>
          </w:p>
        </w:tc>
      </w:tr>
      <w:tr>
        <w:trPr>
          <w:trHeight w:val="189"/>
        </w:trPr>
        <w:tc>
          <w:tcPr>
            <w:tcW w:w="920" w:type="dxa"/>
            <w:vAlign w:val="bottom"/>
            <w:tcBorders>
              <w:bottom w:val="single" w:sz="8" w:color="4A7EBB"/>
            </w:tcBorders>
            <w:shd w:val="clear" w:color="auto" w:fill="DBE5F1"/>
          </w:tcPr>
          <w:p>
            <w:pPr>
              <w:ind w:left="320"/>
              <w:spacing w:after="0"/>
              <w:rPr>
                <w:sz w:val="20"/>
                <w:szCs w:val="20"/>
                <w:color w:val="auto"/>
              </w:rPr>
            </w:pPr>
            <w:r>
              <w:rPr>
                <w:rFonts w:ascii="Arial" w:cs="Arial" w:eastAsia="Arial" w:hAnsi="Arial"/>
                <w:sz w:val="14"/>
                <w:szCs w:val="14"/>
                <w:b w:val="1"/>
                <w:bCs w:val="1"/>
                <w:color w:val="auto"/>
              </w:rPr>
              <w:t>Year</w:t>
            </w:r>
          </w:p>
        </w:tc>
        <w:tc>
          <w:tcPr>
            <w:tcW w:w="2340" w:type="dxa"/>
            <w:vAlign w:val="bottom"/>
            <w:tcBorders>
              <w:bottom w:val="single" w:sz="8" w:color="4A7EBB"/>
            </w:tcBorders>
            <w:shd w:val="clear" w:color="auto" w:fill="DBE5F1"/>
          </w:tcPr>
          <w:p>
            <w:pPr>
              <w:jc w:val="center"/>
              <w:ind w:left="8"/>
              <w:spacing w:after="0"/>
              <w:rPr>
                <w:sz w:val="20"/>
                <w:szCs w:val="20"/>
                <w:color w:val="auto"/>
              </w:rPr>
            </w:pPr>
            <w:r>
              <w:rPr>
                <w:rFonts w:ascii="Arial" w:cs="Arial" w:eastAsia="Arial" w:hAnsi="Arial"/>
                <w:sz w:val="14"/>
                <w:szCs w:val="14"/>
                <w:b w:val="1"/>
                <w:bCs w:val="1"/>
                <w:color w:val="auto"/>
              </w:rPr>
              <w:t>Total for PEO</w:t>
            </w:r>
          </w:p>
        </w:tc>
        <w:tc>
          <w:tcPr>
            <w:tcW w:w="2300" w:type="dxa"/>
            <w:vAlign w:val="bottom"/>
            <w:tcBorders>
              <w:bottom w:val="single" w:sz="8" w:color="4A7EBB"/>
            </w:tcBorders>
            <w:shd w:val="clear" w:color="auto" w:fill="DBE5F1"/>
          </w:tcPr>
          <w:p>
            <w:pPr>
              <w:jc w:val="center"/>
              <w:ind w:right="29"/>
              <w:spacing w:after="0" w:line="189" w:lineRule="exact"/>
              <w:rPr>
                <w:sz w:val="20"/>
                <w:szCs w:val="20"/>
                <w:color w:val="auto"/>
              </w:rPr>
            </w:pPr>
            <w:r>
              <w:rPr>
                <w:rFonts w:ascii="Arial" w:cs="Arial" w:eastAsia="Arial" w:hAnsi="Arial"/>
                <w:sz w:val="13"/>
                <w:szCs w:val="13"/>
                <w:b w:val="1"/>
                <w:bCs w:val="1"/>
                <w:color w:val="auto"/>
              </w:rPr>
              <w:t xml:space="preserve">of Equity Awards </w:t>
            </w:r>
            <w:r>
              <w:rPr>
                <w:rFonts w:ascii="Arial" w:cs="Arial" w:eastAsia="Arial" w:hAnsi="Arial"/>
                <w:sz w:val="21"/>
                <w:szCs w:val="21"/>
                <w:b w:val="1"/>
                <w:bCs w:val="1"/>
                <w:color w:val="auto"/>
                <w:vertAlign w:val="superscript"/>
              </w:rPr>
              <w:t>(1)</w:t>
            </w:r>
          </w:p>
        </w:tc>
        <w:tc>
          <w:tcPr>
            <w:tcW w:w="2040" w:type="dxa"/>
            <w:vAlign w:val="bottom"/>
            <w:tcBorders>
              <w:bottom w:val="single" w:sz="8" w:color="4A7EBB"/>
            </w:tcBorders>
            <w:shd w:val="clear" w:color="auto" w:fill="DBE5F1"/>
          </w:tcPr>
          <w:p>
            <w:pPr>
              <w:jc w:val="center"/>
              <w:spacing w:after="0" w:line="189" w:lineRule="exact"/>
              <w:rPr>
                <w:sz w:val="20"/>
                <w:szCs w:val="20"/>
                <w:color w:val="auto"/>
              </w:rPr>
            </w:pPr>
            <w:r>
              <w:rPr>
                <w:rFonts w:ascii="Arial" w:cs="Arial" w:eastAsia="Arial" w:hAnsi="Arial"/>
                <w:sz w:val="13"/>
                <w:szCs w:val="13"/>
                <w:b w:val="1"/>
                <w:bCs w:val="1"/>
                <w:color w:val="auto"/>
              </w:rPr>
              <w:t xml:space="preserve">Adjustments </w:t>
            </w:r>
            <w:r>
              <w:rPr>
                <w:rFonts w:ascii="Arial" w:cs="Arial" w:eastAsia="Arial" w:hAnsi="Arial"/>
                <w:sz w:val="21"/>
                <w:szCs w:val="21"/>
                <w:b w:val="1"/>
                <w:bCs w:val="1"/>
                <w:color w:val="auto"/>
                <w:vertAlign w:val="superscript"/>
              </w:rPr>
              <w:t>(2)</w:t>
            </w:r>
          </w:p>
        </w:tc>
        <w:tc>
          <w:tcPr>
            <w:tcW w:w="2320" w:type="dxa"/>
            <w:vAlign w:val="bottom"/>
            <w:tcBorders>
              <w:bottom w:val="single" w:sz="8" w:color="4A7EBB"/>
            </w:tcBorders>
            <w:shd w:val="clear" w:color="auto" w:fill="DBE5F1"/>
          </w:tcPr>
          <w:p>
            <w:pPr>
              <w:jc w:val="center"/>
              <w:ind w:left="148"/>
              <w:spacing w:after="0"/>
              <w:rPr>
                <w:sz w:val="20"/>
                <w:szCs w:val="20"/>
                <w:color w:val="auto"/>
              </w:rPr>
            </w:pPr>
            <w:r>
              <w:rPr>
                <w:rFonts w:ascii="Arial" w:cs="Arial" w:eastAsia="Arial" w:hAnsi="Arial"/>
                <w:sz w:val="14"/>
                <w:szCs w:val="14"/>
                <w:b w:val="1"/>
                <w:bCs w:val="1"/>
                <w:color w:val="auto"/>
              </w:rPr>
              <w:t>Paid to PEO</w:t>
            </w:r>
          </w:p>
        </w:tc>
      </w:tr>
      <w:tr>
        <w:trPr>
          <w:trHeight w:val="155"/>
        </w:trPr>
        <w:tc>
          <w:tcPr>
            <w:tcW w:w="920" w:type="dxa"/>
            <w:vAlign w:val="bottom"/>
            <w:tcBorders>
              <w:bottom w:val="single" w:sz="8" w:color="4A7EBB"/>
            </w:tcBorders>
          </w:tcPr>
          <w:p>
            <w:pPr>
              <w:ind w:left="300"/>
              <w:spacing w:after="0" w:line="155" w:lineRule="exact"/>
              <w:rPr>
                <w:sz w:val="20"/>
                <w:szCs w:val="20"/>
                <w:color w:val="auto"/>
              </w:rPr>
            </w:pPr>
            <w:r>
              <w:rPr>
                <w:rFonts w:ascii="Arial" w:cs="Arial" w:eastAsia="Arial" w:hAnsi="Arial"/>
                <w:sz w:val="14"/>
                <w:szCs w:val="14"/>
                <w:color w:val="auto"/>
              </w:rPr>
              <w:t>2026</w:t>
            </w:r>
          </w:p>
        </w:tc>
        <w:tc>
          <w:tcPr>
            <w:tcW w:w="2340" w:type="dxa"/>
            <w:vAlign w:val="bottom"/>
            <w:tcBorders>
              <w:bottom w:val="single" w:sz="8" w:color="4A7EBB"/>
            </w:tcBorders>
          </w:tcPr>
          <w:p>
            <w:pPr>
              <w:jc w:val="center"/>
              <w:spacing w:after="0" w:line="155" w:lineRule="exact"/>
              <w:rPr>
                <w:sz w:val="20"/>
                <w:szCs w:val="20"/>
                <w:color w:val="auto"/>
              </w:rPr>
            </w:pPr>
            <w:r>
              <w:rPr>
                <w:rFonts w:ascii="Arial" w:cs="Arial" w:eastAsia="Arial" w:hAnsi="Arial"/>
                <w:sz w:val="14"/>
                <w:szCs w:val="14"/>
                <w:color w:val="auto"/>
              </w:rPr>
              <w:t>12,508,253</w:t>
            </w:r>
          </w:p>
        </w:tc>
        <w:tc>
          <w:tcPr>
            <w:tcW w:w="2300" w:type="dxa"/>
            <w:vAlign w:val="bottom"/>
            <w:tcBorders>
              <w:bottom w:val="single" w:sz="8" w:color="4A7EBB"/>
            </w:tcBorders>
          </w:tcPr>
          <w:p>
            <w:pPr>
              <w:jc w:val="center"/>
              <w:ind w:right="9"/>
              <w:spacing w:after="0" w:line="155" w:lineRule="exact"/>
              <w:rPr>
                <w:sz w:val="20"/>
                <w:szCs w:val="20"/>
                <w:color w:val="auto"/>
              </w:rPr>
            </w:pPr>
            <w:r>
              <w:rPr>
                <w:rFonts w:ascii="Arial" w:cs="Arial" w:eastAsia="Arial" w:hAnsi="Arial"/>
                <w:sz w:val="14"/>
                <w:szCs w:val="14"/>
                <w:color w:val="auto"/>
              </w:rPr>
              <w:t>(5,999,976)</w:t>
            </w:r>
          </w:p>
        </w:tc>
        <w:tc>
          <w:tcPr>
            <w:tcW w:w="2040" w:type="dxa"/>
            <w:vAlign w:val="bottom"/>
            <w:tcBorders>
              <w:bottom w:val="single" w:sz="8" w:color="4A7EBB"/>
            </w:tcBorders>
          </w:tcPr>
          <w:p>
            <w:pPr>
              <w:jc w:val="center"/>
              <w:ind w:left="9"/>
              <w:spacing w:after="0" w:line="155" w:lineRule="exact"/>
              <w:rPr>
                <w:sz w:val="20"/>
                <w:szCs w:val="20"/>
                <w:color w:val="auto"/>
              </w:rPr>
            </w:pPr>
            <w:r>
              <w:rPr>
                <w:rFonts w:ascii="Arial" w:cs="Arial" w:eastAsia="Arial" w:hAnsi="Arial"/>
                <w:sz w:val="14"/>
                <w:szCs w:val="14"/>
                <w:color w:val="auto"/>
              </w:rPr>
              <w:t>2,548,844</w:t>
            </w:r>
          </w:p>
        </w:tc>
        <w:tc>
          <w:tcPr>
            <w:tcW w:w="2320" w:type="dxa"/>
            <w:vAlign w:val="bottom"/>
            <w:tcBorders>
              <w:bottom w:val="single" w:sz="8" w:color="4A7EBB"/>
            </w:tcBorders>
          </w:tcPr>
          <w:p>
            <w:pPr>
              <w:jc w:val="center"/>
              <w:ind w:left="168"/>
              <w:spacing w:after="0" w:line="155" w:lineRule="exact"/>
              <w:rPr>
                <w:sz w:val="20"/>
                <w:szCs w:val="20"/>
                <w:color w:val="auto"/>
              </w:rPr>
            </w:pPr>
            <w:r>
              <w:rPr>
                <w:rFonts w:ascii="Arial" w:cs="Arial" w:eastAsia="Arial" w:hAnsi="Arial"/>
                <w:sz w:val="14"/>
                <w:szCs w:val="14"/>
                <w:color w:val="auto"/>
              </w:rPr>
              <w:t>9,057,121</w:t>
            </w:r>
          </w:p>
        </w:tc>
      </w:tr>
      <w:tr>
        <w:trPr>
          <w:trHeight w:val="155"/>
        </w:trPr>
        <w:tc>
          <w:tcPr>
            <w:tcW w:w="920" w:type="dxa"/>
            <w:vAlign w:val="bottom"/>
            <w:tcBorders>
              <w:bottom w:val="single" w:sz="8" w:color="4A7EBB"/>
            </w:tcBorders>
            <w:shd w:val="clear" w:color="auto" w:fill="F2F2F2"/>
          </w:tcPr>
          <w:p>
            <w:pPr>
              <w:ind w:left="300"/>
              <w:spacing w:after="0" w:line="155" w:lineRule="exact"/>
              <w:rPr>
                <w:sz w:val="20"/>
                <w:szCs w:val="20"/>
                <w:color w:val="auto"/>
              </w:rPr>
            </w:pPr>
            <w:r>
              <w:rPr>
                <w:rFonts w:ascii="Arial" w:cs="Arial" w:eastAsia="Arial" w:hAnsi="Arial"/>
                <w:sz w:val="14"/>
                <w:szCs w:val="14"/>
                <w:color w:val="auto"/>
              </w:rPr>
              <w:t>2025</w:t>
            </w:r>
          </w:p>
        </w:tc>
        <w:tc>
          <w:tcPr>
            <w:tcW w:w="2340" w:type="dxa"/>
            <w:vAlign w:val="bottom"/>
            <w:tcBorders>
              <w:bottom w:val="single" w:sz="8" w:color="4A7EBB"/>
            </w:tcBorders>
            <w:shd w:val="clear" w:color="auto" w:fill="F2F2F2"/>
          </w:tcPr>
          <w:p>
            <w:pPr>
              <w:jc w:val="center"/>
              <w:spacing w:after="0" w:line="155" w:lineRule="exact"/>
              <w:rPr>
                <w:sz w:val="20"/>
                <w:szCs w:val="20"/>
                <w:color w:val="auto"/>
              </w:rPr>
            </w:pPr>
            <w:r>
              <w:rPr>
                <w:rFonts w:ascii="Arial" w:cs="Arial" w:eastAsia="Arial" w:hAnsi="Arial"/>
                <w:sz w:val="14"/>
                <w:szCs w:val="14"/>
                <w:color w:val="auto"/>
              </w:rPr>
              <w:t>16,652,646</w:t>
            </w:r>
          </w:p>
        </w:tc>
        <w:tc>
          <w:tcPr>
            <w:tcW w:w="2300" w:type="dxa"/>
            <w:vAlign w:val="bottom"/>
            <w:tcBorders>
              <w:bottom w:val="single" w:sz="8" w:color="4A7EBB"/>
            </w:tcBorders>
            <w:shd w:val="clear" w:color="auto" w:fill="F2F2F2"/>
          </w:tcPr>
          <w:p>
            <w:pPr>
              <w:jc w:val="center"/>
              <w:ind w:right="9"/>
              <w:spacing w:after="0" w:line="155" w:lineRule="exact"/>
              <w:rPr>
                <w:sz w:val="20"/>
                <w:szCs w:val="20"/>
                <w:color w:val="auto"/>
              </w:rPr>
            </w:pPr>
            <w:r>
              <w:rPr>
                <w:rFonts w:ascii="Arial" w:cs="Arial" w:eastAsia="Arial" w:hAnsi="Arial"/>
                <w:sz w:val="14"/>
                <w:szCs w:val="14"/>
                <w:color w:val="auto"/>
              </w:rPr>
              <w:t>(5,999,990)</w:t>
            </w:r>
          </w:p>
        </w:tc>
        <w:tc>
          <w:tcPr>
            <w:tcW w:w="2040" w:type="dxa"/>
            <w:vAlign w:val="bottom"/>
            <w:tcBorders>
              <w:bottom w:val="single" w:sz="8" w:color="4A7EBB"/>
            </w:tcBorders>
            <w:shd w:val="clear" w:color="auto" w:fill="F2F2F2"/>
          </w:tcPr>
          <w:p>
            <w:pPr>
              <w:jc w:val="center"/>
              <w:ind w:left="9"/>
              <w:spacing w:after="0" w:line="155" w:lineRule="exact"/>
              <w:rPr>
                <w:sz w:val="20"/>
                <w:szCs w:val="20"/>
                <w:color w:val="auto"/>
              </w:rPr>
            </w:pPr>
            <w:r>
              <w:rPr>
                <w:rFonts w:ascii="Arial" w:cs="Arial" w:eastAsia="Arial" w:hAnsi="Arial"/>
                <w:sz w:val="14"/>
                <w:szCs w:val="14"/>
                <w:color w:val="auto"/>
              </w:rPr>
              <w:t>3,670,827</w:t>
            </w:r>
          </w:p>
        </w:tc>
        <w:tc>
          <w:tcPr>
            <w:tcW w:w="2320" w:type="dxa"/>
            <w:vAlign w:val="bottom"/>
            <w:tcBorders>
              <w:bottom w:val="single" w:sz="8" w:color="4A7EBB"/>
            </w:tcBorders>
            <w:shd w:val="clear" w:color="auto" w:fill="F2F2F2"/>
          </w:tcPr>
          <w:p>
            <w:pPr>
              <w:jc w:val="center"/>
              <w:ind w:left="168"/>
              <w:spacing w:after="0" w:line="155" w:lineRule="exact"/>
              <w:rPr>
                <w:sz w:val="20"/>
                <w:szCs w:val="20"/>
                <w:color w:val="auto"/>
              </w:rPr>
            </w:pPr>
            <w:r>
              <w:rPr>
                <w:rFonts w:ascii="Arial" w:cs="Arial" w:eastAsia="Arial" w:hAnsi="Arial"/>
                <w:sz w:val="14"/>
                <w:szCs w:val="14"/>
                <w:color w:val="auto"/>
              </w:rPr>
              <w:t>14,323,483</w:t>
            </w:r>
          </w:p>
        </w:tc>
      </w:tr>
      <w:tr>
        <w:trPr>
          <w:trHeight w:val="155"/>
        </w:trPr>
        <w:tc>
          <w:tcPr>
            <w:tcW w:w="920" w:type="dxa"/>
            <w:vAlign w:val="bottom"/>
            <w:tcBorders>
              <w:bottom w:val="single" w:sz="8" w:color="4A7EBB"/>
            </w:tcBorders>
          </w:tcPr>
          <w:p>
            <w:pPr>
              <w:ind w:left="300"/>
              <w:spacing w:after="0" w:line="155" w:lineRule="exact"/>
              <w:rPr>
                <w:sz w:val="20"/>
                <w:szCs w:val="20"/>
                <w:color w:val="auto"/>
              </w:rPr>
            </w:pPr>
            <w:r>
              <w:rPr>
                <w:rFonts w:ascii="Arial" w:cs="Arial" w:eastAsia="Arial" w:hAnsi="Arial"/>
                <w:sz w:val="14"/>
                <w:szCs w:val="14"/>
                <w:color w:val="auto"/>
              </w:rPr>
              <w:t>2024</w:t>
            </w:r>
          </w:p>
        </w:tc>
        <w:tc>
          <w:tcPr>
            <w:tcW w:w="2340" w:type="dxa"/>
            <w:vAlign w:val="bottom"/>
            <w:tcBorders>
              <w:bottom w:val="single" w:sz="8" w:color="4A7EBB"/>
            </w:tcBorders>
          </w:tcPr>
          <w:p>
            <w:pPr>
              <w:jc w:val="center"/>
              <w:spacing w:after="0" w:line="155" w:lineRule="exact"/>
              <w:rPr>
                <w:sz w:val="20"/>
                <w:szCs w:val="20"/>
                <w:color w:val="auto"/>
              </w:rPr>
            </w:pPr>
            <w:r>
              <w:rPr>
                <w:rFonts w:ascii="Arial" w:cs="Arial" w:eastAsia="Arial" w:hAnsi="Arial"/>
                <w:sz w:val="14"/>
                <w:szCs w:val="14"/>
                <w:color w:val="auto"/>
              </w:rPr>
              <w:t>31,431,039</w:t>
            </w:r>
          </w:p>
        </w:tc>
        <w:tc>
          <w:tcPr>
            <w:tcW w:w="2300" w:type="dxa"/>
            <w:vAlign w:val="bottom"/>
            <w:tcBorders>
              <w:bottom w:val="single" w:sz="8" w:color="4A7EBB"/>
            </w:tcBorders>
          </w:tcPr>
          <w:p>
            <w:pPr>
              <w:jc w:val="center"/>
              <w:ind w:right="9"/>
              <w:spacing w:after="0" w:line="155" w:lineRule="exact"/>
              <w:rPr>
                <w:sz w:val="20"/>
                <w:szCs w:val="20"/>
                <w:color w:val="auto"/>
              </w:rPr>
            </w:pPr>
            <w:r>
              <w:rPr>
                <w:rFonts w:ascii="Arial" w:cs="Arial" w:eastAsia="Arial" w:hAnsi="Arial"/>
                <w:sz w:val="14"/>
                <w:szCs w:val="14"/>
                <w:color w:val="auto"/>
              </w:rPr>
              <w:t>(20,709,998)</w:t>
            </w:r>
          </w:p>
        </w:tc>
        <w:tc>
          <w:tcPr>
            <w:tcW w:w="2040" w:type="dxa"/>
            <w:vAlign w:val="bottom"/>
            <w:tcBorders>
              <w:bottom w:val="single" w:sz="8" w:color="4A7EBB"/>
            </w:tcBorders>
          </w:tcPr>
          <w:p>
            <w:pPr>
              <w:jc w:val="center"/>
              <w:ind w:left="9"/>
              <w:spacing w:after="0" w:line="155" w:lineRule="exact"/>
              <w:rPr>
                <w:sz w:val="20"/>
                <w:szCs w:val="20"/>
                <w:color w:val="auto"/>
              </w:rPr>
            </w:pPr>
            <w:r>
              <w:rPr>
                <w:rFonts w:ascii="Arial" w:cs="Arial" w:eastAsia="Arial" w:hAnsi="Arial"/>
                <w:sz w:val="14"/>
                <w:szCs w:val="14"/>
                <w:color w:val="auto"/>
              </w:rPr>
              <w:t>33,584,908</w:t>
            </w:r>
          </w:p>
        </w:tc>
        <w:tc>
          <w:tcPr>
            <w:tcW w:w="2320" w:type="dxa"/>
            <w:vAlign w:val="bottom"/>
            <w:tcBorders>
              <w:bottom w:val="single" w:sz="8" w:color="4A7EBB"/>
            </w:tcBorders>
          </w:tcPr>
          <w:p>
            <w:pPr>
              <w:jc w:val="center"/>
              <w:ind w:left="168"/>
              <w:spacing w:after="0" w:line="155" w:lineRule="exact"/>
              <w:rPr>
                <w:sz w:val="20"/>
                <w:szCs w:val="20"/>
                <w:color w:val="auto"/>
              </w:rPr>
            </w:pPr>
            <w:r>
              <w:rPr>
                <w:rFonts w:ascii="Arial" w:cs="Arial" w:eastAsia="Arial" w:hAnsi="Arial"/>
                <w:sz w:val="14"/>
                <w:szCs w:val="14"/>
                <w:color w:val="auto"/>
              </w:rPr>
              <w:t>44,305,949</w:t>
            </w:r>
          </w:p>
        </w:tc>
      </w:tr>
      <w:tr>
        <w:trPr>
          <w:trHeight w:val="156"/>
        </w:trPr>
        <w:tc>
          <w:tcPr>
            <w:tcW w:w="920" w:type="dxa"/>
            <w:vAlign w:val="bottom"/>
            <w:tcBorders>
              <w:bottom w:val="single" w:sz="8" w:color="4A7EBB"/>
            </w:tcBorders>
            <w:shd w:val="clear" w:color="auto" w:fill="F2F2F2"/>
          </w:tcPr>
          <w:p>
            <w:pPr>
              <w:ind w:left="300"/>
              <w:spacing w:after="0" w:line="155" w:lineRule="exact"/>
              <w:rPr>
                <w:sz w:val="20"/>
                <w:szCs w:val="20"/>
                <w:color w:val="auto"/>
              </w:rPr>
            </w:pPr>
            <w:r>
              <w:rPr>
                <w:rFonts w:ascii="Arial" w:cs="Arial" w:eastAsia="Arial" w:hAnsi="Arial"/>
                <w:sz w:val="14"/>
                <w:szCs w:val="14"/>
                <w:color w:val="auto"/>
              </w:rPr>
              <w:t>2023</w:t>
            </w:r>
          </w:p>
        </w:tc>
        <w:tc>
          <w:tcPr>
            <w:tcW w:w="2340" w:type="dxa"/>
            <w:vAlign w:val="bottom"/>
            <w:tcBorders>
              <w:bottom w:val="single" w:sz="8" w:color="4A7EBB"/>
            </w:tcBorders>
            <w:shd w:val="clear" w:color="auto" w:fill="F2F2F2"/>
          </w:tcPr>
          <w:p>
            <w:pPr>
              <w:jc w:val="center"/>
              <w:spacing w:after="0" w:line="155" w:lineRule="exact"/>
              <w:rPr>
                <w:sz w:val="20"/>
                <w:szCs w:val="20"/>
                <w:color w:val="auto"/>
              </w:rPr>
            </w:pPr>
            <w:r>
              <w:rPr>
                <w:rFonts w:ascii="Arial" w:cs="Arial" w:eastAsia="Arial" w:hAnsi="Arial"/>
                <w:sz w:val="14"/>
                <w:szCs w:val="14"/>
                <w:color w:val="auto"/>
              </w:rPr>
              <w:t>5,790,860</w:t>
            </w:r>
          </w:p>
        </w:tc>
        <w:tc>
          <w:tcPr>
            <w:tcW w:w="2300" w:type="dxa"/>
            <w:vAlign w:val="bottom"/>
            <w:tcBorders>
              <w:bottom w:val="single" w:sz="8" w:color="4A7EBB"/>
            </w:tcBorders>
            <w:shd w:val="clear" w:color="auto" w:fill="F2F2F2"/>
          </w:tcPr>
          <w:p>
            <w:pPr>
              <w:jc w:val="center"/>
              <w:ind w:right="9"/>
              <w:spacing w:after="0" w:line="155" w:lineRule="exact"/>
              <w:rPr>
                <w:sz w:val="20"/>
                <w:szCs w:val="20"/>
                <w:color w:val="auto"/>
              </w:rPr>
            </w:pPr>
            <w:r>
              <w:rPr>
                <w:rFonts w:ascii="Arial" w:cs="Arial" w:eastAsia="Arial" w:hAnsi="Arial"/>
                <w:sz w:val="14"/>
                <w:szCs w:val="14"/>
                <w:color w:val="auto"/>
              </w:rPr>
              <w:t>(4,499,972)</w:t>
            </w:r>
          </w:p>
        </w:tc>
        <w:tc>
          <w:tcPr>
            <w:tcW w:w="2040" w:type="dxa"/>
            <w:vAlign w:val="bottom"/>
            <w:tcBorders>
              <w:bottom w:val="single" w:sz="8" w:color="4A7EBB"/>
            </w:tcBorders>
            <w:shd w:val="clear" w:color="auto" w:fill="F2F2F2"/>
          </w:tcPr>
          <w:p>
            <w:pPr>
              <w:jc w:val="center"/>
              <w:spacing w:after="0" w:line="155" w:lineRule="exact"/>
              <w:rPr>
                <w:sz w:val="20"/>
                <w:szCs w:val="20"/>
                <w:color w:val="auto"/>
              </w:rPr>
            </w:pPr>
            <w:r>
              <w:rPr>
                <w:rFonts w:ascii="Arial" w:cs="Arial" w:eastAsia="Arial" w:hAnsi="Arial"/>
                <w:sz w:val="14"/>
                <w:szCs w:val="14"/>
                <w:color w:val="auto"/>
              </w:rPr>
              <w:t>(4,697,419)</w:t>
            </w:r>
          </w:p>
        </w:tc>
        <w:tc>
          <w:tcPr>
            <w:tcW w:w="2320" w:type="dxa"/>
            <w:vAlign w:val="bottom"/>
            <w:tcBorders>
              <w:bottom w:val="single" w:sz="8" w:color="4A7EBB"/>
            </w:tcBorders>
            <w:shd w:val="clear" w:color="auto" w:fill="F2F2F2"/>
          </w:tcPr>
          <w:p>
            <w:pPr>
              <w:jc w:val="center"/>
              <w:ind w:left="148"/>
              <w:spacing w:after="0" w:line="155" w:lineRule="exact"/>
              <w:rPr>
                <w:sz w:val="20"/>
                <w:szCs w:val="20"/>
                <w:color w:val="auto"/>
              </w:rPr>
            </w:pPr>
            <w:r>
              <w:rPr>
                <w:rFonts w:ascii="Arial" w:cs="Arial" w:eastAsia="Arial" w:hAnsi="Arial"/>
                <w:sz w:val="14"/>
                <w:szCs w:val="14"/>
                <w:color w:val="auto"/>
              </w:rPr>
              <w:t>(3,406,531)</w:t>
            </w:r>
          </w:p>
        </w:tc>
      </w:tr>
      <w:tr>
        <w:trPr>
          <w:trHeight w:val="155"/>
        </w:trPr>
        <w:tc>
          <w:tcPr>
            <w:tcW w:w="920" w:type="dxa"/>
            <w:vAlign w:val="bottom"/>
            <w:tcBorders>
              <w:bottom w:val="single" w:sz="8" w:color="4A7EBB"/>
            </w:tcBorders>
          </w:tcPr>
          <w:p>
            <w:pPr>
              <w:ind w:left="300"/>
              <w:spacing w:after="0" w:line="155" w:lineRule="exact"/>
              <w:rPr>
                <w:sz w:val="20"/>
                <w:szCs w:val="20"/>
                <w:color w:val="auto"/>
              </w:rPr>
            </w:pPr>
            <w:r>
              <w:rPr>
                <w:rFonts w:ascii="Arial" w:cs="Arial" w:eastAsia="Arial" w:hAnsi="Arial"/>
                <w:sz w:val="14"/>
                <w:szCs w:val="14"/>
                <w:color w:val="auto"/>
              </w:rPr>
              <w:t>2022</w:t>
            </w:r>
          </w:p>
        </w:tc>
        <w:tc>
          <w:tcPr>
            <w:tcW w:w="2340" w:type="dxa"/>
            <w:vAlign w:val="bottom"/>
            <w:tcBorders>
              <w:bottom w:val="single" w:sz="8" w:color="4A7EBB"/>
            </w:tcBorders>
          </w:tcPr>
          <w:p>
            <w:pPr>
              <w:jc w:val="center"/>
              <w:spacing w:after="0" w:line="155" w:lineRule="exact"/>
              <w:rPr>
                <w:sz w:val="20"/>
                <w:szCs w:val="20"/>
                <w:color w:val="auto"/>
              </w:rPr>
            </w:pPr>
            <w:r>
              <w:rPr>
                <w:rFonts w:ascii="Arial" w:cs="Arial" w:eastAsia="Arial" w:hAnsi="Arial"/>
                <w:sz w:val="14"/>
                <w:szCs w:val="14"/>
                <w:color w:val="auto"/>
              </w:rPr>
              <w:t>24,942,778</w:t>
            </w:r>
          </w:p>
        </w:tc>
        <w:tc>
          <w:tcPr>
            <w:tcW w:w="2300" w:type="dxa"/>
            <w:vAlign w:val="bottom"/>
            <w:tcBorders>
              <w:bottom w:val="single" w:sz="8" w:color="4A7EBB"/>
            </w:tcBorders>
          </w:tcPr>
          <w:p>
            <w:pPr>
              <w:jc w:val="center"/>
              <w:ind w:right="9"/>
              <w:spacing w:after="0" w:line="155" w:lineRule="exact"/>
              <w:rPr>
                <w:sz w:val="20"/>
                <w:szCs w:val="20"/>
                <w:color w:val="auto"/>
              </w:rPr>
            </w:pPr>
            <w:r>
              <w:rPr>
                <w:rFonts w:ascii="Arial" w:cs="Arial" w:eastAsia="Arial" w:hAnsi="Arial"/>
                <w:sz w:val="14"/>
                <w:szCs w:val="14"/>
                <w:color w:val="auto"/>
              </w:rPr>
              <w:t>(16,167,626)</w:t>
            </w:r>
          </w:p>
        </w:tc>
        <w:tc>
          <w:tcPr>
            <w:tcW w:w="2040" w:type="dxa"/>
            <w:vAlign w:val="bottom"/>
            <w:tcBorders>
              <w:bottom w:val="single" w:sz="8" w:color="4A7EBB"/>
            </w:tcBorders>
          </w:tcPr>
          <w:p>
            <w:pPr>
              <w:jc w:val="center"/>
              <w:ind w:left="9"/>
              <w:spacing w:after="0" w:line="155" w:lineRule="exact"/>
              <w:rPr>
                <w:sz w:val="20"/>
                <w:szCs w:val="20"/>
                <w:color w:val="auto"/>
              </w:rPr>
            </w:pPr>
            <w:r>
              <w:rPr>
                <w:rFonts w:ascii="Arial" w:cs="Arial" w:eastAsia="Arial" w:hAnsi="Arial"/>
                <w:sz w:val="14"/>
                <w:szCs w:val="14"/>
                <w:color w:val="auto"/>
              </w:rPr>
              <w:t>17,515,545</w:t>
            </w:r>
          </w:p>
        </w:tc>
        <w:tc>
          <w:tcPr>
            <w:tcW w:w="2320" w:type="dxa"/>
            <w:vAlign w:val="bottom"/>
            <w:tcBorders>
              <w:bottom w:val="single" w:sz="8" w:color="4A7EBB"/>
            </w:tcBorders>
          </w:tcPr>
          <w:p>
            <w:pPr>
              <w:jc w:val="center"/>
              <w:ind w:left="168"/>
              <w:spacing w:after="0" w:line="155" w:lineRule="exact"/>
              <w:rPr>
                <w:sz w:val="20"/>
                <w:szCs w:val="20"/>
                <w:color w:val="auto"/>
              </w:rPr>
            </w:pPr>
            <w:r>
              <w:rPr>
                <w:rFonts w:ascii="Arial" w:cs="Arial" w:eastAsia="Arial" w:hAnsi="Arial"/>
                <w:sz w:val="14"/>
                <w:szCs w:val="14"/>
                <w:color w:val="auto"/>
              </w:rPr>
              <w:t>26,290,697</w:t>
            </w:r>
          </w:p>
        </w:tc>
      </w:tr>
    </w:tbl>
    <w:p>
      <w:pPr>
        <w:spacing w:after="0" w:line="175" w:lineRule="exact"/>
        <w:rPr>
          <w:sz w:val="20"/>
          <w:szCs w:val="20"/>
          <w:color w:val="auto"/>
        </w:rPr>
      </w:pPr>
    </w:p>
    <w:p>
      <w:pPr>
        <w:ind w:left="340" w:hanging="332"/>
        <w:spacing w:after="0" w:line="263" w:lineRule="auto"/>
        <w:tabs>
          <w:tab w:leader="none" w:pos="340" w:val="left"/>
        </w:tabs>
        <w:numPr>
          <w:ilvl w:val="0"/>
          <w:numId w:val="93"/>
        </w:numPr>
        <w:rPr>
          <w:rFonts w:ascii="Arial" w:cs="Arial" w:eastAsia="Arial" w:hAnsi="Arial"/>
          <w:sz w:val="16"/>
          <w:szCs w:val="16"/>
          <w:color w:val="auto"/>
        </w:rPr>
      </w:pPr>
      <w:r>
        <w:rPr>
          <w:rFonts w:ascii="Arial" w:cs="Arial" w:eastAsia="Arial" w:hAnsi="Arial"/>
          <w:sz w:val="16"/>
          <w:szCs w:val="16"/>
          <w:color w:val="auto"/>
        </w:rPr>
        <w:t>Represents the total of the amounts reported in the Stock Awards column of the Summary Compensation Table for the applicable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480695</wp:posOffset>
            </wp:positionV>
            <wp:extent cx="629221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7560"/>
        <w:spacing w:after="0"/>
        <w:rPr>
          <w:sz w:val="20"/>
          <w:szCs w:val="20"/>
          <w:color w:val="auto"/>
        </w:rPr>
      </w:pPr>
      <w:r>
        <w:rPr>
          <w:rFonts w:ascii="Arial" w:cs="Arial" w:eastAsia="Arial" w:hAnsi="Arial"/>
          <w:sz w:val="16"/>
          <w:szCs w:val="16"/>
          <w:color w:val="auto"/>
        </w:rPr>
        <w:t xml:space="preserve">2026 PROXY STATEMENT </w:t>
      </w:r>
      <w:r>
        <w:rPr>
          <w:rFonts w:ascii="Arial" w:cs="Arial" w:eastAsia="Arial" w:hAnsi="Arial"/>
          <w:sz w:val="19"/>
          <w:szCs w:val="19"/>
          <w:color w:val="808080"/>
        </w:rPr>
        <w:t>/</w:t>
      </w:r>
      <w:r>
        <w:rPr>
          <w:rFonts w:ascii="Arial" w:cs="Arial" w:eastAsia="Arial" w:hAnsi="Arial"/>
          <w:sz w:val="16"/>
          <w:szCs w:val="16"/>
          <w:color w:val="auto"/>
        </w:rPr>
        <w:t xml:space="preserve"> </w:t>
      </w:r>
      <w:r>
        <w:rPr>
          <w:rFonts w:ascii="Arial" w:cs="Arial" w:eastAsia="Arial" w:hAnsi="Arial"/>
          <w:sz w:val="19"/>
          <w:szCs w:val="19"/>
          <w:b w:val="1"/>
          <w:bCs w:val="1"/>
          <w:color w:val="4A7EBB"/>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356235</wp:posOffset>
            </wp:positionV>
            <wp:extent cx="6292215" cy="254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17780</wp:posOffset>
            </wp:positionV>
            <wp:extent cx="624903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249035" cy="8255"/>
                    </a:xfrm>
                    <a:prstGeom prst="rect">
                      <a:avLst/>
                    </a:prstGeom>
                    <a:noFill/>
                  </pic:spPr>
                </pic:pic>
              </a:graphicData>
            </a:graphic>
          </wp:anchor>
        </w:drawing>
      </w:r>
    </w:p>
    <w:p>
      <w:pPr>
        <w:spacing w:after="0" w:line="223" w:lineRule="exact"/>
        <w:rPr>
          <w:sz w:val="20"/>
          <w:szCs w:val="20"/>
          <w:color w:val="auto"/>
        </w:rPr>
      </w:pPr>
    </w:p>
    <w:p>
      <w:pPr>
        <w:jc w:val="both"/>
        <w:ind w:left="340" w:hanging="332"/>
        <w:spacing w:after="0" w:line="266" w:lineRule="auto"/>
        <w:tabs>
          <w:tab w:leader="none" w:pos="34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fair value of the of the equity component of the CAP calculation was determined in accordance with SEC methodology for this disclosure. Unlike the Summary Compensation Table, which includes a calculation of the grant date value of equity awards granted during the applicable year, the CAP table includes a calculation of equity fair value as follows:</w:t>
      </w:r>
    </w:p>
    <w:p>
      <w:pPr>
        <w:spacing w:after="0" w:line="63" w:lineRule="exact"/>
        <w:rPr>
          <w:rFonts w:ascii="Arial" w:cs="Arial" w:eastAsia="Arial" w:hAnsi="Arial"/>
          <w:sz w:val="16"/>
          <w:szCs w:val="16"/>
          <w:color w:val="auto"/>
        </w:rPr>
      </w:pPr>
    </w:p>
    <w:p>
      <w:pPr>
        <w:ind w:left="980" w:hanging="324"/>
        <w:spacing w:after="0"/>
        <w:tabs>
          <w:tab w:leader="none" w:pos="980" w:val="left"/>
        </w:tabs>
        <w:numPr>
          <w:ilvl w:val="1"/>
          <w:numId w:val="94"/>
        </w:numPr>
        <w:rPr>
          <w:rFonts w:ascii="Arial" w:cs="Arial" w:eastAsia="Arial" w:hAnsi="Arial"/>
          <w:sz w:val="16"/>
          <w:szCs w:val="16"/>
          <w:color w:val="auto"/>
        </w:rPr>
      </w:pPr>
      <w:r>
        <w:rPr>
          <w:rFonts w:ascii="Arial" w:cs="Arial" w:eastAsia="Arial" w:hAnsi="Arial"/>
          <w:sz w:val="16"/>
          <w:szCs w:val="16"/>
          <w:color w:val="auto"/>
        </w:rPr>
        <w:t>for awards granted during the applicable year (and which are still outstanding), the year-end value; plus</w:t>
      </w:r>
    </w:p>
    <w:p>
      <w:pPr>
        <w:spacing w:after="0" w:line="113" w:lineRule="exact"/>
        <w:rPr>
          <w:rFonts w:ascii="Arial" w:cs="Arial" w:eastAsia="Arial" w:hAnsi="Arial"/>
          <w:sz w:val="16"/>
          <w:szCs w:val="16"/>
          <w:color w:val="auto"/>
        </w:rPr>
      </w:pPr>
    </w:p>
    <w:p>
      <w:pPr>
        <w:ind w:left="980" w:right="20" w:hanging="324"/>
        <w:spacing w:after="0" w:line="286" w:lineRule="auto"/>
        <w:tabs>
          <w:tab w:leader="none" w:pos="980" w:val="left"/>
        </w:tabs>
        <w:numPr>
          <w:ilvl w:val="1"/>
          <w:numId w:val="94"/>
        </w:numPr>
        <w:rPr>
          <w:rFonts w:ascii="Arial" w:cs="Arial" w:eastAsia="Arial" w:hAnsi="Arial"/>
          <w:sz w:val="16"/>
          <w:szCs w:val="16"/>
          <w:color w:val="auto"/>
        </w:rPr>
      </w:pPr>
      <w:r>
        <w:rPr>
          <w:rFonts w:ascii="Arial" w:cs="Arial" w:eastAsia="Arial" w:hAnsi="Arial"/>
          <w:sz w:val="16"/>
          <w:szCs w:val="16"/>
          <w:color w:val="auto"/>
        </w:rPr>
        <w:t>for awards granted during prior years that were still outstanding as of the applicable year-end, the change in value as of the applicable year-end compared against the prior year-end; plus</w:t>
      </w:r>
    </w:p>
    <w:p>
      <w:pPr>
        <w:spacing w:after="0" w:line="47" w:lineRule="exact"/>
        <w:rPr>
          <w:rFonts w:ascii="Arial" w:cs="Arial" w:eastAsia="Arial" w:hAnsi="Arial"/>
          <w:sz w:val="16"/>
          <w:szCs w:val="16"/>
          <w:color w:val="auto"/>
        </w:rPr>
      </w:pPr>
    </w:p>
    <w:p>
      <w:pPr>
        <w:ind w:left="980" w:hanging="324"/>
        <w:spacing w:after="0"/>
        <w:tabs>
          <w:tab w:leader="none" w:pos="980" w:val="left"/>
        </w:tabs>
        <w:numPr>
          <w:ilvl w:val="1"/>
          <w:numId w:val="94"/>
        </w:numPr>
        <w:rPr>
          <w:rFonts w:ascii="Arial" w:cs="Arial" w:eastAsia="Arial" w:hAnsi="Arial"/>
          <w:sz w:val="16"/>
          <w:szCs w:val="16"/>
          <w:color w:val="auto"/>
        </w:rPr>
      </w:pPr>
      <w:r>
        <w:rPr>
          <w:rFonts w:ascii="Arial" w:cs="Arial" w:eastAsia="Arial" w:hAnsi="Arial"/>
          <w:sz w:val="16"/>
          <w:szCs w:val="16"/>
          <w:color w:val="auto"/>
        </w:rPr>
        <w:t>for any awards granted in the applicable year that vested during the applicable year, the value as of the vesting date; plus</w:t>
      </w:r>
    </w:p>
    <w:p>
      <w:pPr>
        <w:spacing w:after="0" w:line="113" w:lineRule="exact"/>
        <w:rPr>
          <w:rFonts w:ascii="Arial" w:cs="Arial" w:eastAsia="Arial" w:hAnsi="Arial"/>
          <w:sz w:val="16"/>
          <w:szCs w:val="16"/>
          <w:color w:val="auto"/>
        </w:rPr>
      </w:pPr>
    </w:p>
    <w:p>
      <w:pPr>
        <w:ind w:left="980" w:hanging="324"/>
        <w:spacing w:after="0" w:line="286" w:lineRule="auto"/>
        <w:tabs>
          <w:tab w:leader="none" w:pos="980" w:val="left"/>
        </w:tabs>
        <w:numPr>
          <w:ilvl w:val="1"/>
          <w:numId w:val="94"/>
        </w:numPr>
        <w:rPr>
          <w:rFonts w:ascii="Arial" w:cs="Arial" w:eastAsia="Arial" w:hAnsi="Arial"/>
          <w:sz w:val="16"/>
          <w:szCs w:val="16"/>
          <w:color w:val="auto"/>
        </w:rPr>
      </w:pPr>
      <w:r>
        <w:rPr>
          <w:rFonts w:ascii="Arial" w:cs="Arial" w:eastAsia="Arial" w:hAnsi="Arial"/>
          <w:sz w:val="16"/>
          <w:szCs w:val="16"/>
          <w:color w:val="auto"/>
        </w:rPr>
        <w:t>for awards granted in prior years that vested during the applicable year, the change in value as of the vesting date compared against the prior year-end; minus</w:t>
      </w:r>
    </w:p>
    <w:p>
      <w:pPr>
        <w:spacing w:after="0" w:line="47" w:lineRule="exact"/>
        <w:rPr>
          <w:rFonts w:ascii="Arial" w:cs="Arial" w:eastAsia="Arial" w:hAnsi="Arial"/>
          <w:sz w:val="16"/>
          <w:szCs w:val="16"/>
          <w:color w:val="auto"/>
        </w:rPr>
      </w:pPr>
    </w:p>
    <w:p>
      <w:pPr>
        <w:ind w:left="980" w:hanging="324"/>
        <w:spacing w:after="0"/>
        <w:tabs>
          <w:tab w:leader="none" w:pos="980" w:val="left"/>
        </w:tabs>
        <w:numPr>
          <w:ilvl w:val="1"/>
          <w:numId w:val="94"/>
        </w:numPr>
        <w:rPr>
          <w:rFonts w:ascii="Arial" w:cs="Arial" w:eastAsia="Arial" w:hAnsi="Arial"/>
          <w:sz w:val="16"/>
          <w:szCs w:val="16"/>
          <w:color w:val="auto"/>
        </w:rPr>
      </w:pPr>
      <w:r>
        <w:rPr>
          <w:rFonts w:ascii="Arial" w:cs="Arial" w:eastAsia="Arial" w:hAnsi="Arial"/>
          <w:sz w:val="16"/>
          <w:szCs w:val="16"/>
          <w:color w:val="auto"/>
        </w:rPr>
        <w:t>for awards granted in prior years that were forfeited during the applicable year, the value as of the prior year-end.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800" w:type="dxa"/>
            <w:vAlign w:val="bottom"/>
            <w:tcBorders>
              <w:top w:val="single" w:sz="8" w:color="4A7EBB"/>
            </w:tcBorders>
            <w:shd w:val="clear" w:color="auto" w:fill="DBE5F1"/>
          </w:tcPr>
          <w:p>
            <w:pPr>
              <w:spacing w:after="0"/>
              <w:rPr>
                <w:sz w:val="15"/>
                <w:szCs w:val="15"/>
                <w:color w:val="auto"/>
              </w:rPr>
            </w:pPr>
          </w:p>
        </w:tc>
        <w:tc>
          <w:tcPr>
            <w:tcW w:w="240" w:type="dxa"/>
            <w:vAlign w:val="bottom"/>
            <w:tcBorders>
              <w:top w:val="single" w:sz="8" w:color="4A7EBB"/>
            </w:tcBorders>
            <w:shd w:val="clear" w:color="auto" w:fill="DBE5F1"/>
          </w:tcPr>
          <w:p>
            <w:pPr>
              <w:ind w:left="180"/>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4A7EBB"/>
            </w:tcBorders>
            <w:shd w:val="clear" w:color="auto" w:fill="DBE5F1"/>
          </w:tcPr>
          <w:p>
            <w:pPr>
              <w:jc w:val="center"/>
              <w:spacing w:after="0"/>
              <w:rPr>
                <w:sz w:val="20"/>
                <w:szCs w:val="20"/>
                <w:color w:val="auto"/>
              </w:rPr>
            </w:pPr>
            <w:r>
              <w:rPr>
                <w:rFonts w:ascii="Arial" w:cs="Arial" w:eastAsia="Arial" w:hAnsi="Arial"/>
                <w:sz w:val="14"/>
                <w:szCs w:val="14"/>
                <w:b w:val="1"/>
                <w:bCs w:val="1"/>
                <w:color w:val="auto"/>
              </w:rPr>
              <w:t>(a)</w:t>
            </w:r>
          </w:p>
        </w:tc>
        <w:tc>
          <w:tcPr>
            <w:tcW w:w="280" w:type="dxa"/>
            <w:vAlign w:val="bottom"/>
            <w:tcBorders>
              <w:top w:val="single" w:sz="8" w:color="4A7EBB"/>
            </w:tcBorders>
            <w:shd w:val="clear" w:color="auto" w:fill="DBE5F1"/>
          </w:tcPr>
          <w:p>
            <w:pPr>
              <w:ind w:left="180"/>
              <w:spacing w:after="0"/>
              <w:rPr>
                <w:sz w:val="20"/>
                <w:szCs w:val="20"/>
                <w:color w:val="auto"/>
              </w:rPr>
            </w:pPr>
            <w:r>
              <w:rPr>
                <w:rFonts w:ascii="Arial" w:cs="Arial" w:eastAsia="Arial" w:hAnsi="Arial"/>
                <w:sz w:val="14"/>
                <w:szCs w:val="14"/>
                <w:b w:val="1"/>
                <w:bCs w:val="1"/>
                <w:color w:val="auto"/>
              </w:rPr>
              <w:t>​</w:t>
            </w:r>
          </w:p>
        </w:tc>
        <w:tc>
          <w:tcPr>
            <w:tcW w:w="1400" w:type="dxa"/>
            <w:vAlign w:val="bottom"/>
            <w:tcBorders>
              <w:top w:val="single" w:sz="8" w:color="4A7EBB"/>
            </w:tcBorders>
            <w:shd w:val="clear" w:color="auto" w:fill="DBE5F1"/>
          </w:tcPr>
          <w:p>
            <w:pPr>
              <w:jc w:val="center"/>
              <w:ind w:right="28"/>
              <w:spacing w:after="0"/>
              <w:rPr>
                <w:sz w:val="20"/>
                <w:szCs w:val="20"/>
                <w:color w:val="auto"/>
              </w:rPr>
            </w:pPr>
            <w:r>
              <w:rPr>
                <w:rFonts w:ascii="Arial" w:cs="Arial" w:eastAsia="Arial" w:hAnsi="Arial"/>
                <w:sz w:val="14"/>
                <w:szCs w:val="14"/>
                <w:b w:val="1"/>
                <w:bCs w:val="1"/>
                <w:color w:val="auto"/>
              </w:rPr>
              <w:t>(b)</w:t>
            </w:r>
          </w:p>
        </w:tc>
        <w:tc>
          <w:tcPr>
            <w:tcW w:w="300" w:type="dxa"/>
            <w:vAlign w:val="bottom"/>
            <w:tcBorders>
              <w:top w:val="single" w:sz="8" w:color="4A7EBB"/>
            </w:tcBorders>
            <w:shd w:val="clear" w:color="auto" w:fill="DBE5F1"/>
          </w:tcPr>
          <w:p>
            <w:pPr>
              <w:ind w:left="180"/>
              <w:spacing w:after="0"/>
              <w:rPr>
                <w:sz w:val="20"/>
                <w:szCs w:val="20"/>
                <w:color w:val="auto"/>
              </w:rPr>
            </w:pPr>
            <w:r>
              <w:rPr>
                <w:rFonts w:ascii="Arial" w:cs="Arial" w:eastAsia="Arial" w:hAnsi="Arial"/>
                <w:sz w:val="14"/>
                <w:szCs w:val="14"/>
                <w:b w:val="1"/>
                <w:bCs w:val="1"/>
                <w:color w:val="auto"/>
              </w:rPr>
              <w:t>​</w:t>
            </w:r>
          </w:p>
        </w:tc>
        <w:tc>
          <w:tcPr>
            <w:tcW w:w="1380" w:type="dxa"/>
            <w:vAlign w:val="bottom"/>
            <w:tcBorders>
              <w:top w:val="single" w:sz="8" w:color="4A7EBB"/>
            </w:tcBorders>
            <w:shd w:val="clear" w:color="auto" w:fill="DBE5F1"/>
          </w:tcPr>
          <w:p>
            <w:pPr>
              <w:jc w:val="center"/>
              <w:ind w:right="48"/>
              <w:spacing w:after="0"/>
              <w:rPr>
                <w:sz w:val="20"/>
                <w:szCs w:val="20"/>
                <w:color w:val="auto"/>
              </w:rPr>
            </w:pPr>
            <w:r>
              <w:rPr>
                <w:rFonts w:ascii="Arial" w:cs="Arial" w:eastAsia="Arial" w:hAnsi="Arial"/>
                <w:sz w:val="14"/>
                <w:szCs w:val="14"/>
                <w:b w:val="1"/>
                <w:bCs w:val="1"/>
                <w:color w:val="auto"/>
              </w:rPr>
              <w:t>(c)</w:t>
            </w:r>
          </w:p>
        </w:tc>
        <w:tc>
          <w:tcPr>
            <w:tcW w:w="320" w:type="dxa"/>
            <w:vAlign w:val="bottom"/>
            <w:tcBorders>
              <w:top w:val="single" w:sz="8" w:color="4A7EBB"/>
            </w:tcBorders>
            <w:shd w:val="clear" w:color="auto" w:fill="DBE5F1"/>
          </w:tcPr>
          <w:p>
            <w:pPr>
              <w:ind w:left="180"/>
              <w:spacing w:after="0"/>
              <w:rPr>
                <w:sz w:val="20"/>
                <w:szCs w:val="20"/>
                <w:color w:val="auto"/>
              </w:rPr>
            </w:pPr>
            <w:r>
              <w:rPr>
                <w:rFonts w:ascii="Arial" w:cs="Arial" w:eastAsia="Arial" w:hAnsi="Arial"/>
                <w:sz w:val="14"/>
                <w:szCs w:val="14"/>
                <w:b w:val="1"/>
                <w:bCs w:val="1"/>
                <w:color w:val="auto"/>
              </w:rPr>
              <w:t>​</w:t>
            </w:r>
          </w:p>
        </w:tc>
        <w:tc>
          <w:tcPr>
            <w:tcW w:w="1420" w:type="dxa"/>
            <w:vAlign w:val="bottom"/>
            <w:tcBorders>
              <w:top w:val="single" w:sz="8" w:color="4A7EBB"/>
            </w:tcBorders>
            <w:shd w:val="clear" w:color="auto" w:fill="DBE5F1"/>
          </w:tcPr>
          <w:p>
            <w:pPr>
              <w:jc w:val="center"/>
              <w:ind w:right="68"/>
              <w:spacing w:after="0"/>
              <w:rPr>
                <w:sz w:val="20"/>
                <w:szCs w:val="20"/>
                <w:color w:val="auto"/>
              </w:rPr>
            </w:pPr>
            <w:r>
              <w:rPr>
                <w:rFonts w:ascii="Arial" w:cs="Arial" w:eastAsia="Arial" w:hAnsi="Arial"/>
                <w:sz w:val="14"/>
                <w:szCs w:val="14"/>
                <w:b w:val="1"/>
                <w:bCs w:val="1"/>
                <w:color w:val="auto"/>
              </w:rPr>
              <w:t>(d)</w:t>
            </w:r>
          </w:p>
        </w:tc>
        <w:tc>
          <w:tcPr>
            <w:tcW w:w="240" w:type="dxa"/>
            <w:vAlign w:val="bottom"/>
            <w:tcBorders>
              <w:top w:val="single" w:sz="8" w:color="4A7EBB"/>
            </w:tcBorders>
            <w:shd w:val="clear" w:color="auto" w:fill="DBE5F1"/>
          </w:tcPr>
          <w:p>
            <w:pPr>
              <w:ind w:left="180"/>
              <w:spacing w:after="0"/>
              <w:rPr>
                <w:sz w:val="20"/>
                <w:szCs w:val="20"/>
                <w:color w:val="auto"/>
              </w:rPr>
            </w:pPr>
            <w:r>
              <w:rPr>
                <w:rFonts w:ascii="Arial" w:cs="Arial" w:eastAsia="Arial" w:hAnsi="Arial"/>
                <w:sz w:val="14"/>
                <w:szCs w:val="14"/>
                <w:b w:val="1"/>
                <w:bCs w:val="1"/>
                <w:color w:val="auto"/>
              </w:rPr>
              <w:t>​</w:t>
            </w:r>
          </w:p>
        </w:tc>
        <w:tc>
          <w:tcPr>
            <w:tcW w:w="1140" w:type="dxa"/>
            <w:vAlign w:val="bottom"/>
            <w:tcBorders>
              <w:top w:val="single" w:sz="8" w:color="4A7EBB"/>
            </w:tcBorders>
            <w:shd w:val="clear" w:color="auto" w:fill="DBE5F1"/>
          </w:tcPr>
          <w:p>
            <w:pPr>
              <w:jc w:val="center"/>
              <w:ind w:right="48"/>
              <w:spacing w:after="0"/>
              <w:rPr>
                <w:sz w:val="20"/>
                <w:szCs w:val="20"/>
                <w:color w:val="auto"/>
              </w:rPr>
            </w:pPr>
            <w:r>
              <w:rPr>
                <w:rFonts w:ascii="Arial" w:cs="Arial" w:eastAsia="Arial" w:hAnsi="Arial"/>
                <w:sz w:val="14"/>
                <w:szCs w:val="14"/>
                <w:b w:val="1"/>
                <w:bCs w:val="1"/>
                <w:color w:val="auto"/>
              </w:rPr>
              <w:t>(e)</w:t>
            </w:r>
          </w:p>
        </w:tc>
        <w:tc>
          <w:tcPr>
            <w:tcW w:w="1300" w:type="dxa"/>
            <w:vAlign w:val="bottom"/>
            <w:tcBorders>
              <w:top w:val="single" w:sz="8" w:color="4A7EBB"/>
            </w:tcBorders>
            <w:shd w:val="clear" w:color="auto" w:fill="DBE5F1"/>
          </w:tcPr>
          <w:p>
            <w:pPr>
              <w:ind w:left="120"/>
              <w:spacing w:after="0"/>
              <w:rPr>
                <w:sz w:val="20"/>
                <w:szCs w:val="20"/>
                <w:color w:val="auto"/>
              </w:rPr>
            </w:pPr>
            <w:r>
              <w:rPr>
                <w:rFonts w:ascii="Arial" w:cs="Arial" w:eastAsia="Arial" w:hAnsi="Arial"/>
                <w:sz w:val="14"/>
                <w:szCs w:val="14"/>
                <w:b w:val="1"/>
                <w:bCs w:val="1"/>
                <w:color w:val="auto"/>
              </w:rPr>
              <w:t>​</w:t>
            </w:r>
          </w:p>
        </w:tc>
      </w:tr>
      <w:tr>
        <w:trPr>
          <w:trHeight w:val="324"/>
        </w:trPr>
        <w:tc>
          <w:tcPr>
            <w:tcW w:w="20" w:type="dxa"/>
            <w:vAlign w:val="bottom"/>
          </w:tcPr>
          <w:p>
            <w:pPr>
              <w:spacing w:after="0"/>
              <w:rPr>
                <w:sz w:val="24"/>
                <w:szCs w:val="24"/>
                <w:color w:val="auto"/>
              </w:rPr>
            </w:pPr>
          </w:p>
        </w:tc>
        <w:tc>
          <w:tcPr>
            <w:tcW w:w="800" w:type="dxa"/>
            <w:vAlign w:val="bottom"/>
            <w:shd w:val="clear" w:color="auto" w:fill="DBE5F1"/>
          </w:tcPr>
          <w:p>
            <w:pPr>
              <w:spacing w:after="0"/>
              <w:rPr>
                <w:sz w:val="20"/>
                <w:szCs w:val="20"/>
                <w:color w:val="auto"/>
              </w:rPr>
            </w:pPr>
            <w:r>
              <w:rPr>
                <w:rFonts w:ascii="Arial" w:cs="Arial" w:eastAsia="Arial" w:hAnsi="Arial"/>
                <w:sz w:val="14"/>
                <w:szCs w:val="14"/>
                <w:b w:val="1"/>
                <w:bCs w:val="1"/>
                <w:color w:val="auto"/>
              </w:rPr>
              <w:t>PEO</w:t>
            </w:r>
          </w:p>
        </w:tc>
        <w:tc>
          <w:tcPr>
            <w:tcW w:w="240" w:type="dxa"/>
            <w:vAlign w:val="bottom"/>
            <w:shd w:val="clear" w:color="auto" w:fill="DBE5F1"/>
          </w:tcPr>
          <w:p>
            <w:pPr>
              <w:spacing w:after="0"/>
              <w:rPr>
                <w:sz w:val="24"/>
                <w:szCs w:val="24"/>
                <w:color w:val="auto"/>
              </w:rPr>
            </w:pPr>
          </w:p>
        </w:tc>
        <w:tc>
          <w:tcPr>
            <w:tcW w:w="1080" w:type="dxa"/>
            <w:vAlign w:val="bottom"/>
            <w:shd w:val="clear" w:color="auto" w:fill="DBE5F1"/>
          </w:tcPr>
          <w:p>
            <w:pPr>
              <w:spacing w:after="0"/>
              <w:rPr>
                <w:sz w:val="24"/>
                <w:szCs w:val="24"/>
                <w:color w:val="auto"/>
              </w:rPr>
            </w:pPr>
          </w:p>
        </w:tc>
        <w:tc>
          <w:tcPr>
            <w:tcW w:w="280" w:type="dxa"/>
            <w:vAlign w:val="bottom"/>
            <w:shd w:val="clear" w:color="auto" w:fill="DBE5F1"/>
          </w:tcPr>
          <w:p>
            <w:pPr>
              <w:spacing w:after="0"/>
              <w:rPr>
                <w:sz w:val="24"/>
                <w:szCs w:val="24"/>
                <w:color w:val="auto"/>
              </w:rPr>
            </w:pPr>
          </w:p>
        </w:tc>
        <w:tc>
          <w:tcPr>
            <w:tcW w:w="1400" w:type="dxa"/>
            <w:vAlign w:val="bottom"/>
            <w:shd w:val="clear" w:color="auto" w:fill="DBE5F1"/>
          </w:tcPr>
          <w:p>
            <w:pPr>
              <w:spacing w:after="0"/>
              <w:rPr>
                <w:sz w:val="24"/>
                <w:szCs w:val="24"/>
                <w:color w:val="auto"/>
              </w:rPr>
            </w:pPr>
          </w:p>
        </w:tc>
        <w:tc>
          <w:tcPr>
            <w:tcW w:w="300" w:type="dxa"/>
            <w:vAlign w:val="bottom"/>
            <w:shd w:val="clear" w:color="auto" w:fill="DBE5F1"/>
          </w:tcPr>
          <w:p>
            <w:pPr>
              <w:spacing w:after="0"/>
              <w:rPr>
                <w:sz w:val="24"/>
                <w:szCs w:val="24"/>
                <w:color w:val="auto"/>
              </w:rPr>
            </w:pPr>
          </w:p>
        </w:tc>
        <w:tc>
          <w:tcPr>
            <w:tcW w:w="1380" w:type="dxa"/>
            <w:vAlign w:val="bottom"/>
            <w:shd w:val="clear" w:color="auto" w:fill="DBE5F1"/>
          </w:tcPr>
          <w:p>
            <w:pPr>
              <w:spacing w:after="0"/>
              <w:rPr>
                <w:sz w:val="24"/>
                <w:szCs w:val="24"/>
                <w:color w:val="auto"/>
              </w:rPr>
            </w:pPr>
          </w:p>
        </w:tc>
        <w:tc>
          <w:tcPr>
            <w:tcW w:w="320" w:type="dxa"/>
            <w:vAlign w:val="bottom"/>
            <w:shd w:val="clear" w:color="auto" w:fill="DBE5F1"/>
          </w:tcPr>
          <w:p>
            <w:pPr>
              <w:spacing w:after="0"/>
              <w:rPr>
                <w:sz w:val="24"/>
                <w:szCs w:val="24"/>
                <w:color w:val="auto"/>
              </w:rPr>
            </w:pPr>
          </w:p>
        </w:tc>
        <w:tc>
          <w:tcPr>
            <w:tcW w:w="1420" w:type="dxa"/>
            <w:vAlign w:val="bottom"/>
            <w:shd w:val="clear" w:color="auto" w:fill="DBE5F1"/>
          </w:tcPr>
          <w:p>
            <w:pPr>
              <w:jc w:val="center"/>
              <w:ind w:right="68"/>
              <w:spacing w:after="0"/>
              <w:rPr>
                <w:sz w:val="20"/>
                <w:szCs w:val="20"/>
                <w:color w:val="auto"/>
              </w:rPr>
            </w:pPr>
            <w:r>
              <w:rPr>
                <w:rFonts w:ascii="Arial" w:cs="Arial" w:eastAsia="Arial" w:hAnsi="Arial"/>
                <w:sz w:val="14"/>
                <w:szCs w:val="14"/>
                <w:b w:val="1"/>
                <w:bCs w:val="1"/>
                <w:color w:val="auto"/>
              </w:rPr>
              <w:t>Year over Year</w:t>
            </w:r>
          </w:p>
        </w:tc>
        <w:tc>
          <w:tcPr>
            <w:tcW w:w="240" w:type="dxa"/>
            <w:vAlign w:val="bottom"/>
            <w:shd w:val="clear" w:color="auto" w:fill="DBE5F1"/>
          </w:tcPr>
          <w:p>
            <w:pPr>
              <w:spacing w:after="0"/>
              <w:rPr>
                <w:sz w:val="24"/>
                <w:szCs w:val="24"/>
                <w:color w:val="auto"/>
              </w:rPr>
            </w:pPr>
          </w:p>
        </w:tc>
        <w:tc>
          <w:tcPr>
            <w:tcW w:w="1140" w:type="dxa"/>
            <w:vAlign w:val="bottom"/>
            <w:shd w:val="clear" w:color="auto" w:fill="DBE5F1"/>
          </w:tcPr>
          <w:p>
            <w:pPr>
              <w:jc w:val="center"/>
              <w:ind w:right="48"/>
              <w:spacing w:after="0"/>
              <w:rPr>
                <w:sz w:val="20"/>
                <w:szCs w:val="20"/>
                <w:color w:val="auto"/>
              </w:rPr>
            </w:pPr>
            <w:r>
              <w:rPr>
                <w:rFonts w:ascii="Arial" w:cs="Arial" w:eastAsia="Arial" w:hAnsi="Arial"/>
                <w:sz w:val="14"/>
                <w:szCs w:val="14"/>
                <w:b w:val="1"/>
                <w:bCs w:val="1"/>
                <w:color w:val="auto"/>
              </w:rPr>
              <w:t>Fair Value at</w:t>
            </w:r>
          </w:p>
        </w:tc>
        <w:tc>
          <w:tcPr>
            <w:tcW w:w="1300" w:type="dxa"/>
            <w:vAlign w:val="bottom"/>
            <w:shd w:val="clear" w:color="auto" w:fill="DBE5F1"/>
          </w:tcPr>
          <w:p>
            <w:pPr>
              <w:spacing w:after="0"/>
              <w:rPr>
                <w:sz w:val="24"/>
                <w:szCs w:val="24"/>
                <w:color w:val="auto"/>
              </w:rPr>
            </w:pPr>
          </w:p>
        </w:tc>
      </w:tr>
      <w:tr>
        <w:trPr>
          <w:trHeight w:val="162"/>
        </w:trPr>
        <w:tc>
          <w:tcPr>
            <w:tcW w:w="20" w:type="dxa"/>
            <w:vAlign w:val="bottom"/>
          </w:tcPr>
          <w:p>
            <w:pPr>
              <w:spacing w:after="0"/>
              <w:rPr>
                <w:sz w:val="14"/>
                <w:szCs w:val="14"/>
                <w:color w:val="auto"/>
              </w:rPr>
            </w:pPr>
          </w:p>
        </w:tc>
        <w:tc>
          <w:tcPr>
            <w:tcW w:w="800" w:type="dxa"/>
            <w:vAlign w:val="bottom"/>
            <w:shd w:val="clear" w:color="auto" w:fill="DBE5F1"/>
          </w:tcPr>
          <w:p>
            <w:pPr>
              <w:spacing w:after="0"/>
              <w:rPr>
                <w:sz w:val="14"/>
                <w:szCs w:val="14"/>
                <w:color w:val="auto"/>
              </w:rPr>
            </w:pPr>
          </w:p>
        </w:tc>
        <w:tc>
          <w:tcPr>
            <w:tcW w:w="240" w:type="dxa"/>
            <w:vAlign w:val="bottom"/>
            <w:shd w:val="clear" w:color="auto" w:fill="DBE5F1"/>
          </w:tcPr>
          <w:p>
            <w:pPr>
              <w:spacing w:after="0"/>
              <w:rPr>
                <w:sz w:val="14"/>
                <w:szCs w:val="14"/>
                <w:color w:val="auto"/>
              </w:rPr>
            </w:pPr>
          </w:p>
        </w:tc>
        <w:tc>
          <w:tcPr>
            <w:tcW w:w="1080" w:type="dxa"/>
            <w:vAlign w:val="bottom"/>
            <w:shd w:val="clear" w:color="auto" w:fill="DBE5F1"/>
          </w:tcPr>
          <w:p>
            <w:pPr>
              <w:spacing w:after="0"/>
              <w:rPr>
                <w:sz w:val="14"/>
                <w:szCs w:val="14"/>
                <w:color w:val="auto"/>
              </w:rPr>
            </w:pPr>
          </w:p>
        </w:tc>
        <w:tc>
          <w:tcPr>
            <w:tcW w:w="280" w:type="dxa"/>
            <w:vAlign w:val="bottom"/>
            <w:shd w:val="clear" w:color="auto" w:fill="DBE5F1"/>
          </w:tcPr>
          <w:p>
            <w:pPr>
              <w:spacing w:after="0"/>
              <w:rPr>
                <w:sz w:val="14"/>
                <w:szCs w:val="14"/>
                <w:color w:val="auto"/>
              </w:rPr>
            </w:pPr>
          </w:p>
        </w:tc>
        <w:tc>
          <w:tcPr>
            <w:tcW w:w="1400" w:type="dxa"/>
            <w:vAlign w:val="bottom"/>
            <w:shd w:val="clear" w:color="auto" w:fill="DBE5F1"/>
          </w:tcPr>
          <w:p>
            <w:pPr>
              <w:spacing w:after="0"/>
              <w:rPr>
                <w:sz w:val="14"/>
                <w:szCs w:val="14"/>
                <w:color w:val="auto"/>
              </w:rPr>
            </w:pPr>
          </w:p>
        </w:tc>
        <w:tc>
          <w:tcPr>
            <w:tcW w:w="300" w:type="dxa"/>
            <w:vAlign w:val="bottom"/>
            <w:shd w:val="clear" w:color="auto" w:fill="DBE5F1"/>
          </w:tcPr>
          <w:p>
            <w:pPr>
              <w:spacing w:after="0"/>
              <w:rPr>
                <w:sz w:val="14"/>
                <w:szCs w:val="14"/>
                <w:color w:val="auto"/>
              </w:rPr>
            </w:pPr>
          </w:p>
        </w:tc>
        <w:tc>
          <w:tcPr>
            <w:tcW w:w="1380" w:type="dxa"/>
            <w:vAlign w:val="bottom"/>
            <w:shd w:val="clear" w:color="auto" w:fill="DBE5F1"/>
          </w:tcPr>
          <w:p>
            <w:pPr>
              <w:spacing w:after="0"/>
              <w:rPr>
                <w:sz w:val="14"/>
                <w:szCs w:val="14"/>
                <w:color w:val="auto"/>
              </w:rPr>
            </w:pPr>
          </w:p>
        </w:tc>
        <w:tc>
          <w:tcPr>
            <w:tcW w:w="320" w:type="dxa"/>
            <w:vAlign w:val="bottom"/>
            <w:shd w:val="clear" w:color="auto" w:fill="DBE5F1"/>
          </w:tcPr>
          <w:p>
            <w:pPr>
              <w:spacing w:after="0"/>
              <w:rPr>
                <w:sz w:val="14"/>
                <w:szCs w:val="14"/>
                <w:color w:val="auto"/>
              </w:rPr>
            </w:pPr>
          </w:p>
        </w:tc>
        <w:tc>
          <w:tcPr>
            <w:tcW w:w="1420" w:type="dxa"/>
            <w:vAlign w:val="bottom"/>
            <w:shd w:val="clear" w:color="auto" w:fill="DBE5F1"/>
          </w:tcPr>
          <w:p>
            <w:pPr>
              <w:jc w:val="center"/>
              <w:ind w:right="68"/>
              <w:spacing w:after="0"/>
              <w:rPr>
                <w:sz w:val="20"/>
                <w:szCs w:val="20"/>
                <w:color w:val="auto"/>
              </w:rPr>
            </w:pPr>
            <w:r>
              <w:rPr>
                <w:rFonts w:ascii="Arial" w:cs="Arial" w:eastAsia="Arial" w:hAnsi="Arial"/>
                <w:sz w:val="14"/>
                <w:szCs w:val="14"/>
                <w:b w:val="1"/>
                <w:bCs w:val="1"/>
                <w:color w:val="auto"/>
              </w:rPr>
              <w:t>Change in Fair</w:t>
            </w:r>
          </w:p>
        </w:tc>
        <w:tc>
          <w:tcPr>
            <w:tcW w:w="240" w:type="dxa"/>
            <w:vAlign w:val="bottom"/>
            <w:shd w:val="clear" w:color="auto" w:fill="DBE5F1"/>
          </w:tcPr>
          <w:p>
            <w:pPr>
              <w:spacing w:after="0"/>
              <w:rPr>
                <w:sz w:val="14"/>
                <w:szCs w:val="14"/>
                <w:color w:val="auto"/>
              </w:rPr>
            </w:pPr>
          </w:p>
        </w:tc>
        <w:tc>
          <w:tcPr>
            <w:tcW w:w="1140" w:type="dxa"/>
            <w:vAlign w:val="bottom"/>
            <w:shd w:val="clear" w:color="auto" w:fill="DBE5F1"/>
          </w:tcPr>
          <w:p>
            <w:pPr>
              <w:jc w:val="center"/>
              <w:ind w:right="28"/>
              <w:spacing w:after="0"/>
              <w:rPr>
                <w:sz w:val="20"/>
                <w:szCs w:val="20"/>
                <w:color w:val="auto"/>
              </w:rPr>
            </w:pPr>
            <w:r>
              <w:rPr>
                <w:rFonts w:ascii="Arial" w:cs="Arial" w:eastAsia="Arial" w:hAnsi="Arial"/>
                <w:sz w:val="14"/>
                <w:szCs w:val="14"/>
                <w:b w:val="1"/>
                <w:bCs w:val="1"/>
                <w:color w:val="auto"/>
              </w:rPr>
              <w:t>the End of the</w:t>
            </w:r>
          </w:p>
        </w:tc>
        <w:tc>
          <w:tcPr>
            <w:tcW w:w="1300" w:type="dxa"/>
            <w:vAlign w:val="bottom"/>
            <w:shd w:val="clear" w:color="auto" w:fill="DBE5F1"/>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800" w:type="dxa"/>
            <w:vAlign w:val="bottom"/>
            <w:shd w:val="clear" w:color="auto" w:fill="DBE5F1"/>
          </w:tcPr>
          <w:p>
            <w:pPr>
              <w:spacing w:after="0"/>
              <w:rPr>
                <w:sz w:val="14"/>
                <w:szCs w:val="14"/>
                <w:color w:val="auto"/>
              </w:rPr>
            </w:pPr>
          </w:p>
        </w:tc>
        <w:tc>
          <w:tcPr>
            <w:tcW w:w="240" w:type="dxa"/>
            <w:vAlign w:val="bottom"/>
            <w:shd w:val="clear" w:color="auto" w:fill="DBE5F1"/>
          </w:tcPr>
          <w:p>
            <w:pPr>
              <w:spacing w:after="0"/>
              <w:rPr>
                <w:sz w:val="14"/>
                <w:szCs w:val="14"/>
                <w:color w:val="auto"/>
              </w:rPr>
            </w:pPr>
          </w:p>
        </w:tc>
        <w:tc>
          <w:tcPr>
            <w:tcW w:w="1080" w:type="dxa"/>
            <w:vAlign w:val="bottom"/>
            <w:shd w:val="clear" w:color="auto" w:fill="DBE5F1"/>
          </w:tcPr>
          <w:p>
            <w:pPr>
              <w:spacing w:after="0"/>
              <w:rPr>
                <w:sz w:val="14"/>
                <w:szCs w:val="14"/>
                <w:color w:val="auto"/>
              </w:rPr>
            </w:pPr>
          </w:p>
        </w:tc>
        <w:tc>
          <w:tcPr>
            <w:tcW w:w="280" w:type="dxa"/>
            <w:vAlign w:val="bottom"/>
            <w:shd w:val="clear" w:color="auto" w:fill="DBE5F1"/>
          </w:tcPr>
          <w:p>
            <w:pPr>
              <w:spacing w:after="0"/>
              <w:rPr>
                <w:sz w:val="14"/>
                <w:szCs w:val="14"/>
                <w:color w:val="auto"/>
              </w:rPr>
            </w:pPr>
          </w:p>
        </w:tc>
        <w:tc>
          <w:tcPr>
            <w:tcW w:w="1400" w:type="dxa"/>
            <w:vAlign w:val="bottom"/>
            <w:shd w:val="clear" w:color="auto" w:fill="DBE5F1"/>
          </w:tcPr>
          <w:p>
            <w:pPr>
              <w:jc w:val="center"/>
              <w:ind w:right="28"/>
              <w:spacing w:after="0"/>
              <w:rPr>
                <w:sz w:val="20"/>
                <w:szCs w:val="20"/>
                <w:color w:val="auto"/>
              </w:rPr>
            </w:pPr>
            <w:r>
              <w:rPr>
                <w:rFonts w:ascii="Arial" w:cs="Arial" w:eastAsia="Arial" w:hAnsi="Arial"/>
                <w:sz w:val="14"/>
                <w:szCs w:val="14"/>
                <w:b w:val="1"/>
                <w:bCs w:val="1"/>
                <w:color w:val="auto"/>
                <w:w w:val="99"/>
              </w:rPr>
              <w:t>Year over Year</w:t>
            </w:r>
          </w:p>
        </w:tc>
        <w:tc>
          <w:tcPr>
            <w:tcW w:w="300" w:type="dxa"/>
            <w:vAlign w:val="bottom"/>
            <w:shd w:val="clear" w:color="auto" w:fill="DBE5F1"/>
          </w:tcPr>
          <w:p>
            <w:pPr>
              <w:spacing w:after="0"/>
              <w:rPr>
                <w:sz w:val="14"/>
                <w:szCs w:val="14"/>
                <w:color w:val="auto"/>
              </w:rPr>
            </w:pPr>
          </w:p>
        </w:tc>
        <w:tc>
          <w:tcPr>
            <w:tcW w:w="1380" w:type="dxa"/>
            <w:vAlign w:val="bottom"/>
            <w:shd w:val="clear" w:color="auto" w:fill="DBE5F1"/>
          </w:tcPr>
          <w:p>
            <w:pPr>
              <w:jc w:val="center"/>
              <w:ind w:right="28"/>
              <w:spacing w:after="0"/>
              <w:rPr>
                <w:sz w:val="20"/>
                <w:szCs w:val="20"/>
                <w:color w:val="auto"/>
              </w:rPr>
            </w:pPr>
            <w:r>
              <w:rPr>
                <w:rFonts w:ascii="Arial" w:cs="Arial" w:eastAsia="Arial" w:hAnsi="Arial"/>
                <w:sz w:val="14"/>
                <w:szCs w:val="14"/>
                <w:b w:val="1"/>
                <w:bCs w:val="1"/>
                <w:color w:val="auto"/>
              </w:rPr>
              <w:t>Fair Value as</w:t>
            </w:r>
          </w:p>
        </w:tc>
        <w:tc>
          <w:tcPr>
            <w:tcW w:w="320" w:type="dxa"/>
            <w:vAlign w:val="bottom"/>
            <w:shd w:val="clear" w:color="auto" w:fill="DBE5F1"/>
          </w:tcPr>
          <w:p>
            <w:pPr>
              <w:spacing w:after="0"/>
              <w:rPr>
                <w:sz w:val="14"/>
                <w:szCs w:val="14"/>
                <w:color w:val="auto"/>
              </w:rPr>
            </w:pPr>
          </w:p>
        </w:tc>
        <w:tc>
          <w:tcPr>
            <w:tcW w:w="1420" w:type="dxa"/>
            <w:vAlign w:val="bottom"/>
            <w:shd w:val="clear" w:color="auto" w:fill="DBE5F1"/>
          </w:tcPr>
          <w:p>
            <w:pPr>
              <w:jc w:val="center"/>
              <w:ind w:right="68"/>
              <w:spacing w:after="0"/>
              <w:rPr>
                <w:sz w:val="20"/>
                <w:szCs w:val="20"/>
                <w:color w:val="auto"/>
              </w:rPr>
            </w:pPr>
            <w:r>
              <w:rPr>
                <w:rFonts w:ascii="Arial" w:cs="Arial" w:eastAsia="Arial" w:hAnsi="Arial"/>
                <w:sz w:val="14"/>
                <w:szCs w:val="14"/>
                <w:b w:val="1"/>
                <w:bCs w:val="1"/>
                <w:color w:val="auto"/>
              </w:rPr>
              <w:t>Value of</w:t>
            </w:r>
          </w:p>
        </w:tc>
        <w:tc>
          <w:tcPr>
            <w:tcW w:w="240" w:type="dxa"/>
            <w:vAlign w:val="bottom"/>
            <w:shd w:val="clear" w:color="auto" w:fill="DBE5F1"/>
          </w:tcPr>
          <w:p>
            <w:pPr>
              <w:spacing w:after="0"/>
              <w:rPr>
                <w:sz w:val="14"/>
                <w:szCs w:val="14"/>
                <w:color w:val="auto"/>
              </w:rPr>
            </w:pPr>
          </w:p>
        </w:tc>
        <w:tc>
          <w:tcPr>
            <w:tcW w:w="1140" w:type="dxa"/>
            <w:vAlign w:val="bottom"/>
            <w:shd w:val="clear" w:color="auto" w:fill="DBE5F1"/>
          </w:tcPr>
          <w:p>
            <w:pPr>
              <w:jc w:val="center"/>
              <w:ind w:right="48"/>
              <w:spacing w:after="0"/>
              <w:rPr>
                <w:sz w:val="20"/>
                <w:szCs w:val="20"/>
                <w:color w:val="auto"/>
              </w:rPr>
            </w:pPr>
            <w:r>
              <w:rPr>
                <w:rFonts w:ascii="Arial" w:cs="Arial" w:eastAsia="Arial" w:hAnsi="Arial"/>
                <w:sz w:val="14"/>
                <w:szCs w:val="14"/>
                <w:b w:val="1"/>
                <w:bCs w:val="1"/>
                <w:color w:val="auto"/>
              </w:rPr>
              <w:t>Prior Year of</w:t>
            </w:r>
          </w:p>
        </w:tc>
        <w:tc>
          <w:tcPr>
            <w:tcW w:w="1300" w:type="dxa"/>
            <w:vAlign w:val="bottom"/>
            <w:shd w:val="clear" w:color="auto" w:fill="DBE5F1"/>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800" w:type="dxa"/>
            <w:vAlign w:val="bottom"/>
            <w:shd w:val="clear" w:color="auto" w:fill="DBE5F1"/>
          </w:tcPr>
          <w:p>
            <w:pPr>
              <w:spacing w:after="0"/>
              <w:rPr>
                <w:sz w:val="14"/>
                <w:szCs w:val="14"/>
                <w:color w:val="auto"/>
              </w:rPr>
            </w:pPr>
          </w:p>
        </w:tc>
        <w:tc>
          <w:tcPr>
            <w:tcW w:w="240" w:type="dxa"/>
            <w:vAlign w:val="bottom"/>
            <w:shd w:val="clear" w:color="auto" w:fill="DBE5F1"/>
          </w:tcPr>
          <w:p>
            <w:pPr>
              <w:spacing w:after="0"/>
              <w:rPr>
                <w:sz w:val="14"/>
                <w:szCs w:val="14"/>
                <w:color w:val="auto"/>
              </w:rPr>
            </w:pPr>
          </w:p>
        </w:tc>
        <w:tc>
          <w:tcPr>
            <w:tcW w:w="1080" w:type="dxa"/>
            <w:vAlign w:val="bottom"/>
            <w:shd w:val="clear" w:color="auto" w:fill="DBE5F1"/>
          </w:tcPr>
          <w:p>
            <w:pPr>
              <w:jc w:val="center"/>
              <w:ind w:right="8"/>
              <w:spacing w:after="0"/>
              <w:rPr>
                <w:sz w:val="20"/>
                <w:szCs w:val="20"/>
                <w:color w:val="auto"/>
              </w:rPr>
            </w:pPr>
            <w:r>
              <w:rPr>
                <w:rFonts w:ascii="Arial" w:cs="Arial" w:eastAsia="Arial" w:hAnsi="Arial"/>
                <w:sz w:val="14"/>
                <w:szCs w:val="14"/>
                <w:b w:val="1"/>
                <w:bCs w:val="1"/>
                <w:color w:val="auto"/>
              </w:rPr>
              <w:t>Year End Fair</w:t>
            </w:r>
          </w:p>
        </w:tc>
        <w:tc>
          <w:tcPr>
            <w:tcW w:w="280" w:type="dxa"/>
            <w:vAlign w:val="bottom"/>
            <w:shd w:val="clear" w:color="auto" w:fill="DBE5F1"/>
          </w:tcPr>
          <w:p>
            <w:pPr>
              <w:spacing w:after="0"/>
              <w:rPr>
                <w:sz w:val="14"/>
                <w:szCs w:val="14"/>
                <w:color w:val="auto"/>
              </w:rPr>
            </w:pPr>
          </w:p>
        </w:tc>
        <w:tc>
          <w:tcPr>
            <w:tcW w:w="1400" w:type="dxa"/>
            <w:vAlign w:val="bottom"/>
            <w:shd w:val="clear" w:color="auto" w:fill="DBE5F1"/>
          </w:tcPr>
          <w:p>
            <w:pPr>
              <w:jc w:val="center"/>
              <w:ind w:right="8"/>
              <w:spacing w:after="0"/>
              <w:rPr>
                <w:sz w:val="20"/>
                <w:szCs w:val="20"/>
                <w:color w:val="auto"/>
              </w:rPr>
            </w:pPr>
            <w:r>
              <w:rPr>
                <w:rFonts w:ascii="Arial" w:cs="Arial" w:eastAsia="Arial" w:hAnsi="Arial"/>
                <w:sz w:val="14"/>
                <w:szCs w:val="14"/>
                <w:b w:val="1"/>
                <w:bCs w:val="1"/>
                <w:color w:val="auto"/>
              </w:rPr>
              <w:t>Change in Fair</w:t>
            </w:r>
          </w:p>
        </w:tc>
        <w:tc>
          <w:tcPr>
            <w:tcW w:w="300" w:type="dxa"/>
            <w:vAlign w:val="bottom"/>
            <w:shd w:val="clear" w:color="auto" w:fill="DBE5F1"/>
          </w:tcPr>
          <w:p>
            <w:pPr>
              <w:spacing w:after="0"/>
              <w:rPr>
                <w:sz w:val="14"/>
                <w:szCs w:val="14"/>
                <w:color w:val="auto"/>
              </w:rPr>
            </w:pPr>
          </w:p>
        </w:tc>
        <w:tc>
          <w:tcPr>
            <w:tcW w:w="1380" w:type="dxa"/>
            <w:vAlign w:val="bottom"/>
            <w:shd w:val="clear" w:color="auto" w:fill="DBE5F1"/>
          </w:tcPr>
          <w:p>
            <w:pPr>
              <w:jc w:val="center"/>
              <w:ind w:right="28"/>
              <w:spacing w:after="0"/>
              <w:rPr>
                <w:sz w:val="20"/>
                <w:szCs w:val="20"/>
                <w:color w:val="auto"/>
              </w:rPr>
            </w:pPr>
            <w:r>
              <w:rPr>
                <w:rFonts w:ascii="Arial" w:cs="Arial" w:eastAsia="Arial" w:hAnsi="Arial"/>
                <w:sz w:val="14"/>
                <w:szCs w:val="14"/>
                <w:b w:val="1"/>
                <w:bCs w:val="1"/>
                <w:color w:val="auto"/>
              </w:rPr>
              <w:t>of Vesting Date</w:t>
            </w:r>
          </w:p>
        </w:tc>
        <w:tc>
          <w:tcPr>
            <w:tcW w:w="320" w:type="dxa"/>
            <w:vAlign w:val="bottom"/>
            <w:shd w:val="clear" w:color="auto" w:fill="DBE5F1"/>
          </w:tcPr>
          <w:p>
            <w:pPr>
              <w:spacing w:after="0"/>
              <w:rPr>
                <w:sz w:val="14"/>
                <w:szCs w:val="14"/>
                <w:color w:val="auto"/>
              </w:rPr>
            </w:pPr>
          </w:p>
        </w:tc>
        <w:tc>
          <w:tcPr>
            <w:tcW w:w="1420" w:type="dxa"/>
            <w:vAlign w:val="bottom"/>
            <w:shd w:val="clear" w:color="auto" w:fill="DBE5F1"/>
          </w:tcPr>
          <w:p>
            <w:pPr>
              <w:jc w:val="center"/>
              <w:ind w:right="68"/>
              <w:spacing w:after="0"/>
              <w:rPr>
                <w:sz w:val="20"/>
                <w:szCs w:val="20"/>
                <w:color w:val="auto"/>
              </w:rPr>
            </w:pPr>
            <w:r>
              <w:rPr>
                <w:rFonts w:ascii="Arial" w:cs="Arial" w:eastAsia="Arial" w:hAnsi="Arial"/>
                <w:sz w:val="14"/>
                <w:szCs w:val="14"/>
                <w:b w:val="1"/>
                <w:bCs w:val="1"/>
                <w:color w:val="auto"/>
              </w:rPr>
              <w:t>Equity Awards</w:t>
            </w:r>
          </w:p>
        </w:tc>
        <w:tc>
          <w:tcPr>
            <w:tcW w:w="240" w:type="dxa"/>
            <w:vAlign w:val="bottom"/>
            <w:shd w:val="clear" w:color="auto" w:fill="DBE5F1"/>
          </w:tcPr>
          <w:p>
            <w:pPr>
              <w:spacing w:after="0"/>
              <w:rPr>
                <w:sz w:val="14"/>
                <w:szCs w:val="14"/>
                <w:color w:val="auto"/>
              </w:rPr>
            </w:pPr>
          </w:p>
        </w:tc>
        <w:tc>
          <w:tcPr>
            <w:tcW w:w="1140" w:type="dxa"/>
            <w:vAlign w:val="bottom"/>
            <w:shd w:val="clear" w:color="auto" w:fill="DBE5F1"/>
          </w:tcPr>
          <w:p>
            <w:pPr>
              <w:jc w:val="center"/>
              <w:ind w:right="28"/>
              <w:spacing w:after="0"/>
              <w:rPr>
                <w:sz w:val="20"/>
                <w:szCs w:val="20"/>
                <w:color w:val="auto"/>
              </w:rPr>
            </w:pPr>
            <w:r>
              <w:rPr>
                <w:rFonts w:ascii="Arial" w:cs="Arial" w:eastAsia="Arial" w:hAnsi="Arial"/>
                <w:sz w:val="14"/>
                <w:szCs w:val="14"/>
                <w:b w:val="1"/>
                <w:bCs w:val="1"/>
                <w:color w:val="auto"/>
              </w:rPr>
              <w:t>Equity Awards</w:t>
            </w:r>
          </w:p>
        </w:tc>
        <w:tc>
          <w:tcPr>
            <w:tcW w:w="1300" w:type="dxa"/>
            <w:vAlign w:val="bottom"/>
            <w:shd w:val="clear" w:color="auto" w:fill="DBE5F1"/>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800" w:type="dxa"/>
            <w:vAlign w:val="bottom"/>
            <w:shd w:val="clear" w:color="auto" w:fill="DBE5F1"/>
          </w:tcPr>
          <w:p>
            <w:pPr>
              <w:spacing w:after="0"/>
              <w:rPr>
                <w:sz w:val="14"/>
                <w:szCs w:val="14"/>
                <w:color w:val="auto"/>
              </w:rPr>
            </w:pPr>
          </w:p>
        </w:tc>
        <w:tc>
          <w:tcPr>
            <w:tcW w:w="240" w:type="dxa"/>
            <w:vAlign w:val="bottom"/>
            <w:shd w:val="clear" w:color="auto" w:fill="DBE5F1"/>
          </w:tcPr>
          <w:p>
            <w:pPr>
              <w:spacing w:after="0"/>
              <w:rPr>
                <w:sz w:val="14"/>
                <w:szCs w:val="14"/>
                <w:color w:val="auto"/>
              </w:rPr>
            </w:pPr>
          </w:p>
        </w:tc>
        <w:tc>
          <w:tcPr>
            <w:tcW w:w="1080" w:type="dxa"/>
            <w:vAlign w:val="bottom"/>
            <w:shd w:val="clear" w:color="auto" w:fill="DBE5F1"/>
          </w:tcPr>
          <w:p>
            <w:pPr>
              <w:jc w:val="center"/>
              <w:spacing w:after="0"/>
              <w:rPr>
                <w:sz w:val="20"/>
                <w:szCs w:val="20"/>
                <w:color w:val="auto"/>
              </w:rPr>
            </w:pPr>
            <w:r>
              <w:rPr>
                <w:rFonts w:ascii="Arial" w:cs="Arial" w:eastAsia="Arial" w:hAnsi="Arial"/>
                <w:sz w:val="14"/>
                <w:szCs w:val="14"/>
                <w:b w:val="1"/>
                <w:bCs w:val="1"/>
                <w:color w:val="auto"/>
                <w:w w:val="99"/>
              </w:rPr>
              <w:t>Value of</w:t>
            </w:r>
          </w:p>
        </w:tc>
        <w:tc>
          <w:tcPr>
            <w:tcW w:w="280" w:type="dxa"/>
            <w:vAlign w:val="bottom"/>
            <w:shd w:val="clear" w:color="auto" w:fill="DBE5F1"/>
          </w:tcPr>
          <w:p>
            <w:pPr>
              <w:spacing w:after="0"/>
              <w:rPr>
                <w:sz w:val="14"/>
                <w:szCs w:val="14"/>
                <w:color w:val="auto"/>
              </w:rPr>
            </w:pPr>
          </w:p>
        </w:tc>
        <w:tc>
          <w:tcPr>
            <w:tcW w:w="1400" w:type="dxa"/>
            <w:vAlign w:val="bottom"/>
            <w:shd w:val="clear" w:color="auto" w:fill="DBE5F1"/>
          </w:tcPr>
          <w:p>
            <w:pPr>
              <w:jc w:val="center"/>
              <w:ind w:right="28"/>
              <w:spacing w:after="0"/>
              <w:rPr>
                <w:sz w:val="20"/>
                <w:szCs w:val="20"/>
                <w:color w:val="auto"/>
              </w:rPr>
            </w:pPr>
            <w:r>
              <w:rPr>
                <w:rFonts w:ascii="Arial" w:cs="Arial" w:eastAsia="Arial" w:hAnsi="Arial"/>
                <w:sz w:val="14"/>
                <w:szCs w:val="14"/>
                <w:b w:val="1"/>
                <w:bCs w:val="1"/>
                <w:color w:val="auto"/>
                <w:w w:val="99"/>
              </w:rPr>
              <w:t>Value of</w:t>
            </w:r>
          </w:p>
        </w:tc>
        <w:tc>
          <w:tcPr>
            <w:tcW w:w="300" w:type="dxa"/>
            <w:vAlign w:val="bottom"/>
            <w:shd w:val="clear" w:color="auto" w:fill="DBE5F1"/>
          </w:tcPr>
          <w:p>
            <w:pPr>
              <w:spacing w:after="0"/>
              <w:rPr>
                <w:sz w:val="14"/>
                <w:szCs w:val="14"/>
                <w:color w:val="auto"/>
              </w:rPr>
            </w:pPr>
          </w:p>
        </w:tc>
        <w:tc>
          <w:tcPr>
            <w:tcW w:w="1380" w:type="dxa"/>
            <w:vAlign w:val="bottom"/>
            <w:shd w:val="clear" w:color="auto" w:fill="DBE5F1"/>
          </w:tcPr>
          <w:p>
            <w:pPr>
              <w:jc w:val="center"/>
              <w:ind w:right="48"/>
              <w:spacing w:after="0"/>
              <w:rPr>
                <w:sz w:val="20"/>
                <w:szCs w:val="20"/>
                <w:color w:val="auto"/>
              </w:rPr>
            </w:pPr>
            <w:r>
              <w:rPr>
                <w:rFonts w:ascii="Arial" w:cs="Arial" w:eastAsia="Arial" w:hAnsi="Arial"/>
                <w:sz w:val="14"/>
                <w:szCs w:val="14"/>
                <w:b w:val="1"/>
                <w:bCs w:val="1"/>
                <w:color w:val="auto"/>
              </w:rPr>
              <w:t>of Equity</w:t>
            </w:r>
          </w:p>
        </w:tc>
        <w:tc>
          <w:tcPr>
            <w:tcW w:w="320" w:type="dxa"/>
            <w:vAlign w:val="bottom"/>
            <w:shd w:val="clear" w:color="auto" w:fill="DBE5F1"/>
          </w:tcPr>
          <w:p>
            <w:pPr>
              <w:spacing w:after="0"/>
              <w:rPr>
                <w:sz w:val="14"/>
                <w:szCs w:val="14"/>
                <w:color w:val="auto"/>
              </w:rPr>
            </w:pPr>
          </w:p>
        </w:tc>
        <w:tc>
          <w:tcPr>
            <w:tcW w:w="1420" w:type="dxa"/>
            <w:vAlign w:val="bottom"/>
            <w:shd w:val="clear" w:color="auto" w:fill="DBE5F1"/>
          </w:tcPr>
          <w:p>
            <w:pPr>
              <w:jc w:val="center"/>
              <w:ind w:right="68"/>
              <w:spacing w:after="0"/>
              <w:rPr>
                <w:sz w:val="20"/>
                <w:szCs w:val="20"/>
                <w:color w:val="auto"/>
              </w:rPr>
            </w:pPr>
            <w:r>
              <w:rPr>
                <w:rFonts w:ascii="Arial" w:cs="Arial" w:eastAsia="Arial" w:hAnsi="Arial"/>
                <w:sz w:val="14"/>
                <w:szCs w:val="14"/>
                <w:b w:val="1"/>
                <w:bCs w:val="1"/>
                <w:color w:val="auto"/>
              </w:rPr>
              <w:t>Granted in</w:t>
            </w:r>
          </w:p>
        </w:tc>
        <w:tc>
          <w:tcPr>
            <w:tcW w:w="240" w:type="dxa"/>
            <w:vAlign w:val="bottom"/>
            <w:shd w:val="clear" w:color="auto" w:fill="DBE5F1"/>
          </w:tcPr>
          <w:p>
            <w:pPr>
              <w:spacing w:after="0"/>
              <w:rPr>
                <w:sz w:val="14"/>
                <w:szCs w:val="14"/>
                <w:color w:val="auto"/>
              </w:rPr>
            </w:pPr>
          </w:p>
        </w:tc>
        <w:tc>
          <w:tcPr>
            <w:tcW w:w="1140" w:type="dxa"/>
            <w:vAlign w:val="bottom"/>
            <w:shd w:val="clear" w:color="auto" w:fill="DBE5F1"/>
          </w:tcPr>
          <w:p>
            <w:pPr>
              <w:jc w:val="center"/>
              <w:ind w:right="48"/>
              <w:spacing w:after="0"/>
              <w:rPr>
                <w:sz w:val="20"/>
                <w:szCs w:val="20"/>
                <w:color w:val="auto"/>
              </w:rPr>
            </w:pPr>
            <w:r>
              <w:rPr>
                <w:rFonts w:ascii="Arial" w:cs="Arial" w:eastAsia="Arial" w:hAnsi="Arial"/>
                <w:sz w:val="14"/>
                <w:szCs w:val="14"/>
                <w:b w:val="1"/>
                <w:bCs w:val="1"/>
                <w:color w:val="auto"/>
              </w:rPr>
              <w:t>that Failed to</w:t>
            </w:r>
          </w:p>
        </w:tc>
        <w:tc>
          <w:tcPr>
            <w:tcW w:w="1300" w:type="dxa"/>
            <w:vAlign w:val="bottom"/>
            <w:shd w:val="clear" w:color="auto" w:fill="DBE5F1"/>
          </w:tcPr>
          <w:p>
            <w:pPr>
              <w:jc w:val="center"/>
              <w:ind w:left="48"/>
              <w:spacing w:after="0"/>
              <w:rPr>
                <w:sz w:val="20"/>
                <w:szCs w:val="20"/>
                <w:color w:val="auto"/>
              </w:rPr>
            </w:pPr>
            <w:r>
              <w:rPr>
                <w:rFonts w:ascii="Arial" w:cs="Arial" w:eastAsia="Arial" w:hAnsi="Arial"/>
                <w:sz w:val="14"/>
                <w:szCs w:val="14"/>
                <w:b w:val="1"/>
                <w:bCs w:val="1"/>
                <w:color w:val="auto"/>
              </w:rPr>
              <w:t>Total</w:t>
            </w:r>
          </w:p>
        </w:tc>
      </w:tr>
      <w:tr>
        <w:trPr>
          <w:trHeight w:val="162"/>
        </w:trPr>
        <w:tc>
          <w:tcPr>
            <w:tcW w:w="20" w:type="dxa"/>
            <w:vAlign w:val="bottom"/>
          </w:tcPr>
          <w:p>
            <w:pPr>
              <w:spacing w:after="0"/>
              <w:rPr>
                <w:sz w:val="14"/>
                <w:szCs w:val="14"/>
                <w:color w:val="auto"/>
              </w:rPr>
            </w:pPr>
          </w:p>
        </w:tc>
        <w:tc>
          <w:tcPr>
            <w:tcW w:w="800" w:type="dxa"/>
            <w:vAlign w:val="bottom"/>
            <w:shd w:val="clear" w:color="auto" w:fill="DBE5F1"/>
          </w:tcPr>
          <w:p>
            <w:pPr>
              <w:spacing w:after="0"/>
              <w:rPr>
                <w:sz w:val="14"/>
                <w:szCs w:val="14"/>
                <w:color w:val="auto"/>
              </w:rPr>
            </w:pPr>
          </w:p>
        </w:tc>
        <w:tc>
          <w:tcPr>
            <w:tcW w:w="240" w:type="dxa"/>
            <w:vAlign w:val="bottom"/>
            <w:shd w:val="clear" w:color="auto" w:fill="DBE5F1"/>
          </w:tcPr>
          <w:p>
            <w:pPr>
              <w:spacing w:after="0"/>
              <w:rPr>
                <w:sz w:val="14"/>
                <w:szCs w:val="14"/>
                <w:color w:val="auto"/>
              </w:rPr>
            </w:pPr>
          </w:p>
        </w:tc>
        <w:tc>
          <w:tcPr>
            <w:tcW w:w="1080" w:type="dxa"/>
            <w:vAlign w:val="bottom"/>
            <w:shd w:val="clear" w:color="auto" w:fill="DBE5F1"/>
          </w:tcPr>
          <w:p>
            <w:pPr>
              <w:jc w:val="center"/>
              <w:spacing w:after="0"/>
              <w:rPr>
                <w:sz w:val="20"/>
                <w:szCs w:val="20"/>
                <w:color w:val="auto"/>
              </w:rPr>
            </w:pPr>
            <w:r>
              <w:rPr>
                <w:rFonts w:ascii="Arial" w:cs="Arial" w:eastAsia="Arial" w:hAnsi="Arial"/>
                <w:sz w:val="14"/>
                <w:szCs w:val="14"/>
                <w:b w:val="1"/>
                <w:bCs w:val="1"/>
                <w:color w:val="auto"/>
              </w:rPr>
              <w:t>Outstanding</w:t>
            </w:r>
          </w:p>
        </w:tc>
        <w:tc>
          <w:tcPr>
            <w:tcW w:w="280" w:type="dxa"/>
            <w:vAlign w:val="bottom"/>
            <w:shd w:val="clear" w:color="auto" w:fill="DBE5F1"/>
          </w:tcPr>
          <w:p>
            <w:pPr>
              <w:spacing w:after="0"/>
              <w:rPr>
                <w:sz w:val="14"/>
                <w:szCs w:val="14"/>
                <w:color w:val="auto"/>
              </w:rPr>
            </w:pPr>
          </w:p>
        </w:tc>
        <w:tc>
          <w:tcPr>
            <w:tcW w:w="1400" w:type="dxa"/>
            <w:vAlign w:val="bottom"/>
            <w:shd w:val="clear" w:color="auto" w:fill="DBE5F1"/>
          </w:tcPr>
          <w:p>
            <w:pPr>
              <w:jc w:val="center"/>
              <w:ind w:right="28"/>
              <w:spacing w:after="0"/>
              <w:rPr>
                <w:sz w:val="20"/>
                <w:szCs w:val="20"/>
                <w:color w:val="auto"/>
              </w:rPr>
            </w:pPr>
            <w:r>
              <w:rPr>
                <w:rFonts w:ascii="Arial" w:cs="Arial" w:eastAsia="Arial" w:hAnsi="Arial"/>
                <w:sz w:val="14"/>
                <w:szCs w:val="14"/>
                <w:b w:val="1"/>
                <w:bCs w:val="1"/>
                <w:color w:val="auto"/>
              </w:rPr>
              <w:t>Outstanding and</w:t>
            </w:r>
          </w:p>
        </w:tc>
        <w:tc>
          <w:tcPr>
            <w:tcW w:w="300" w:type="dxa"/>
            <w:vAlign w:val="bottom"/>
            <w:shd w:val="clear" w:color="auto" w:fill="DBE5F1"/>
          </w:tcPr>
          <w:p>
            <w:pPr>
              <w:spacing w:after="0"/>
              <w:rPr>
                <w:sz w:val="14"/>
                <w:szCs w:val="14"/>
                <w:color w:val="auto"/>
              </w:rPr>
            </w:pPr>
          </w:p>
        </w:tc>
        <w:tc>
          <w:tcPr>
            <w:tcW w:w="1380" w:type="dxa"/>
            <w:vAlign w:val="bottom"/>
            <w:shd w:val="clear" w:color="auto" w:fill="DBE5F1"/>
          </w:tcPr>
          <w:p>
            <w:pPr>
              <w:jc w:val="center"/>
              <w:ind w:right="48"/>
              <w:spacing w:after="0"/>
              <w:rPr>
                <w:sz w:val="20"/>
                <w:szCs w:val="20"/>
                <w:color w:val="auto"/>
              </w:rPr>
            </w:pPr>
            <w:r>
              <w:rPr>
                <w:rFonts w:ascii="Arial" w:cs="Arial" w:eastAsia="Arial" w:hAnsi="Arial"/>
                <w:sz w:val="14"/>
                <w:szCs w:val="14"/>
                <w:b w:val="1"/>
                <w:bCs w:val="1"/>
                <w:color w:val="auto"/>
              </w:rPr>
              <w:t>Awards Granted</w:t>
            </w:r>
          </w:p>
        </w:tc>
        <w:tc>
          <w:tcPr>
            <w:tcW w:w="320" w:type="dxa"/>
            <w:vAlign w:val="bottom"/>
            <w:shd w:val="clear" w:color="auto" w:fill="DBE5F1"/>
          </w:tcPr>
          <w:p>
            <w:pPr>
              <w:spacing w:after="0"/>
              <w:rPr>
                <w:sz w:val="14"/>
                <w:szCs w:val="14"/>
                <w:color w:val="auto"/>
              </w:rPr>
            </w:pPr>
          </w:p>
        </w:tc>
        <w:tc>
          <w:tcPr>
            <w:tcW w:w="1420" w:type="dxa"/>
            <w:vAlign w:val="bottom"/>
            <w:shd w:val="clear" w:color="auto" w:fill="DBE5F1"/>
          </w:tcPr>
          <w:p>
            <w:pPr>
              <w:jc w:val="center"/>
              <w:ind w:right="68"/>
              <w:spacing w:after="0"/>
              <w:rPr>
                <w:sz w:val="20"/>
                <w:szCs w:val="20"/>
                <w:color w:val="auto"/>
              </w:rPr>
            </w:pPr>
            <w:r>
              <w:rPr>
                <w:rFonts w:ascii="Arial" w:cs="Arial" w:eastAsia="Arial" w:hAnsi="Arial"/>
                <w:sz w:val="14"/>
                <w:szCs w:val="14"/>
                <w:b w:val="1"/>
                <w:bCs w:val="1"/>
                <w:color w:val="auto"/>
              </w:rPr>
              <w:t>Prior Years that</w:t>
            </w:r>
          </w:p>
        </w:tc>
        <w:tc>
          <w:tcPr>
            <w:tcW w:w="240" w:type="dxa"/>
            <w:vAlign w:val="bottom"/>
            <w:shd w:val="clear" w:color="auto" w:fill="DBE5F1"/>
          </w:tcPr>
          <w:p>
            <w:pPr>
              <w:spacing w:after="0"/>
              <w:rPr>
                <w:sz w:val="14"/>
                <w:szCs w:val="14"/>
                <w:color w:val="auto"/>
              </w:rPr>
            </w:pPr>
          </w:p>
        </w:tc>
        <w:tc>
          <w:tcPr>
            <w:tcW w:w="1140" w:type="dxa"/>
            <w:vAlign w:val="bottom"/>
            <w:shd w:val="clear" w:color="auto" w:fill="DBE5F1"/>
          </w:tcPr>
          <w:p>
            <w:pPr>
              <w:jc w:val="center"/>
              <w:ind w:right="28"/>
              <w:spacing w:after="0"/>
              <w:rPr>
                <w:sz w:val="20"/>
                <w:szCs w:val="20"/>
                <w:color w:val="auto"/>
              </w:rPr>
            </w:pPr>
            <w:r>
              <w:rPr>
                <w:rFonts w:ascii="Arial" w:cs="Arial" w:eastAsia="Arial" w:hAnsi="Arial"/>
                <w:sz w:val="14"/>
                <w:szCs w:val="14"/>
                <w:b w:val="1"/>
                <w:bCs w:val="1"/>
                <w:color w:val="auto"/>
              </w:rPr>
              <w:t>Meet Vesting</w:t>
            </w:r>
          </w:p>
        </w:tc>
        <w:tc>
          <w:tcPr>
            <w:tcW w:w="1300" w:type="dxa"/>
            <w:vAlign w:val="bottom"/>
            <w:shd w:val="clear" w:color="auto" w:fill="DBE5F1"/>
          </w:tcPr>
          <w:p>
            <w:pPr>
              <w:jc w:val="center"/>
              <w:ind w:left="48"/>
              <w:spacing w:after="0"/>
              <w:rPr>
                <w:sz w:val="20"/>
                <w:szCs w:val="20"/>
                <w:color w:val="auto"/>
              </w:rPr>
            </w:pPr>
            <w:r>
              <w:rPr>
                <w:rFonts w:ascii="Arial" w:cs="Arial" w:eastAsia="Arial" w:hAnsi="Arial"/>
                <w:sz w:val="14"/>
                <w:szCs w:val="14"/>
                <w:b w:val="1"/>
                <w:bCs w:val="1"/>
                <w:color w:val="auto"/>
                <w:w w:val="98"/>
              </w:rPr>
              <w:t>Equity</w:t>
            </w:r>
          </w:p>
        </w:tc>
      </w:tr>
      <w:tr>
        <w:trPr>
          <w:trHeight w:val="162"/>
        </w:trPr>
        <w:tc>
          <w:tcPr>
            <w:tcW w:w="20" w:type="dxa"/>
            <w:vAlign w:val="bottom"/>
          </w:tcPr>
          <w:p>
            <w:pPr>
              <w:spacing w:after="0"/>
              <w:rPr>
                <w:sz w:val="14"/>
                <w:szCs w:val="14"/>
                <w:color w:val="auto"/>
              </w:rPr>
            </w:pPr>
          </w:p>
        </w:tc>
        <w:tc>
          <w:tcPr>
            <w:tcW w:w="800" w:type="dxa"/>
            <w:vAlign w:val="bottom"/>
            <w:shd w:val="clear" w:color="auto" w:fill="DBE5F1"/>
          </w:tcPr>
          <w:p>
            <w:pPr>
              <w:spacing w:after="0"/>
              <w:rPr>
                <w:sz w:val="14"/>
                <w:szCs w:val="14"/>
                <w:color w:val="auto"/>
              </w:rPr>
            </w:pPr>
          </w:p>
        </w:tc>
        <w:tc>
          <w:tcPr>
            <w:tcW w:w="240" w:type="dxa"/>
            <w:vAlign w:val="bottom"/>
            <w:shd w:val="clear" w:color="auto" w:fill="DBE5F1"/>
          </w:tcPr>
          <w:p>
            <w:pPr>
              <w:spacing w:after="0"/>
              <w:rPr>
                <w:sz w:val="14"/>
                <w:szCs w:val="14"/>
                <w:color w:val="auto"/>
              </w:rPr>
            </w:pPr>
          </w:p>
        </w:tc>
        <w:tc>
          <w:tcPr>
            <w:tcW w:w="1080" w:type="dxa"/>
            <w:vAlign w:val="bottom"/>
            <w:shd w:val="clear" w:color="auto" w:fill="DBE5F1"/>
          </w:tcPr>
          <w:p>
            <w:pPr>
              <w:jc w:val="center"/>
              <w:spacing w:after="0"/>
              <w:rPr>
                <w:sz w:val="20"/>
                <w:szCs w:val="20"/>
                <w:color w:val="auto"/>
              </w:rPr>
            </w:pPr>
            <w:r>
              <w:rPr>
                <w:rFonts w:ascii="Arial" w:cs="Arial" w:eastAsia="Arial" w:hAnsi="Arial"/>
                <w:sz w:val="14"/>
                <w:szCs w:val="14"/>
                <w:b w:val="1"/>
                <w:bCs w:val="1"/>
                <w:color w:val="auto"/>
              </w:rPr>
              <w:t>and Unvested</w:t>
            </w:r>
          </w:p>
        </w:tc>
        <w:tc>
          <w:tcPr>
            <w:tcW w:w="280" w:type="dxa"/>
            <w:vAlign w:val="bottom"/>
            <w:shd w:val="clear" w:color="auto" w:fill="DBE5F1"/>
          </w:tcPr>
          <w:p>
            <w:pPr>
              <w:spacing w:after="0"/>
              <w:rPr>
                <w:sz w:val="14"/>
                <w:szCs w:val="14"/>
                <w:color w:val="auto"/>
              </w:rPr>
            </w:pPr>
          </w:p>
        </w:tc>
        <w:tc>
          <w:tcPr>
            <w:tcW w:w="1400" w:type="dxa"/>
            <w:vAlign w:val="bottom"/>
            <w:shd w:val="clear" w:color="auto" w:fill="DBE5F1"/>
          </w:tcPr>
          <w:p>
            <w:pPr>
              <w:jc w:val="center"/>
              <w:ind w:right="28"/>
              <w:spacing w:after="0"/>
              <w:rPr>
                <w:sz w:val="20"/>
                <w:szCs w:val="20"/>
                <w:color w:val="auto"/>
              </w:rPr>
            </w:pPr>
            <w:r>
              <w:rPr>
                <w:rFonts w:ascii="Arial" w:cs="Arial" w:eastAsia="Arial" w:hAnsi="Arial"/>
                <w:sz w:val="14"/>
                <w:szCs w:val="14"/>
                <w:b w:val="1"/>
                <w:bCs w:val="1"/>
                <w:color w:val="auto"/>
              </w:rPr>
              <w:t>Unvested Equity</w:t>
            </w:r>
          </w:p>
        </w:tc>
        <w:tc>
          <w:tcPr>
            <w:tcW w:w="300" w:type="dxa"/>
            <w:vAlign w:val="bottom"/>
            <w:shd w:val="clear" w:color="auto" w:fill="DBE5F1"/>
          </w:tcPr>
          <w:p>
            <w:pPr>
              <w:spacing w:after="0"/>
              <w:rPr>
                <w:sz w:val="14"/>
                <w:szCs w:val="14"/>
                <w:color w:val="auto"/>
              </w:rPr>
            </w:pPr>
          </w:p>
        </w:tc>
        <w:tc>
          <w:tcPr>
            <w:tcW w:w="1380" w:type="dxa"/>
            <w:vAlign w:val="bottom"/>
            <w:shd w:val="clear" w:color="auto" w:fill="DBE5F1"/>
          </w:tcPr>
          <w:p>
            <w:pPr>
              <w:jc w:val="center"/>
              <w:ind w:right="48"/>
              <w:spacing w:after="0"/>
              <w:rPr>
                <w:sz w:val="20"/>
                <w:szCs w:val="20"/>
                <w:color w:val="auto"/>
              </w:rPr>
            </w:pPr>
            <w:r>
              <w:rPr>
                <w:rFonts w:ascii="Arial" w:cs="Arial" w:eastAsia="Arial" w:hAnsi="Arial"/>
                <w:sz w:val="14"/>
                <w:szCs w:val="14"/>
                <w:b w:val="1"/>
                <w:bCs w:val="1"/>
                <w:color w:val="auto"/>
              </w:rPr>
              <w:t>and Vested in</w:t>
            </w:r>
          </w:p>
        </w:tc>
        <w:tc>
          <w:tcPr>
            <w:tcW w:w="320" w:type="dxa"/>
            <w:vAlign w:val="bottom"/>
            <w:shd w:val="clear" w:color="auto" w:fill="DBE5F1"/>
          </w:tcPr>
          <w:p>
            <w:pPr>
              <w:spacing w:after="0"/>
              <w:rPr>
                <w:sz w:val="14"/>
                <w:szCs w:val="14"/>
                <w:color w:val="auto"/>
              </w:rPr>
            </w:pPr>
          </w:p>
        </w:tc>
        <w:tc>
          <w:tcPr>
            <w:tcW w:w="1420" w:type="dxa"/>
            <w:vAlign w:val="bottom"/>
            <w:shd w:val="clear" w:color="auto" w:fill="DBE5F1"/>
          </w:tcPr>
          <w:p>
            <w:pPr>
              <w:jc w:val="center"/>
              <w:ind w:right="68"/>
              <w:spacing w:after="0"/>
              <w:rPr>
                <w:sz w:val="20"/>
                <w:szCs w:val="20"/>
                <w:color w:val="auto"/>
              </w:rPr>
            </w:pPr>
            <w:r>
              <w:rPr>
                <w:rFonts w:ascii="Arial" w:cs="Arial" w:eastAsia="Arial" w:hAnsi="Arial"/>
                <w:sz w:val="14"/>
                <w:szCs w:val="14"/>
                <w:b w:val="1"/>
                <w:bCs w:val="1"/>
                <w:color w:val="auto"/>
              </w:rPr>
              <w:t>Vested in</w:t>
            </w:r>
          </w:p>
        </w:tc>
        <w:tc>
          <w:tcPr>
            <w:tcW w:w="240" w:type="dxa"/>
            <w:vAlign w:val="bottom"/>
            <w:shd w:val="clear" w:color="auto" w:fill="DBE5F1"/>
          </w:tcPr>
          <w:p>
            <w:pPr>
              <w:spacing w:after="0"/>
              <w:rPr>
                <w:sz w:val="14"/>
                <w:szCs w:val="14"/>
                <w:color w:val="auto"/>
              </w:rPr>
            </w:pPr>
          </w:p>
        </w:tc>
        <w:tc>
          <w:tcPr>
            <w:tcW w:w="1140" w:type="dxa"/>
            <w:vAlign w:val="bottom"/>
            <w:shd w:val="clear" w:color="auto" w:fill="DBE5F1"/>
          </w:tcPr>
          <w:p>
            <w:pPr>
              <w:jc w:val="center"/>
              <w:ind w:right="48"/>
              <w:spacing w:after="0"/>
              <w:rPr>
                <w:sz w:val="20"/>
                <w:szCs w:val="20"/>
                <w:color w:val="auto"/>
              </w:rPr>
            </w:pPr>
            <w:r>
              <w:rPr>
                <w:rFonts w:ascii="Arial" w:cs="Arial" w:eastAsia="Arial" w:hAnsi="Arial"/>
                <w:sz w:val="14"/>
                <w:szCs w:val="14"/>
                <w:b w:val="1"/>
                <w:bCs w:val="1"/>
                <w:color w:val="auto"/>
              </w:rPr>
              <w:t>Conditions</w:t>
            </w:r>
          </w:p>
        </w:tc>
        <w:tc>
          <w:tcPr>
            <w:tcW w:w="1300" w:type="dxa"/>
            <w:vAlign w:val="bottom"/>
            <w:shd w:val="clear" w:color="auto" w:fill="DBE5F1"/>
          </w:tcPr>
          <w:p>
            <w:pPr>
              <w:jc w:val="center"/>
              <w:ind w:left="48"/>
              <w:spacing w:after="0"/>
              <w:rPr>
                <w:sz w:val="20"/>
                <w:szCs w:val="20"/>
                <w:color w:val="auto"/>
              </w:rPr>
            </w:pPr>
            <w:r>
              <w:rPr>
                <w:rFonts w:ascii="Arial" w:cs="Arial" w:eastAsia="Arial" w:hAnsi="Arial"/>
                <w:sz w:val="14"/>
                <w:szCs w:val="14"/>
                <w:b w:val="1"/>
                <w:bCs w:val="1"/>
                <w:color w:val="auto"/>
                <w:w w:val="98"/>
              </w:rPr>
              <w:t>Award</w:t>
            </w:r>
          </w:p>
        </w:tc>
      </w:tr>
      <w:tr>
        <w:trPr>
          <w:trHeight w:val="162"/>
        </w:trPr>
        <w:tc>
          <w:tcPr>
            <w:tcW w:w="20" w:type="dxa"/>
            <w:vAlign w:val="bottom"/>
          </w:tcPr>
          <w:p>
            <w:pPr>
              <w:spacing w:after="0"/>
              <w:rPr>
                <w:sz w:val="14"/>
                <w:szCs w:val="14"/>
                <w:color w:val="auto"/>
              </w:rPr>
            </w:pPr>
          </w:p>
        </w:tc>
        <w:tc>
          <w:tcPr>
            <w:tcW w:w="800" w:type="dxa"/>
            <w:vAlign w:val="bottom"/>
            <w:tcBorders>
              <w:bottom w:val="single" w:sz="8" w:color="4A7EBB"/>
            </w:tcBorders>
            <w:shd w:val="clear" w:color="auto" w:fill="DBE5F1"/>
          </w:tcPr>
          <w:p>
            <w:pPr>
              <w:ind w:left="240"/>
              <w:spacing w:after="0"/>
              <w:rPr>
                <w:sz w:val="20"/>
                <w:szCs w:val="20"/>
                <w:color w:val="auto"/>
              </w:rPr>
            </w:pPr>
            <w:r>
              <w:rPr>
                <w:rFonts w:ascii="Arial" w:cs="Arial" w:eastAsia="Arial" w:hAnsi="Arial"/>
                <w:sz w:val="14"/>
                <w:szCs w:val="14"/>
                <w:b w:val="1"/>
                <w:bCs w:val="1"/>
                <w:color w:val="auto"/>
              </w:rPr>
              <w:t>Year</w:t>
            </w:r>
          </w:p>
        </w:tc>
        <w:tc>
          <w:tcPr>
            <w:tcW w:w="240" w:type="dxa"/>
            <w:vAlign w:val="bottom"/>
            <w:tcBorders>
              <w:bottom w:val="single" w:sz="8" w:color="4A7EBB"/>
            </w:tcBorders>
            <w:shd w:val="clear" w:color="auto" w:fill="DBE5F1"/>
          </w:tcPr>
          <w:p>
            <w:pPr>
              <w:spacing w:after="0"/>
              <w:rPr>
                <w:sz w:val="14"/>
                <w:szCs w:val="14"/>
                <w:color w:val="auto"/>
              </w:rPr>
            </w:pPr>
          </w:p>
        </w:tc>
        <w:tc>
          <w:tcPr>
            <w:tcW w:w="1080" w:type="dxa"/>
            <w:vAlign w:val="bottom"/>
            <w:tcBorders>
              <w:bottom w:val="single" w:sz="8" w:color="4A7EBB"/>
            </w:tcBorders>
            <w:shd w:val="clear" w:color="auto" w:fill="DBE5F1"/>
          </w:tcPr>
          <w:p>
            <w:pPr>
              <w:jc w:val="center"/>
              <w:ind w:right="8"/>
              <w:spacing w:after="0"/>
              <w:rPr>
                <w:sz w:val="20"/>
                <w:szCs w:val="20"/>
                <w:color w:val="auto"/>
              </w:rPr>
            </w:pPr>
            <w:r>
              <w:rPr>
                <w:rFonts w:ascii="Arial" w:cs="Arial" w:eastAsia="Arial" w:hAnsi="Arial"/>
                <w:sz w:val="14"/>
                <w:szCs w:val="14"/>
                <w:b w:val="1"/>
                <w:bCs w:val="1"/>
                <w:color w:val="auto"/>
              </w:rPr>
              <w:t>Equity Awards</w:t>
            </w:r>
          </w:p>
        </w:tc>
        <w:tc>
          <w:tcPr>
            <w:tcW w:w="280" w:type="dxa"/>
            <w:vAlign w:val="bottom"/>
            <w:tcBorders>
              <w:bottom w:val="single" w:sz="8" w:color="4A7EBB"/>
            </w:tcBorders>
            <w:shd w:val="clear" w:color="auto" w:fill="DBE5F1"/>
          </w:tcPr>
          <w:p>
            <w:pPr>
              <w:spacing w:after="0"/>
              <w:rPr>
                <w:sz w:val="14"/>
                <w:szCs w:val="14"/>
                <w:color w:val="auto"/>
              </w:rPr>
            </w:pPr>
          </w:p>
        </w:tc>
        <w:tc>
          <w:tcPr>
            <w:tcW w:w="1400" w:type="dxa"/>
            <w:vAlign w:val="bottom"/>
            <w:tcBorders>
              <w:bottom w:val="single" w:sz="8" w:color="4A7EBB"/>
            </w:tcBorders>
            <w:shd w:val="clear" w:color="auto" w:fill="DBE5F1"/>
          </w:tcPr>
          <w:p>
            <w:pPr>
              <w:jc w:val="center"/>
              <w:ind w:right="8"/>
              <w:spacing w:after="0"/>
              <w:rPr>
                <w:sz w:val="20"/>
                <w:szCs w:val="20"/>
                <w:color w:val="auto"/>
              </w:rPr>
            </w:pPr>
            <w:r>
              <w:rPr>
                <w:rFonts w:ascii="Arial" w:cs="Arial" w:eastAsia="Arial" w:hAnsi="Arial"/>
                <w:sz w:val="14"/>
                <w:szCs w:val="14"/>
                <w:b w:val="1"/>
                <w:bCs w:val="1"/>
                <w:color w:val="auto"/>
              </w:rPr>
              <w:t>Awards</w:t>
            </w:r>
          </w:p>
        </w:tc>
        <w:tc>
          <w:tcPr>
            <w:tcW w:w="300" w:type="dxa"/>
            <w:vAlign w:val="bottom"/>
            <w:tcBorders>
              <w:bottom w:val="single" w:sz="8" w:color="4A7EBB"/>
            </w:tcBorders>
            <w:shd w:val="clear" w:color="auto" w:fill="DBE5F1"/>
          </w:tcPr>
          <w:p>
            <w:pPr>
              <w:spacing w:after="0"/>
              <w:rPr>
                <w:sz w:val="14"/>
                <w:szCs w:val="14"/>
                <w:color w:val="auto"/>
              </w:rPr>
            </w:pPr>
          </w:p>
        </w:tc>
        <w:tc>
          <w:tcPr>
            <w:tcW w:w="1380" w:type="dxa"/>
            <w:vAlign w:val="bottom"/>
            <w:tcBorders>
              <w:bottom w:val="single" w:sz="8" w:color="4A7EBB"/>
            </w:tcBorders>
            <w:shd w:val="clear" w:color="auto" w:fill="DBE5F1"/>
          </w:tcPr>
          <w:p>
            <w:pPr>
              <w:jc w:val="center"/>
              <w:ind w:right="28"/>
              <w:spacing w:after="0"/>
              <w:rPr>
                <w:sz w:val="20"/>
                <w:szCs w:val="20"/>
                <w:color w:val="auto"/>
              </w:rPr>
            </w:pPr>
            <w:r>
              <w:rPr>
                <w:rFonts w:ascii="Arial" w:cs="Arial" w:eastAsia="Arial" w:hAnsi="Arial"/>
                <w:sz w:val="14"/>
                <w:szCs w:val="14"/>
                <w:b w:val="1"/>
                <w:bCs w:val="1"/>
                <w:color w:val="auto"/>
              </w:rPr>
              <w:t>the Year</w:t>
            </w:r>
          </w:p>
        </w:tc>
        <w:tc>
          <w:tcPr>
            <w:tcW w:w="320" w:type="dxa"/>
            <w:vAlign w:val="bottom"/>
            <w:tcBorders>
              <w:bottom w:val="single" w:sz="8" w:color="4A7EBB"/>
            </w:tcBorders>
            <w:shd w:val="clear" w:color="auto" w:fill="DBE5F1"/>
          </w:tcPr>
          <w:p>
            <w:pPr>
              <w:spacing w:after="0"/>
              <w:rPr>
                <w:sz w:val="14"/>
                <w:szCs w:val="14"/>
                <w:color w:val="auto"/>
              </w:rPr>
            </w:pPr>
          </w:p>
        </w:tc>
        <w:tc>
          <w:tcPr>
            <w:tcW w:w="1420" w:type="dxa"/>
            <w:vAlign w:val="bottom"/>
            <w:tcBorders>
              <w:bottom w:val="single" w:sz="8" w:color="4A7EBB"/>
            </w:tcBorders>
            <w:shd w:val="clear" w:color="auto" w:fill="DBE5F1"/>
          </w:tcPr>
          <w:p>
            <w:pPr>
              <w:jc w:val="center"/>
              <w:ind w:right="68"/>
              <w:spacing w:after="0"/>
              <w:rPr>
                <w:sz w:val="20"/>
                <w:szCs w:val="20"/>
                <w:color w:val="auto"/>
              </w:rPr>
            </w:pPr>
            <w:r>
              <w:rPr>
                <w:rFonts w:ascii="Arial" w:cs="Arial" w:eastAsia="Arial" w:hAnsi="Arial"/>
                <w:sz w:val="14"/>
                <w:szCs w:val="14"/>
                <w:b w:val="1"/>
                <w:bCs w:val="1"/>
                <w:color w:val="auto"/>
              </w:rPr>
              <w:t>the Year</w:t>
            </w:r>
          </w:p>
        </w:tc>
        <w:tc>
          <w:tcPr>
            <w:tcW w:w="240" w:type="dxa"/>
            <w:vAlign w:val="bottom"/>
            <w:tcBorders>
              <w:bottom w:val="single" w:sz="8" w:color="4A7EBB"/>
            </w:tcBorders>
            <w:shd w:val="clear" w:color="auto" w:fill="DBE5F1"/>
          </w:tcPr>
          <w:p>
            <w:pPr>
              <w:spacing w:after="0"/>
              <w:rPr>
                <w:sz w:val="14"/>
                <w:szCs w:val="14"/>
                <w:color w:val="auto"/>
              </w:rPr>
            </w:pPr>
          </w:p>
        </w:tc>
        <w:tc>
          <w:tcPr>
            <w:tcW w:w="1140" w:type="dxa"/>
            <w:vAlign w:val="bottom"/>
            <w:tcBorders>
              <w:bottom w:val="single" w:sz="8" w:color="4A7EBB"/>
            </w:tcBorders>
            <w:shd w:val="clear" w:color="auto" w:fill="DBE5F1"/>
          </w:tcPr>
          <w:p>
            <w:pPr>
              <w:jc w:val="center"/>
              <w:ind w:right="48"/>
              <w:spacing w:after="0"/>
              <w:rPr>
                <w:sz w:val="20"/>
                <w:szCs w:val="20"/>
                <w:color w:val="auto"/>
              </w:rPr>
            </w:pPr>
            <w:r>
              <w:rPr>
                <w:rFonts w:ascii="Arial" w:cs="Arial" w:eastAsia="Arial" w:hAnsi="Arial"/>
                <w:sz w:val="14"/>
                <w:szCs w:val="14"/>
                <w:b w:val="1"/>
                <w:bCs w:val="1"/>
                <w:color w:val="auto"/>
              </w:rPr>
              <w:t>in the Year</w:t>
            </w:r>
          </w:p>
        </w:tc>
        <w:tc>
          <w:tcPr>
            <w:tcW w:w="1300" w:type="dxa"/>
            <w:vAlign w:val="bottom"/>
            <w:tcBorders>
              <w:bottom w:val="single" w:sz="8" w:color="4A7EBB"/>
            </w:tcBorders>
            <w:shd w:val="clear" w:color="auto" w:fill="DBE5F1"/>
          </w:tcPr>
          <w:p>
            <w:pPr>
              <w:jc w:val="center"/>
              <w:ind w:left="48"/>
              <w:spacing w:after="0"/>
              <w:rPr>
                <w:sz w:val="20"/>
                <w:szCs w:val="20"/>
                <w:color w:val="auto"/>
              </w:rPr>
            </w:pPr>
            <w:r>
              <w:rPr>
                <w:rFonts w:ascii="Arial" w:cs="Arial" w:eastAsia="Arial" w:hAnsi="Arial"/>
                <w:sz w:val="14"/>
                <w:szCs w:val="14"/>
                <w:b w:val="1"/>
                <w:bCs w:val="1"/>
                <w:color w:val="auto"/>
              </w:rPr>
              <w:t>Adjustments</w:t>
            </w:r>
          </w:p>
        </w:tc>
      </w:tr>
      <w:tr>
        <w:trPr>
          <w:trHeight w:val="156"/>
        </w:trPr>
        <w:tc>
          <w:tcPr>
            <w:tcW w:w="20" w:type="dxa"/>
            <w:vAlign w:val="bottom"/>
          </w:tcPr>
          <w:p>
            <w:pPr>
              <w:spacing w:after="0"/>
              <w:rPr>
                <w:sz w:val="13"/>
                <w:szCs w:val="13"/>
                <w:color w:val="auto"/>
              </w:rPr>
            </w:pPr>
          </w:p>
        </w:tc>
        <w:tc>
          <w:tcPr>
            <w:tcW w:w="800" w:type="dxa"/>
            <w:vAlign w:val="bottom"/>
            <w:tcBorders>
              <w:bottom w:val="single" w:sz="8" w:color="4A7EBB"/>
            </w:tcBorders>
          </w:tcPr>
          <w:p>
            <w:pPr>
              <w:ind w:left="240"/>
              <w:spacing w:after="0" w:line="155" w:lineRule="exact"/>
              <w:rPr>
                <w:sz w:val="20"/>
                <w:szCs w:val="20"/>
                <w:color w:val="auto"/>
              </w:rPr>
            </w:pPr>
            <w:r>
              <w:rPr>
                <w:rFonts w:ascii="Arial" w:cs="Arial" w:eastAsia="Arial" w:hAnsi="Arial"/>
                <w:sz w:val="14"/>
                <w:szCs w:val="14"/>
                <w:color w:val="auto"/>
              </w:rPr>
              <w:t>2026</w:t>
            </w:r>
          </w:p>
        </w:tc>
        <w:tc>
          <w:tcPr>
            <w:tcW w:w="240" w:type="dxa"/>
            <w:vAlign w:val="bottom"/>
            <w:tcBorders>
              <w:bottom w:val="single" w:sz="8" w:color="4A7EBB"/>
            </w:tcBorders>
          </w:tcPr>
          <w:p>
            <w:pPr>
              <w:spacing w:after="0"/>
              <w:rPr>
                <w:sz w:val="13"/>
                <w:szCs w:val="13"/>
                <w:color w:val="auto"/>
              </w:rPr>
            </w:pPr>
          </w:p>
        </w:tc>
        <w:tc>
          <w:tcPr>
            <w:tcW w:w="1080" w:type="dxa"/>
            <w:vAlign w:val="bottom"/>
            <w:tcBorders>
              <w:bottom w:val="single" w:sz="8" w:color="4A7EBB"/>
            </w:tcBorders>
          </w:tcPr>
          <w:p>
            <w:pPr>
              <w:jc w:val="center"/>
              <w:ind w:right="8"/>
              <w:spacing w:after="0" w:line="155" w:lineRule="exact"/>
              <w:rPr>
                <w:sz w:val="20"/>
                <w:szCs w:val="20"/>
                <w:color w:val="auto"/>
              </w:rPr>
            </w:pPr>
            <w:r>
              <w:rPr>
                <w:rFonts w:ascii="Arial" w:cs="Arial" w:eastAsia="Arial" w:hAnsi="Arial"/>
                <w:sz w:val="14"/>
                <w:szCs w:val="14"/>
                <w:color w:val="auto"/>
              </w:rPr>
              <w:t>5,208,530</w:t>
            </w:r>
          </w:p>
        </w:tc>
        <w:tc>
          <w:tcPr>
            <w:tcW w:w="280" w:type="dxa"/>
            <w:vAlign w:val="bottom"/>
            <w:tcBorders>
              <w:bottom w:val="single" w:sz="8" w:color="4A7EBB"/>
            </w:tcBorders>
          </w:tcPr>
          <w:p>
            <w:pPr>
              <w:spacing w:after="0"/>
              <w:rPr>
                <w:sz w:val="13"/>
                <w:szCs w:val="13"/>
                <w:color w:val="auto"/>
              </w:rPr>
            </w:pPr>
          </w:p>
        </w:tc>
        <w:tc>
          <w:tcPr>
            <w:tcW w:w="1400" w:type="dxa"/>
            <w:vAlign w:val="bottom"/>
            <w:tcBorders>
              <w:bottom w:val="single" w:sz="8" w:color="4A7EBB"/>
            </w:tcBorders>
          </w:tcPr>
          <w:p>
            <w:pPr>
              <w:jc w:val="center"/>
              <w:ind w:right="28"/>
              <w:spacing w:after="0" w:line="155" w:lineRule="exact"/>
              <w:rPr>
                <w:sz w:val="20"/>
                <w:szCs w:val="20"/>
                <w:color w:val="auto"/>
              </w:rPr>
            </w:pPr>
            <w:r>
              <w:rPr>
                <w:rFonts w:ascii="Arial" w:cs="Arial" w:eastAsia="Arial" w:hAnsi="Arial"/>
                <w:sz w:val="14"/>
                <w:szCs w:val="14"/>
                <w:color w:val="auto"/>
              </w:rPr>
              <w:t>(2,330,802)</w:t>
            </w:r>
          </w:p>
        </w:tc>
        <w:tc>
          <w:tcPr>
            <w:tcW w:w="300" w:type="dxa"/>
            <w:vAlign w:val="bottom"/>
            <w:tcBorders>
              <w:bottom w:val="single" w:sz="8" w:color="4A7EBB"/>
            </w:tcBorders>
          </w:tcPr>
          <w:p>
            <w:pPr>
              <w:spacing w:after="0"/>
              <w:rPr>
                <w:sz w:val="13"/>
                <w:szCs w:val="13"/>
                <w:color w:val="auto"/>
              </w:rPr>
            </w:pPr>
          </w:p>
        </w:tc>
        <w:tc>
          <w:tcPr>
            <w:tcW w:w="1380" w:type="dxa"/>
            <w:vAlign w:val="bottom"/>
            <w:tcBorders>
              <w:bottom w:val="single" w:sz="8" w:color="4A7EBB"/>
            </w:tcBorders>
          </w:tcPr>
          <w:p>
            <w:pPr>
              <w:jc w:val="center"/>
              <w:ind w:right="48"/>
              <w:spacing w:after="0" w:line="155" w:lineRule="exact"/>
              <w:rPr>
                <w:sz w:val="20"/>
                <w:szCs w:val="20"/>
                <w:color w:val="auto"/>
              </w:rPr>
            </w:pPr>
            <w:r>
              <w:rPr>
                <w:rFonts w:ascii="Arial" w:cs="Arial" w:eastAsia="Arial" w:hAnsi="Arial"/>
                <w:sz w:val="14"/>
                <w:szCs w:val="14"/>
                <w:color w:val="auto"/>
                <w:w w:val="99"/>
              </w:rPr>
              <w:t>—</w:t>
            </w:r>
          </w:p>
        </w:tc>
        <w:tc>
          <w:tcPr>
            <w:tcW w:w="320" w:type="dxa"/>
            <w:vAlign w:val="bottom"/>
            <w:tcBorders>
              <w:bottom w:val="single" w:sz="8" w:color="4A7EBB"/>
            </w:tcBorders>
          </w:tcPr>
          <w:p>
            <w:pPr>
              <w:spacing w:after="0"/>
              <w:rPr>
                <w:sz w:val="13"/>
                <w:szCs w:val="13"/>
                <w:color w:val="auto"/>
              </w:rPr>
            </w:pPr>
          </w:p>
        </w:tc>
        <w:tc>
          <w:tcPr>
            <w:tcW w:w="1420" w:type="dxa"/>
            <w:vAlign w:val="bottom"/>
            <w:tcBorders>
              <w:bottom w:val="single" w:sz="8" w:color="4A7EBB"/>
            </w:tcBorders>
          </w:tcPr>
          <w:p>
            <w:pPr>
              <w:jc w:val="center"/>
              <w:ind w:right="68"/>
              <w:spacing w:after="0" w:line="155" w:lineRule="exact"/>
              <w:rPr>
                <w:sz w:val="20"/>
                <w:szCs w:val="20"/>
                <w:color w:val="auto"/>
              </w:rPr>
            </w:pPr>
            <w:r>
              <w:rPr>
                <w:rFonts w:ascii="Arial" w:cs="Arial" w:eastAsia="Arial" w:hAnsi="Arial"/>
                <w:sz w:val="14"/>
                <w:szCs w:val="14"/>
                <w:color w:val="auto"/>
              </w:rPr>
              <w:t>(328,884)</w:t>
            </w:r>
          </w:p>
        </w:tc>
        <w:tc>
          <w:tcPr>
            <w:tcW w:w="240" w:type="dxa"/>
            <w:vAlign w:val="bottom"/>
            <w:tcBorders>
              <w:bottom w:val="single" w:sz="8" w:color="4A7EBB"/>
            </w:tcBorders>
          </w:tcPr>
          <w:p>
            <w:pPr>
              <w:spacing w:after="0"/>
              <w:rPr>
                <w:sz w:val="13"/>
                <w:szCs w:val="13"/>
                <w:color w:val="auto"/>
              </w:rPr>
            </w:pPr>
          </w:p>
        </w:tc>
        <w:tc>
          <w:tcPr>
            <w:tcW w:w="1140" w:type="dxa"/>
            <w:vAlign w:val="bottom"/>
            <w:tcBorders>
              <w:bottom w:val="single" w:sz="8" w:color="4A7EBB"/>
            </w:tcBorders>
          </w:tcPr>
          <w:p>
            <w:pPr>
              <w:jc w:val="center"/>
              <w:ind w:right="48"/>
              <w:spacing w:after="0" w:line="155" w:lineRule="exact"/>
              <w:rPr>
                <w:sz w:val="20"/>
                <w:szCs w:val="20"/>
                <w:color w:val="auto"/>
              </w:rPr>
            </w:pPr>
            <w:r>
              <w:rPr>
                <w:rFonts w:ascii="Arial" w:cs="Arial" w:eastAsia="Arial" w:hAnsi="Arial"/>
                <w:sz w:val="14"/>
                <w:szCs w:val="14"/>
                <w:color w:val="auto"/>
                <w:w w:val="99"/>
              </w:rPr>
              <w:t>—</w:t>
            </w:r>
          </w:p>
        </w:tc>
        <w:tc>
          <w:tcPr>
            <w:tcW w:w="1300" w:type="dxa"/>
            <w:vAlign w:val="bottom"/>
            <w:tcBorders>
              <w:bottom w:val="single" w:sz="8" w:color="4A7EBB"/>
            </w:tcBorders>
          </w:tcPr>
          <w:p>
            <w:pPr>
              <w:jc w:val="center"/>
              <w:ind w:left="68"/>
              <w:spacing w:after="0" w:line="155" w:lineRule="exact"/>
              <w:rPr>
                <w:sz w:val="20"/>
                <w:szCs w:val="20"/>
                <w:color w:val="auto"/>
              </w:rPr>
            </w:pPr>
            <w:r>
              <w:rPr>
                <w:rFonts w:ascii="Arial" w:cs="Arial" w:eastAsia="Arial" w:hAnsi="Arial"/>
                <w:sz w:val="14"/>
                <w:szCs w:val="14"/>
                <w:color w:val="auto"/>
              </w:rPr>
              <w:t>2,548,844</w:t>
            </w:r>
          </w:p>
        </w:tc>
      </w:tr>
      <w:tr>
        <w:trPr>
          <w:trHeight w:val="155"/>
        </w:trPr>
        <w:tc>
          <w:tcPr>
            <w:tcW w:w="20" w:type="dxa"/>
            <w:vAlign w:val="bottom"/>
          </w:tcPr>
          <w:p>
            <w:pPr>
              <w:spacing w:after="0"/>
              <w:rPr>
                <w:sz w:val="13"/>
                <w:szCs w:val="13"/>
                <w:color w:val="auto"/>
              </w:rPr>
            </w:pPr>
          </w:p>
        </w:tc>
        <w:tc>
          <w:tcPr>
            <w:tcW w:w="800" w:type="dxa"/>
            <w:vAlign w:val="bottom"/>
            <w:tcBorders>
              <w:bottom w:val="single" w:sz="8" w:color="4A7EBB"/>
            </w:tcBorders>
            <w:shd w:val="clear" w:color="auto" w:fill="F2F2F2"/>
          </w:tcPr>
          <w:p>
            <w:pPr>
              <w:ind w:left="240"/>
              <w:spacing w:after="0" w:line="155" w:lineRule="exact"/>
              <w:rPr>
                <w:sz w:val="20"/>
                <w:szCs w:val="20"/>
                <w:color w:val="auto"/>
              </w:rPr>
            </w:pPr>
            <w:r>
              <w:rPr>
                <w:rFonts w:ascii="Arial" w:cs="Arial" w:eastAsia="Arial" w:hAnsi="Arial"/>
                <w:sz w:val="14"/>
                <w:szCs w:val="14"/>
                <w:color w:val="auto"/>
              </w:rPr>
              <w:t>2025</w:t>
            </w:r>
          </w:p>
        </w:tc>
        <w:tc>
          <w:tcPr>
            <w:tcW w:w="240" w:type="dxa"/>
            <w:vAlign w:val="bottom"/>
            <w:tcBorders>
              <w:bottom w:val="single" w:sz="8" w:color="4A7EBB"/>
            </w:tcBorders>
            <w:shd w:val="clear" w:color="auto" w:fill="F2F2F2"/>
          </w:tcPr>
          <w:p>
            <w:pPr>
              <w:spacing w:after="0"/>
              <w:rPr>
                <w:sz w:val="13"/>
                <w:szCs w:val="13"/>
                <w:color w:val="auto"/>
              </w:rPr>
            </w:pPr>
          </w:p>
        </w:tc>
        <w:tc>
          <w:tcPr>
            <w:tcW w:w="1080" w:type="dxa"/>
            <w:vAlign w:val="bottom"/>
            <w:tcBorders>
              <w:bottom w:val="single" w:sz="8" w:color="4A7EBB"/>
            </w:tcBorders>
            <w:shd w:val="clear" w:color="auto" w:fill="F2F2F2"/>
          </w:tcPr>
          <w:p>
            <w:pPr>
              <w:jc w:val="center"/>
              <w:ind w:right="8"/>
              <w:spacing w:after="0" w:line="155" w:lineRule="exact"/>
              <w:rPr>
                <w:sz w:val="20"/>
                <w:szCs w:val="20"/>
                <w:color w:val="auto"/>
              </w:rPr>
            </w:pPr>
            <w:r>
              <w:rPr>
                <w:rFonts w:ascii="Arial" w:cs="Arial" w:eastAsia="Arial" w:hAnsi="Arial"/>
                <w:sz w:val="14"/>
                <w:szCs w:val="14"/>
                <w:color w:val="auto"/>
              </w:rPr>
              <w:t>8,338,331</w:t>
            </w:r>
          </w:p>
        </w:tc>
        <w:tc>
          <w:tcPr>
            <w:tcW w:w="280" w:type="dxa"/>
            <w:vAlign w:val="bottom"/>
            <w:tcBorders>
              <w:bottom w:val="single" w:sz="8" w:color="4A7EBB"/>
            </w:tcBorders>
            <w:shd w:val="clear" w:color="auto" w:fill="F2F2F2"/>
          </w:tcPr>
          <w:p>
            <w:pPr>
              <w:spacing w:after="0"/>
              <w:rPr>
                <w:sz w:val="13"/>
                <w:szCs w:val="13"/>
                <w:color w:val="auto"/>
              </w:rPr>
            </w:pPr>
          </w:p>
        </w:tc>
        <w:tc>
          <w:tcPr>
            <w:tcW w:w="1400" w:type="dxa"/>
            <w:vAlign w:val="bottom"/>
            <w:tcBorders>
              <w:bottom w:val="single" w:sz="8" w:color="4A7EBB"/>
            </w:tcBorders>
            <w:shd w:val="clear" w:color="auto" w:fill="F2F2F2"/>
          </w:tcPr>
          <w:p>
            <w:pPr>
              <w:jc w:val="center"/>
              <w:ind w:right="28"/>
              <w:spacing w:after="0" w:line="155" w:lineRule="exact"/>
              <w:rPr>
                <w:sz w:val="20"/>
                <w:szCs w:val="20"/>
                <w:color w:val="auto"/>
              </w:rPr>
            </w:pPr>
            <w:r>
              <w:rPr>
                <w:rFonts w:ascii="Arial" w:cs="Arial" w:eastAsia="Arial" w:hAnsi="Arial"/>
                <w:sz w:val="14"/>
                <w:szCs w:val="14"/>
                <w:color w:val="auto"/>
              </w:rPr>
              <w:t>(4,419,335)</w:t>
            </w:r>
          </w:p>
        </w:tc>
        <w:tc>
          <w:tcPr>
            <w:tcW w:w="300" w:type="dxa"/>
            <w:vAlign w:val="bottom"/>
            <w:tcBorders>
              <w:bottom w:val="single" w:sz="8" w:color="4A7EBB"/>
            </w:tcBorders>
            <w:shd w:val="clear" w:color="auto" w:fill="F2F2F2"/>
          </w:tcPr>
          <w:p>
            <w:pPr>
              <w:spacing w:after="0"/>
              <w:rPr>
                <w:sz w:val="13"/>
                <w:szCs w:val="13"/>
                <w:color w:val="auto"/>
              </w:rPr>
            </w:pPr>
          </w:p>
        </w:tc>
        <w:tc>
          <w:tcPr>
            <w:tcW w:w="1380" w:type="dxa"/>
            <w:vAlign w:val="bottom"/>
            <w:tcBorders>
              <w:bottom w:val="single" w:sz="8" w:color="4A7EBB"/>
            </w:tcBorders>
            <w:shd w:val="clear" w:color="auto" w:fill="F2F2F2"/>
          </w:tcPr>
          <w:p>
            <w:pPr>
              <w:jc w:val="center"/>
              <w:ind w:right="48"/>
              <w:spacing w:after="0" w:line="155" w:lineRule="exact"/>
              <w:rPr>
                <w:sz w:val="20"/>
                <w:szCs w:val="20"/>
                <w:color w:val="auto"/>
              </w:rPr>
            </w:pPr>
            <w:r>
              <w:rPr>
                <w:rFonts w:ascii="Arial" w:cs="Arial" w:eastAsia="Arial" w:hAnsi="Arial"/>
                <w:sz w:val="14"/>
                <w:szCs w:val="14"/>
                <w:color w:val="auto"/>
                <w:w w:val="99"/>
              </w:rPr>
              <w:t>—</w:t>
            </w:r>
          </w:p>
        </w:tc>
        <w:tc>
          <w:tcPr>
            <w:tcW w:w="320" w:type="dxa"/>
            <w:vAlign w:val="bottom"/>
            <w:tcBorders>
              <w:bottom w:val="single" w:sz="8" w:color="4A7EBB"/>
            </w:tcBorders>
            <w:shd w:val="clear" w:color="auto" w:fill="F2F2F2"/>
          </w:tcPr>
          <w:p>
            <w:pPr>
              <w:spacing w:after="0"/>
              <w:rPr>
                <w:sz w:val="13"/>
                <w:szCs w:val="13"/>
                <w:color w:val="auto"/>
              </w:rPr>
            </w:pPr>
          </w:p>
        </w:tc>
        <w:tc>
          <w:tcPr>
            <w:tcW w:w="1420" w:type="dxa"/>
            <w:vAlign w:val="bottom"/>
            <w:tcBorders>
              <w:bottom w:val="single" w:sz="8" w:color="4A7EBB"/>
            </w:tcBorders>
            <w:shd w:val="clear" w:color="auto" w:fill="F2F2F2"/>
          </w:tcPr>
          <w:p>
            <w:pPr>
              <w:jc w:val="center"/>
              <w:ind w:right="68"/>
              <w:spacing w:after="0" w:line="155" w:lineRule="exact"/>
              <w:rPr>
                <w:sz w:val="20"/>
                <w:szCs w:val="20"/>
                <w:color w:val="auto"/>
              </w:rPr>
            </w:pPr>
            <w:r>
              <w:rPr>
                <w:rFonts w:ascii="Arial" w:cs="Arial" w:eastAsia="Arial" w:hAnsi="Arial"/>
                <w:sz w:val="14"/>
                <w:szCs w:val="14"/>
                <w:color w:val="auto"/>
              </w:rPr>
              <w:t>(248,169)</w:t>
            </w:r>
          </w:p>
        </w:tc>
        <w:tc>
          <w:tcPr>
            <w:tcW w:w="240" w:type="dxa"/>
            <w:vAlign w:val="bottom"/>
            <w:tcBorders>
              <w:bottom w:val="single" w:sz="8" w:color="4A7EBB"/>
            </w:tcBorders>
            <w:shd w:val="clear" w:color="auto" w:fill="F2F2F2"/>
          </w:tcPr>
          <w:p>
            <w:pPr>
              <w:spacing w:after="0"/>
              <w:rPr>
                <w:sz w:val="13"/>
                <w:szCs w:val="13"/>
                <w:color w:val="auto"/>
              </w:rPr>
            </w:pPr>
          </w:p>
        </w:tc>
        <w:tc>
          <w:tcPr>
            <w:tcW w:w="1140" w:type="dxa"/>
            <w:vAlign w:val="bottom"/>
            <w:tcBorders>
              <w:bottom w:val="single" w:sz="8" w:color="4A7EBB"/>
            </w:tcBorders>
            <w:shd w:val="clear" w:color="auto" w:fill="F2F2F2"/>
          </w:tcPr>
          <w:p>
            <w:pPr>
              <w:jc w:val="center"/>
              <w:ind w:right="48"/>
              <w:spacing w:after="0" w:line="155" w:lineRule="exact"/>
              <w:rPr>
                <w:sz w:val="20"/>
                <w:szCs w:val="20"/>
                <w:color w:val="auto"/>
              </w:rPr>
            </w:pPr>
            <w:r>
              <w:rPr>
                <w:rFonts w:ascii="Arial" w:cs="Arial" w:eastAsia="Arial" w:hAnsi="Arial"/>
                <w:sz w:val="14"/>
                <w:szCs w:val="14"/>
                <w:color w:val="auto"/>
                <w:w w:val="99"/>
              </w:rPr>
              <w:t>—</w:t>
            </w:r>
          </w:p>
        </w:tc>
        <w:tc>
          <w:tcPr>
            <w:tcW w:w="1300" w:type="dxa"/>
            <w:vAlign w:val="bottom"/>
            <w:tcBorders>
              <w:bottom w:val="single" w:sz="8" w:color="4A7EBB"/>
            </w:tcBorders>
            <w:shd w:val="clear" w:color="auto" w:fill="F2F2F2"/>
          </w:tcPr>
          <w:p>
            <w:pPr>
              <w:jc w:val="center"/>
              <w:ind w:left="68"/>
              <w:spacing w:after="0" w:line="155" w:lineRule="exact"/>
              <w:rPr>
                <w:sz w:val="20"/>
                <w:szCs w:val="20"/>
                <w:color w:val="auto"/>
              </w:rPr>
            </w:pPr>
            <w:r>
              <w:rPr>
                <w:rFonts w:ascii="Arial" w:cs="Arial" w:eastAsia="Arial" w:hAnsi="Arial"/>
                <w:sz w:val="14"/>
                <w:szCs w:val="14"/>
                <w:color w:val="auto"/>
              </w:rPr>
              <w:t>3,670,827</w:t>
            </w:r>
          </w:p>
        </w:tc>
      </w:tr>
      <w:tr>
        <w:trPr>
          <w:trHeight w:val="156"/>
        </w:trPr>
        <w:tc>
          <w:tcPr>
            <w:tcW w:w="20" w:type="dxa"/>
            <w:vAlign w:val="bottom"/>
          </w:tcPr>
          <w:p>
            <w:pPr>
              <w:spacing w:after="0"/>
              <w:rPr>
                <w:sz w:val="13"/>
                <w:szCs w:val="13"/>
                <w:color w:val="auto"/>
              </w:rPr>
            </w:pPr>
          </w:p>
        </w:tc>
        <w:tc>
          <w:tcPr>
            <w:tcW w:w="800" w:type="dxa"/>
            <w:vAlign w:val="bottom"/>
            <w:tcBorders>
              <w:bottom w:val="single" w:sz="8" w:color="4A7EBB"/>
            </w:tcBorders>
          </w:tcPr>
          <w:p>
            <w:pPr>
              <w:ind w:left="240"/>
              <w:spacing w:after="0" w:line="155" w:lineRule="exact"/>
              <w:rPr>
                <w:sz w:val="20"/>
                <w:szCs w:val="20"/>
                <w:color w:val="auto"/>
              </w:rPr>
            </w:pPr>
            <w:r>
              <w:rPr>
                <w:rFonts w:ascii="Arial" w:cs="Arial" w:eastAsia="Arial" w:hAnsi="Arial"/>
                <w:sz w:val="14"/>
                <w:szCs w:val="14"/>
                <w:color w:val="auto"/>
              </w:rPr>
              <w:t>2024</w:t>
            </w:r>
          </w:p>
        </w:tc>
        <w:tc>
          <w:tcPr>
            <w:tcW w:w="240" w:type="dxa"/>
            <w:vAlign w:val="bottom"/>
            <w:tcBorders>
              <w:bottom w:val="single" w:sz="8" w:color="4A7EBB"/>
            </w:tcBorders>
          </w:tcPr>
          <w:p>
            <w:pPr>
              <w:spacing w:after="0"/>
              <w:rPr>
                <w:sz w:val="13"/>
                <w:szCs w:val="13"/>
                <w:color w:val="auto"/>
              </w:rPr>
            </w:pPr>
          </w:p>
        </w:tc>
        <w:tc>
          <w:tcPr>
            <w:tcW w:w="1080" w:type="dxa"/>
            <w:vAlign w:val="bottom"/>
            <w:tcBorders>
              <w:bottom w:val="single" w:sz="8" w:color="4A7EBB"/>
            </w:tcBorders>
          </w:tcPr>
          <w:p>
            <w:pPr>
              <w:jc w:val="center"/>
              <w:ind w:right="8"/>
              <w:spacing w:after="0" w:line="155" w:lineRule="exact"/>
              <w:rPr>
                <w:sz w:val="20"/>
                <w:szCs w:val="20"/>
                <w:color w:val="auto"/>
              </w:rPr>
            </w:pPr>
            <w:r>
              <w:rPr>
                <w:rFonts w:ascii="Arial" w:cs="Arial" w:eastAsia="Arial" w:hAnsi="Arial"/>
                <w:sz w:val="14"/>
                <w:szCs w:val="14"/>
                <w:color w:val="auto"/>
              </w:rPr>
              <w:t>31,251,023</w:t>
            </w:r>
          </w:p>
        </w:tc>
        <w:tc>
          <w:tcPr>
            <w:tcW w:w="280" w:type="dxa"/>
            <w:vAlign w:val="bottom"/>
            <w:tcBorders>
              <w:bottom w:val="single" w:sz="8" w:color="4A7EBB"/>
            </w:tcBorders>
          </w:tcPr>
          <w:p>
            <w:pPr>
              <w:spacing w:after="0"/>
              <w:rPr>
                <w:sz w:val="13"/>
                <w:szCs w:val="13"/>
                <w:color w:val="auto"/>
              </w:rPr>
            </w:pPr>
          </w:p>
        </w:tc>
        <w:tc>
          <w:tcPr>
            <w:tcW w:w="1400" w:type="dxa"/>
            <w:vAlign w:val="bottom"/>
            <w:tcBorders>
              <w:bottom w:val="single" w:sz="8" w:color="4A7EBB"/>
            </w:tcBorders>
          </w:tcPr>
          <w:p>
            <w:pPr>
              <w:jc w:val="center"/>
              <w:ind w:right="8"/>
              <w:spacing w:after="0" w:line="155" w:lineRule="exact"/>
              <w:rPr>
                <w:sz w:val="20"/>
                <w:szCs w:val="20"/>
                <w:color w:val="auto"/>
              </w:rPr>
            </w:pPr>
            <w:r>
              <w:rPr>
                <w:rFonts w:ascii="Arial" w:cs="Arial" w:eastAsia="Arial" w:hAnsi="Arial"/>
                <w:sz w:val="14"/>
                <w:szCs w:val="14"/>
                <w:color w:val="auto"/>
              </w:rPr>
              <w:t>1,186,386</w:t>
            </w:r>
          </w:p>
        </w:tc>
        <w:tc>
          <w:tcPr>
            <w:tcW w:w="300" w:type="dxa"/>
            <w:vAlign w:val="bottom"/>
            <w:tcBorders>
              <w:bottom w:val="single" w:sz="8" w:color="4A7EBB"/>
            </w:tcBorders>
          </w:tcPr>
          <w:p>
            <w:pPr>
              <w:spacing w:after="0"/>
              <w:rPr>
                <w:sz w:val="13"/>
                <w:szCs w:val="13"/>
                <w:color w:val="auto"/>
              </w:rPr>
            </w:pPr>
          </w:p>
        </w:tc>
        <w:tc>
          <w:tcPr>
            <w:tcW w:w="1380" w:type="dxa"/>
            <w:vAlign w:val="bottom"/>
            <w:tcBorders>
              <w:bottom w:val="single" w:sz="8" w:color="4A7EBB"/>
            </w:tcBorders>
          </w:tcPr>
          <w:p>
            <w:pPr>
              <w:jc w:val="center"/>
              <w:ind w:right="48"/>
              <w:spacing w:after="0" w:line="155" w:lineRule="exact"/>
              <w:rPr>
                <w:sz w:val="20"/>
                <w:szCs w:val="20"/>
                <w:color w:val="auto"/>
              </w:rPr>
            </w:pPr>
            <w:r>
              <w:rPr>
                <w:rFonts w:ascii="Arial" w:cs="Arial" w:eastAsia="Arial" w:hAnsi="Arial"/>
                <w:sz w:val="14"/>
                <w:szCs w:val="14"/>
                <w:color w:val="auto"/>
                <w:w w:val="99"/>
              </w:rPr>
              <w:t>—</w:t>
            </w:r>
          </w:p>
        </w:tc>
        <w:tc>
          <w:tcPr>
            <w:tcW w:w="320" w:type="dxa"/>
            <w:vAlign w:val="bottom"/>
            <w:tcBorders>
              <w:bottom w:val="single" w:sz="8" w:color="4A7EBB"/>
            </w:tcBorders>
          </w:tcPr>
          <w:p>
            <w:pPr>
              <w:spacing w:after="0"/>
              <w:rPr>
                <w:sz w:val="13"/>
                <w:szCs w:val="13"/>
                <w:color w:val="auto"/>
              </w:rPr>
            </w:pPr>
          </w:p>
        </w:tc>
        <w:tc>
          <w:tcPr>
            <w:tcW w:w="1420" w:type="dxa"/>
            <w:vAlign w:val="bottom"/>
            <w:tcBorders>
              <w:bottom w:val="single" w:sz="8" w:color="4A7EBB"/>
            </w:tcBorders>
          </w:tcPr>
          <w:p>
            <w:pPr>
              <w:jc w:val="center"/>
              <w:ind w:right="68"/>
              <w:spacing w:after="0" w:line="155" w:lineRule="exact"/>
              <w:rPr>
                <w:sz w:val="20"/>
                <w:szCs w:val="20"/>
                <w:color w:val="auto"/>
              </w:rPr>
            </w:pPr>
            <w:r>
              <w:rPr>
                <w:rFonts w:ascii="Arial" w:cs="Arial" w:eastAsia="Arial" w:hAnsi="Arial"/>
                <w:sz w:val="14"/>
                <w:szCs w:val="14"/>
                <w:color w:val="auto"/>
              </w:rPr>
              <w:t>1,147,500</w:t>
            </w:r>
          </w:p>
        </w:tc>
        <w:tc>
          <w:tcPr>
            <w:tcW w:w="240" w:type="dxa"/>
            <w:vAlign w:val="bottom"/>
            <w:tcBorders>
              <w:bottom w:val="single" w:sz="8" w:color="4A7EBB"/>
            </w:tcBorders>
          </w:tcPr>
          <w:p>
            <w:pPr>
              <w:spacing w:after="0"/>
              <w:rPr>
                <w:sz w:val="13"/>
                <w:szCs w:val="13"/>
                <w:color w:val="auto"/>
              </w:rPr>
            </w:pPr>
          </w:p>
        </w:tc>
        <w:tc>
          <w:tcPr>
            <w:tcW w:w="1140" w:type="dxa"/>
            <w:vAlign w:val="bottom"/>
            <w:tcBorders>
              <w:bottom w:val="single" w:sz="8" w:color="4A7EBB"/>
            </w:tcBorders>
          </w:tcPr>
          <w:p>
            <w:pPr>
              <w:jc w:val="center"/>
              <w:ind w:right="48"/>
              <w:spacing w:after="0" w:line="155" w:lineRule="exact"/>
              <w:rPr>
                <w:sz w:val="20"/>
                <w:szCs w:val="20"/>
                <w:color w:val="auto"/>
              </w:rPr>
            </w:pPr>
            <w:r>
              <w:rPr>
                <w:rFonts w:ascii="Arial" w:cs="Arial" w:eastAsia="Arial" w:hAnsi="Arial"/>
                <w:sz w:val="14"/>
                <w:szCs w:val="14"/>
                <w:color w:val="auto"/>
                <w:w w:val="99"/>
              </w:rPr>
              <w:t>—</w:t>
            </w:r>
          </w:p>
        </w:tc>
        <w:tc>
          <w:tcPr>
            <w:tcW w:w="1300" w:type="dxa"/>
            <w:vAlign w:val="bottom"/>
            <w:tcBorders>
              <w:bottom w:val="single" w:sz="8" w:color="4A7EBB"/>
            </w:tcBorders>
          </w:tcPr>
          <w:p>
            <w:pPr>
              <w:jc w:val="center"/>
              <w:ind w:left="68"/>
              <w:spacing w:after="0" w:line="155" w:lineRule="exact"/>
              <w:rPr>
                <w:sz w:val="20"/>
                <w:szCs w:val="20"/>
                <w:color w:val="auto"/>
              </w:rPr>
            </w:pPr>
            <w:r>
              <w:rPr>
                <w:rFonts w:ascii="Arial" w:cs="Arial" w:eastAsia="Arial" w:hAnsi="Arial"/>
                <w:sz w:val="14"/>
                <w:szCs w:val="14"/>
                <w:color w:val="auto"/>
              </w:rPr>
              <w:t>33,584,908</w:t>
            </w:r>
          </w:p>
        </w:tc>
      </w:tr>
      <w:tr>
        <w:trPr>
          <w:trHeight w:val="155"/>
        </w:trPr>
        <w:tc>
          <w:tcPr>
            <w:tcW w:w="20" w:type="dxa"/>
            <w:vAlign w:val="bottom"/>
          </w:tcPr>
          <w:p>
            <w:pPr>
              <w:spacing w:after="0"/>
              <w:rPr>
                <w:sz w:val="13"/>
                <w:szCs w:val="13"/>
                <w:color w:val="auto"/>
              </w:rPr>
            </w:pPr>
          </w:p>
        </w:tc>
        <w:tc>
          <w:tcPr>
            <w:tcW w:w="800" w:type="dxa"/>
            <w:vAlign w:val="bottom"/>
            <w:tcBorders>
              <w:bottom w:val="single" w:sz="8" w:color="4A7EBB"/>
            </w:tcBorders>
            <w:shd w:val="clear" w:color="auto" w:fill="F2F2F2"/>
          </w:tcPr>
          <w:p>
            <w:pPr>
              <w:ind w:left="240"/>
              <w:spacing w:after="0" w:line="155" w:lineRule="exact"/>
              <w:rPr>
                <w:sz w:val="20"/>
                <w:szCs w:val="20"/>
                <w:color w:val="auto"/>
              </w:rPr>
            </w:pPr>
            <w:r>
              <w:rPr>
                <w:rFonts w:ascii="Arial" w:cs="Arial" w:eastAsia="Arial" w:hAnsi="Arial"/>
                <w:sz w:val="14"/>
                <w:szCs w:val="14"/>
                <w:color w:val="auto"/>
              </w:rPr>
              <w:t>2023</w:t>
            </w:r>
          </w:p>
        </w:tc>
        <w:tc>
          <w:tcPr>
            <w:tcW w:w="240" w:type="dxa"/>
            <w:vAlign w:val="bottom"/>
            <w:tcBorders>
              <w:bottom w:val="single" w:sz="8" w:color="4A7EBB"/>
            </w:tcBorders>
            <w:shd w:val="clear" w:color="auto" w:fill="F2F2F2"/>
          </w:tcPr>
          <w:p>
            <w:pPr>
              <w:spacing w:after="0"/>
              <w:rPr>
                <w:sz w:val="13"/>
                <w:szCs w:val="13"/>
                <w:color w:val="auto"/>
              </w:rPr>
            </w:pPr>
          </w:p>
        </w:tc>
        <w:tc>
          <w:tcPr>
            <w:tcW w:w="1080" w:type="dxa"/>
            <w:vAlign w:val="bottom"/>
            <w:tcBorders>
              <w:bottom w:val="single" w:sz="8" w:color="4A7EBB"/>
            </w:tcBorders>
            <w:shd w:val="clear" w:color="auto" w:fill="F2F2F2"/>
          </w:tcPr>
          <w:p>
            <w:pPr>
              <w:jc w:val="center"/>
              <w:ind w:right="8"/>
              <w:spacing w:after="0" w:line="155" w:lineRule="exact"/>
              <w:rPr>
                <w:sz w:val="20"/>
                <w:szCs w:val="20"/>
                <w:color w:val="auto"/>
              </w:rPr>
            </w:pPr>
            <w:r>
              <w:rPr>
                <w:rFonts w:ascii="Arial" w:cs="Arial" w:eastAsia="Arial" w:hAnsi="Arial"/>
                <w:sz w:val="14"/>
                <w:szCs w:val="14"/>
                <w:color w:val="auto"/>
              </w:rPr>
              <w:t>908,731</w:t>
            </w:r>
          </w:p>
        </w:tc>
        <w:tc>
          <w:tcPr>
            <w:tcW w:w="280" w:type="dxa"/>
            <w:vAlign w:val="bottom"/>
            <w:tcBorders>
              <w:bottom w:val="single" w:sz="8" w:color="4A7EBB"/>
            </w:tcBorders>
            <w:shd w:val="clear" w:color="auto" w:fill="F2F2F2"/>
          </w:tcPr>
          <w:p>
            <w:pPr>
              <w:spacing w:after="0"/>
              <w:rPr>
                <w:sz w:val="13"/>
                <w:szCs w:val="13"/>
                <w:color w:val="auto"/>
              </w:rPr>
            </w:pPr>
          </w:p>
        </w:tc>
        <w:tc>
          <w:tcPr>
            <w:tcW w:w="1400" w:type="dxa"/>
            <w:vAlign w:val="bottom"/>
            <w:tcBorders>
              <w:bottom w:val="single" w:sz="8" w:color="4A7EBB"/>
            </w:tcBorders>
            <w:shd w:val="clear" w:color="auto" w:fill="F2F2F2"/>
          </w:tcPr>
          <w:p>
            <w:pPr>
              <w:jc w:val="center"/>
              <w:ind w:right="28"/>
              <w:spacing w:after="0" w:line="155" w:lineRule="exact"/>
              <w:rPr>
                <w:sz w:val="20"/>
                <w:szCs w:val="20"/>
                <w:color w:val="auto"/>
              </w:rPr>
            </w:pPr>
            <w:r>
              <w:rPr>
                <w:rFonts w:ascii="Arial" w:cs="Arial" w:eastAsia="Arial" w:hAnsi="Arial"/>
                <w:sz w:val="14"/>
                <w:szCs w:val="14"/>
                <w:color w:val="auto"/>
              </w:rPr>
              <w:t>(5,474,346)</w:t>
            </w:r>
          </w:p>
        </w:tc>
        <w:tc>
          <w:tcPr>
            <w:tcW w:w="300" w:type="dxa"/>
            <w:vAlign w:val="bottom"/>
            <w:tcBorders>
              <w:bottom w:val="single" w:sz="8" w:color="4A7EBB"/>
            </w:tcBorders>
            <w:shd w:val="clear" w:color="auto" w:fill="F2F2F2"/>
          </w:tcPr>
          <w:p>
            <w:pPr>
              <w:spacing w:after="0"/>
              <w:rPr>
                <w:sz w:val="13"/>
                <w:szCs w:val="13"/>
                <w:color w:val="auto"/>
              </w:rPr>
            </w:pPr>
          </w:p>
        </w:tc>
        <w:tc>
          <w:tcPr>
            <w:tcW w:w="1380" w:type="dxa"/>
            <w:vAlign w:val="bottom"/>
            <w:tcBorders>
              <w:bottom w:val="single" w:sz="8" w:color="4A7EBB"/>
            </w:tcBorders>
            <w:shd w:val="clear" w:color="auto" w:fill="F2F2F2"/>
          </w:tcPr>
          <w:p>
            <w:pPr>
              <w:jc w:val="center"/>
              <w:ind w:right="48"/>
              <w:spacing w:after="0" w:line="155" w:lineRule="exact"/>
              <w:rPr>
                <w:sz w:val="20"/>
                <w:szCs w:val="20"/>
                <w:color w:val="auto"/>
              </w:rPr>
            </w:pPr>
            <w:r>
              <w:rPr>
                <w:rFonts w:ascii="Arial" w:cs="Arial" w:eastAsia="Arial" w:hAnsi="Arial"/>
                <w:sz w:val="14"/>
                <w:szCs w:val="14"/>
                <w:color w:val="auto"/>
                <w:w w:val="99"/>
              </w:rPr>
              <w:t>—</w:t>
            </w:r>
          </w:p>
        </w:tc>
        <w:tc>
          <w:tcPr>
            <w:tcW w:w="320" w:type="dxa"/>
            <w:vAlign w:val="bottom"/>
            <w:tcBorders>
              <w:bottom w:val="single" w:sz="8" w:color="4A7EBB"/>
            </w:tcBorders>
            <w:shd w:val="clear" w:color="auto" w:fill="F2F2F2"/>
          </w:tcPr>
          <w:p>
            <w:pPr>
              <w:spacing w:after="0"/>
              <w:rPr>
                <w:sz w:val="13"/>
                <w:szCs w:val="13"/>
                <w:color w:val="auto"/>
              </w:rPr>
            </w:pPr>
          </w:p>
        </w:tc>
        <w:tc>
          <w:tcPr>
            <w:tcW w:w="1420" w:type="dxa"/>
            <w:vAlign w:val="bottom"/>
            <w:tcBorders>
              <w:bottom w:val="single" w:sz="8" w:color="4A7EBB"/>
            </w:tcBorders>
            <w:shd w:val="clear" w:color="auto" w:fill="F2F2F2"/>
          </w:tcPr>
          <w:p>
            <w:pPr>
              <w:jc w:val="center"/>
              <w:ind w:right="68"/>
              <w:spacing w:after="0" w:line="155" w:lineRule="exact"/>
              <w:rPr>
                <w:sz w:val="20"/>
                <w:szCs w:val="20"/>
                <w:color w:val="auto"/>
              </w:rPr>
            </w:pPr>
            <w:r>
              <w:rPr>
                <w:rFonts w:ascii="Arial" w:cs="Arial" w:eastAsia="Arial" w:hAnsi="Arial"/>
                <w:sz w:val="14"/>
                <w:szCs w:val="14"/>
                <w:color w:val="auto"/>
              </w:rPr>
              <w:t>(131,804)</w:t>
            </w:r>
          </w:p>
        </w:tc>
        <w:tc>
          <w:tcPr>
            <w:tcW w:w="240" w:type="dxa"/>
            <w:vAlign w:val="bottom"/>
            <w:tcBorders>
              <w:bottom w:val="single" w:sz="8" w:color="4A7EBB"/>
            </w:tcBorders>
            <w:shd w:val="clear" w:color="auto" w:fill="F2F2F2"/>
          </w:tcPr>
          <w:p>
            <w:pPr>
              <w:spacing w:after="0"/>
              <w:rPr>
                <w:sz w:val="13"/>
                <w:szCs w:val="13"/>
                <w:color w:val="auto"/>
              </w:rPr>
            </w:pPr>
          </w:p>
        </w:tc>
        <w:tc>
          <w:tcPr>
            <w:tcW w:w="1140" w:type="dxa"/>
            <w:vAlign w:val="bottom"/>
            <w:tcBorders>
              <w:bottom w:val="single" w:sz="8" w:color="4A7EBB"/>
            </w:tcBorders>
            <w:shd w:val="clear" w:color="auto" w:fill="F2F2F2"/>
          </w:tcPr>
          <w:p>
            <w:pPr>
              <w:jc w:val="center"/>
              <w:ind w:right="48"/>
              <w:spacing w:after="0" w:line="155" w:lineRule="exact"/>
              <w:rPr>
                <w:sz w:val="20"/>
                <w:szCs w:val="20"/>
                <w:color w:val="auto"/>
              </w:rPr>
            </w:pPr>
            <w:r>
              <w:rPr>
                <w:rFonts w:ascii="Arial" w:cs="Arial" w:eastAsia="Arial" w:hAnsi="Arial"/>
                <w:sz w:val="14"/>
                <w:szCs w:val="14"/>
                <w:color w:val="auto"/>
                <w:w w:val="99"/>
              </w:rPr>
              <w:t>—</w:t>
            </w:r>
          </w:p>
        </w:tc>
        <w:tc>
          <w:tcPr>
            <w:tcW w:w="1300" w:type="dxa"/>
            <w:vAlign w:val="bottom"/>
            <w:tcBorders>
              <w:bottom w:val="single" w:sz="8" w:color="4A7EBB"/>
            </w:tcBorders>
            <w:shd w:val="clear" w:color="auto" w:fill="F2F2F2"/>
          </w:tcPr>
          <w:p>
            <w:pPr>
              <w:jc w:val="center"/>
              <w:ind w:left="48"/>
              <w:spacing w:after="0" w:line="155" w:lineRule="exact"/>
              <w:rPr>
                <w:sz w:val="20"/>
                <w:szCs w:val="20"/>
                <w:color w:val="auto"/>
              </w:rPr>
            </w:pPr>
            <w:r>
              <w:rPr>
                <w:rFonts w:ascii="Arial" w:cs="Arial" w:eastAsia="Arial" w:hAnsi="Arial"/>
                <w:sz w:val="14"/>
                <w:szCs w:val="14"/>
                <w:color w:val="auto"/>
              </w:rPr>
              <w:t>(4,697,419)</w:t>
            </w:r>
          </w:p>
        </w:tc>
      </w:tr>
      <w:tr>
        <w:trPr>
          <w:trHeight w:val="156"/>
        </w:trPr>
        <w:tc>
          <w:tcPr>
            <w:tcW w:w="20" w:type="dxa"/>
            <w:vAlign w:val="bottom"/>
          </w:tcPr>
          <w:p>
            <w:pPr>
              <w:spacing w:after="0"/>
              <w:rPr>
                <w:sz w:val="13"/>
                <w:szCs w:val="13"/>
                <w:color w:val="auto"/>
              </w:rPr>
            </w:pPr>
          </w:p>
        </w:tc>
        <w:tc>
          <w:tcPr>
            <w:tcW w:w="800" w:type="dxa"/>
            <w:vAlign w:val="bottom"/>
            <w:tcBorders>
              <w:bottom w:val="single" w:sz="8" w:color="4A7EBB"/>
            </w:tcBorders>
          </w:tcPr>
          <w:p>
            <w:pPr>
              <w:ind w:left="240"/>
              <w:spacing w:after="0" w:line="155" w:lineRule="exact"/>
              <w:rPr>
                <w:sz w:val="20"/>
                <w:szCs w:val="20"/>
                <w:color w:val="auto"/>
              </w:rPr>
            </w:pPr>
            <w:r>
              <w:rPr>
                <w:rFonts w:ascii="Arial" w:cs="Arial" w:eastAsia="Arial" w:hAnsi="Arial"/>
                <w:sz w:val="14"/>
                <w:szCs w:val="14"/>
                <w:color w:val="auto"/>
              </w:rPr>
              <w:t>2022</w:t>
            </w:r>
          </w:p>
        </w:tc>
        <w:tc>
          <w:tcPr>
            <w:tcW w:w="240" w:type="dxa"/>
            <w:vAlign w:val="bottom"/>
            <w:tcBorders>
              <w:bottom w:val="single" w:sz="8" w:color="4A7EBB"/>
            </w:tcBorders>
          </w:tcPr>
          <w:p>
            <w:pPr>
              <w:spacing w:after="0"/>
              <w:rPr>
                <w:sz w:val="13"/>
                <w:szCs w:val="13"/>
                <w:color w:val="auto"/>
              </w:rPr>
            </w:pPr>
          </w:p>
        </w:tc>
        <w:tc>
          <w:tcPr>
            <w:tcW w:w="1080" w:type="dxa"/>
            <w:vAlign w:val="bottom"/>
            <w:tcBorders>
              <w:bottom w:val="single" w:sz="8" w:color="4A7EBB"/>
            </w:tcBorders>
          </w:tcPr>
          <w:p>
            <w:pPr>
              <w:jc w:val="center"/>
              <w:ind w:right="8"/>
              <w:spacing w:after="0" w:line="155" w:lineRule="exact"/>
              <w:rPr>
                <w:sz w:val="20"/>
                <w:szCs w:val="20"/>
                <w:color w:val="auto"/>
              </w:rPr>
            </w:pPr>
            <w:r>
              <w:rPr>
                <w:rFonts w:ascii="Arial" w:cs="Arial" w:eastAsia="Arial" w:hAnsi="Arial"/>
                <w:sz w:val="14"/>
                <w:szCs w:val="14"/>
                <w:color w:val="auto"/>
              </w:rPr>
              <w:t>4,322,272</w:t>
            </w:r>
          </w:p>
        </w:tc>
        <w:tc>
          <w:tcPr>
            <w:tcW w:w="280" w:type="dxa"/>
            <w:vAlign w:val="bottom"/>
            <w:tcBorders>
              <w:bottom w:val="single" w:sz="8" w:color="4A7EBB"/>
            </w:tcBorders>
          </w:tcPr>
          <w:p>
            <w:pPr>
              <w:spacing w:after="0"/>
              <w:rPr>
                <w:sz w:val="13"/>
                <w:szCs w:val="13"/>
                <w:color w:val="auto"/>
              </w:rPr>
            </w:pPr>
          </w:p>
        </w:tc>
        <w:tc>
          <w:tcPr>
            <w:tcW w:w="1400" w:type="dxa"/>
            <w:vAlign w:val="bottom"/>
            <w:tcBorders>
              <w:bottom w:val="single" w:sz="8" w:color="4A7EBB"/>
            </w:tcBorders>
          </w:tcPr>
          <w:p>
            <w:pPr>
              <w:jc w:val="center"/>
              <w:ind w:right="8"/>
              <w:spacing w:after="0" w:line="155" w:lineRule="exact"/>
              <w:rPr>
                <w:sz w:val="20"/>
                <w:szCs w:val="20"/>
                <w:color w:val="auto"/>
              </w:rPr>
            </w:pPr>
            <w:r>
              <w:rPr>
                <w:rFonts w:ascii="Arial" w:cs="Arial" w:eastAsia="Arial" w:hAnsi="Arial"/>
                <w:sz w:val="14"/>
                <w:szCs w:val="14"/>
                <w:color w:val="auto"/>
              </w:rPr>
              <w:t>769,298</w:t>
            </w:r>
          </w:p>
        </w:tc>
        <w:tc>
          <w:tcPr>
            <w:tcW w:w="300" w:type="dxa"/>
            <w:vAlign w:val="bottom"/>
            <w:tcBorders>
              <w:bottom w:val="single" w:sz="8" w:color="4A7EBB"/>
            </w:tcBorders>
          </w:tcPr>
          <w:p>
            <w:pPr>
              <w:spacing w:after="0"/>
              <w:rPr>
                <w:sz w:val="13"/>
                <w:szCs w:val="13"/>
                <w:color w:val="auto"/>
              </w:rPr>
            </w:pPr>
          </w:p>
        </w:tc>
        <w:tc>
          <w:tcPr>
            <w:tcW w:w="1380" w:type="dxa"/>
            <w:vAlign w:val="bottom"/>
            <w:tcBorders>
              <w:bottom w:val="single" w:sz="8" w:color="4A7EBB"/>
            </w:tcBorders>
          </w:tcPr>
          <w:p>
            <w:pPr>
              <w:jc w:val="center"/>
              <w:ind w:right="28"/>
              <w:spacing w:after="0" w:line="155" w:lineRule="exact"/>
              <w:rPr>
                <w:sz w:val="20"/>
                <w:szCs w:val="20"/>
                <w:color w:val="auto"/>
              </w:rPr>
            </w:pPr>
            <w:r>
              <w:rPr>
                <w:rFonts w:ascii="Arial" w:cs="Arial" w:eastAsia="Arial" w:hAnsi="Arial"/>
                <w:sz w:val="14"/>
                <w:szCs w:val="14"/>
                <w:color w:val="auto"/>
              </w:rPr>
              <w:t>12,167,656</w:t>
            </w:r>
          </w:p>
        </w:tc>
        <w:tc>
          <w:tcPr>
            <w:tcW w:w="320" w:type="dxa"/>
            <w:vAlign w:val="bottom"/>
            <w:tcBorders>
              <w:bottom w:val="single" w:sz="8" w:color="4A7EBB"/>
            </w:tcBorders>
          </w:tcPr>
          <w:p>
            <w:pPr>
              <w:spacing w:after="0"/>
              <w:rPr>
                <w:sz w:val="13"/>
                <w:szCs w:val="13"/>
                <w:color w:val="auto"/>
              </w:rPr>
            </w:pPr>
          </w:p>
        </w:tc>
        <w:tc>
          <w:tcPr>
            <w:tcW w:w="1420" w:type="dxa"/>
            <w:vAlign w:val="bottom"/>
            <w:tcBorders>
              <w:bottom w:val="single" w:sz="8" w:color="4A7EBB"/>
            </w:tcBorders>
          </w:tcPr>
          <w:p>
            <w:pPr>
              <w:jc w:val="center"/>
              <w:ind w:right="68"/>
              <w:spacing w:after="0" w:line="155" w:lineRule="exact"/>
              <w:rPr>
                <w:sz w:val="20"/>
                <w:szCs w:val="20"/>
                <w:color w:val="auto"/>
              </w:rPr>
            </w:pPr>
            <w:r>
              <w:rPr>
                <w:rFonts w:ascii="Arial" w:cs="Arial" w:eastAsia="Arial" w:hAnsi="Arial"/>
                <w:sz w:val="14"/>
                <w:szCs w:val="14"/>
                <w:color w:val="auto"/>
              </w:rPr>
              <w:t>256,319</w:t>
            </w:r>
          </w:p>
        </w:tc>
        <w:tc>
          <w:tcPr>
            <w:tcW w:w="240" w:type="dxa"/>
            <w:vAlign w:val="bottom"/>
            <w:tcBorders>
              <w:bottom w:val="single" w:sz="8" w:color="4A7EBB"/>
            </w:tcBorders>
          </w:tcPr>
          <w:p>
            <w:pPr>
              <w:spacing w:after="0"/>
              <w:rPr>
                <w:sz w:val="13"/>
                <w:szCs w:val="13"/>
                <w:color w:val="auto"/>
              </w:rPr>
            </w:pPr>
          </w:p>
        </w:tc>
        <w:tc>
          <w:tcPr>
            <w:tcW w:w="1140" w:type="dxa"/>
            <w:vAlign w:val="bottom"/>
            <w:tcBorders>
              <w:bottom w:val="single" w:sz="8" w:color="4A7EBB"/>
            </w:tcBorders>
          </w:tcPr>
          <w:p>
            <w:pPr>
              <w:jc w:val="center"/>
              <w:ind w:right="48"/>
              <w:spacing w:after="0" w:line="155" w:lineRule="exact"/>
              <w:rPr>
                <w:sz w:val="20"/>
                <w:szCs w:val="20"/>
                <w:color w:val="auto"/>
              </w:rPr>
            </w:pPr>
            <w:r>
              <w:rPr>
                <w:rFonts w:ascii="Arial" w:cs="Arial" w:eastAsia="Arial" w:hAnsi="Arial"/>
                <w:sz w:val="14"/>
                <w:szCs w:val="14"/>
                <w:color w:val="auto"/>
                <w:w w:val="99"/>
              </w:rPr>
              <w:t>—</w:t>
            </w:r>
          </w:p>
        </w:tc>
        <w:tc>
          <w:tcPr>
            <w:tcW w:w="1300" w:type="dxa"/>
            <w:vAlign w:val="bottom"/>
            <w:tcBorders>
              <w:bottom w:val="single" w:sz="8" w:color="4A7EBB"/>
            </w:tcBorders>
          </w:tcPr>
          <w:p>
            <w:pPr>
              <w:jc w:val="center"/>
              <w:ind w:left="68"/>
              <w:spacing w:after="0" w:line="155" w:lineRule="exact"/>
              <w:rPr>
                <w:sz w:val="20"/>
                <w:szCs w:val="20"/>
                <w:color w:val="auto"/>
              </w:rPr>
            </w:pPr>
            <w:r>
              <w:rPr>
                <w:rFonts w:ascii="Arial" w:cs="Arial" w:eastAsia="Arial" w:hAnsi="Arial"/>
                <w:sz w:val="14"/>
                <w:szCs w:val="14"/>
                <w:color w:val="auto"/>
              </w:rPr>
              <w:t>17,515,545</w:t>
            </w:r>
          </w:p>
        </w:tc>
      </w:tr>
    </w:tbl>
    <w:p>
      <w:pPr>
        <w:spacing w:after="0" w:line="19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tables below reflect the average total compensation of our non-PEO NEOs, as calculated in the Summary Compensation Table for each of the years shown. Our non-PEO NEOs are the following individuals: for fiscal 2026, 2025 and 2024, Sammy Aaron, Neal Nackman, Jeffrey Goldfarb and Dana Perlman, who became an NEO on January 8, 2024.</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20" w:type="dxa"/>
            <w:vAlign w:val="bottom"/>
            <w:tcBorders>
              <w:top w:val="single" w:sz="8" w:color="4A7EBB"/>
            </w:tcBorders>
            <w:shd w:val="clear" w:color="auto" w:fill="DBE5F1"/>
          </w:tcPr>
          <w:p>
            <w:pPr>
              <w:spacing w:after="0"/>
              <w:rPr>
                <w:sz w:val="15"/>
                <w:szCs w:val="15"/>
                <w:color w:val="auto"/>
              </w:rPr>
            </w:pPr>
          </w:p>
        </w:tc>
        <w:tc>
          <w:tcPr>
            <w:tcW w:w="2240" w:type="dxa"/>
            <w:vAlign w:val="bottom"/>
            <w:tcBorders>
              <w:top w:val="single" w:sz="8" w:color="4A7EBB"/>
            </w:tcBorders>
            <w:shd w:val="clear" w:color="auto" w:fill="DBE5F1"/>
          </w:tcPr>
          <w:p>
            <w:pPr>
              <w:jc w:val="center"/>
              <w:ind w:left="108"/>
              <w:spacing w:after="0"/>
              <w:rPr>
                <w:sz w:val="20"/>
                <w:szCs w:val="20"/>
                <w:color w:val="auto"/>
              </w:rPr>
            </w:pPr>
            <w:r>
              <w:rPr>
                <w:rFonts w:ascii="Arial" w:cs="Arial" w:eastAsia="Arial" w:hAnsi="Arial"/>
                <w:sz w:val="14"/>
                <w:szCs w:val="14"/>
                <w:b w:val="1"/>
                <w:bCs w:val="1"/>
                <w:color w:val="auto"/>
              </w:rPr>
              <w:t>Average Reported</w:t>
            </w:r>
          </w:p>
        </w:tc>
        <w:tc>
          <w:tcPr>
            <w:tcW w:w="2360" w:type="dxa"/>
            <w:vAlign w:val="bottom"/>
            <w:tcBorders>
              <w:top w:val="single" w:sz="8" w:color="4A7EBB"/>
            </w:tcBorders>
            <w:shd w:val="clear" w:color="auto" w:fill="DBE5F1"/>
          </w:tcPr>
          <w:p>
            <w:pPr>
              <w:spacing w:after="0"/>
              <w:rPr>
                <w:sz w:val="15"/>
                <w:szCs w:val="15"/>
                <w:color w:val="auto"/>
              </w:rPr>
            </w:pPr>
          </w:p>
        </w:tc>
        <w:tc>
          <w:tcPr>
            <w:tcW w:w="2200" w:type="dxa"/>
            <w:vAlign w:val="bottom"/>
            <w:tcBorders>
              <w:top w:val="single" w:sz="8" w:color="4A7EBB"/>
            </w:tcBorders>
            <w:shd w:val="clear" w:color="auto" w:fill="DBE5F1"/>
          </w:tcPr>
          <w:p>
            <w:pPr>
              <w:spacing w:after="0"/>
              <w:rPr>
                <w:sz w:val="15"/>
                <w:szCs w:val="15"/>
                <w:color w:val="auto"/>
              </w:rPr>
            </w:pPr>
          </w:p>
        </w:tc>
        <w:tc>
          <w:tcPr>
            <w:tcW w:w="2200" w:type="dxa"/>
            <w:vAlign w:val="bottom"/>
            <w:tcBorders>
              <w:top w:val="single" w:sz="8" w:color="4A7EBB"/>
            </w:tcBorders>
            <w:shd w:val="clear" w:color="auto" w:fill="DBE5F1"/>
          </w:tcPr>
          <w:p>
            <w:pPr>
              <w:spacing w:after="0"/>
              <w:rPr>
                <w:sz w:val="15"/>
                <w:szCs w:val="15"/>
                <w:color w:val="auto"/>
              </w:rPr>
            </w:pPr>
          </w:p>
        </w:tc>
      </w:tr>
      <w:tr>
        <w:trPr>
          <w:trHeight w:val="162"/>
        </w:trPr>
        <w:tc>
          <w:tcPr>
            <w:tcW w:w="920" w:type="dxa"/>
            <w:vAlign w:val="bottom"/>
            <w:shd w:val="clear" w:color="auto" w:fill="DBE5F1"/>
          </w:tcPr>
          <w:p>
            <w:pPr>
              <w:spacing w:after="0"/>
              <w:rPr>
                <w:sz w:val="14"/>
                <w:szCs w:val="14"/>
                <w:color w:val="auto"/>
              </w:rPr>
            </w:pPr>
          </w:p>
        </w:tc>
        <w:tc>
          <w:tcPr>
            <w:tcW w:w="2240" w:type="dxa"/>
            <w:vAlign w:val="bottom"/>
            <w:shd w:val="clear" w:color="auto" w:fill="DBE5F1"/>
          </w:tcPr>
          <w:p>
            <w:pPr>
              <w:jc w:val="center"/>
              <w:ind w:left="108"/>
              <w:spacing w:after="0"/>
              <w:rPr>
                <w:sz w:val="20"/>
                <w:szCs w:val="20"/>
                <w:color w:val="auto"/>
              </w:rPr>
            </w:pPr>
            <w:r>
              <w:rPr>
                <w:rFonts w:ascii="Arial" w:cs="Arial" w:eastAsia="Arial" w:hAnsi="Arial"/>
                <w:sz w:val="14"/>
                <w:szCs w:val="14"/>
                <w:b w:val="1"/>
                <w:bCs w:val="1"/>
                <w:color w:val="auto"/>
              </w:rPr>
              <w:t>Summary Compensation</w:t>
            </w:r>
          </w:p>
        </w:tc>
        <w:tc>
          <w:tcPr>
            <w:tcW w:w="2360" w:type="dxa"/>
            <w:vAlign w:val="bottom"/>
            <w:shd w:val="clear" w:color="auto" w:fill="DBE5F1"/>
          </w:tcPr>
          <w:p>
            <w:pPr>
              <w:spacing w:after="0"/>
              <w:rPr>
                <w:sz w:val="14"/>
                <w:szCs w:val="14"/>
                <w:color w:val="auto"/>
              </w:rPr>
            </w:pPr>
          </w:p>
        </w:tc>
        <w:tc>
          <w:tcPr>
            <w:tcW w:w="2200" w:type="dxa"/>
            <w:vAlign w:val="bottom"/>
            <w:shd w:val="clear" w:color="auto" w:fill="DBE5F1"/>
          </w:tcPr>
          <w:p>
            <w:pPr>
              <w:spacing w:after="0"/>
              <w:rPr>
                <w:sz w:val="14"/>
                <w:szCs w:val="14"/>
                <w:color w:val="auto"/>
              </w:rPr>
            </w:pPr>
          </w:p>
        </w:tc>
        <w:tc>
          <w:tcPr>
            <w:tcW w:w="2200" w:type="dxa"/>
            <w:vAlign w:val="bottom"/>
            <w:shd w:val="clear" w:color="auto" w:fill="DBE5F1"/>
          </w:tcPr>
          <w:p>
            <w:pPr>
              <w:jc w:val="center"/>
              <w:ind w:left="48"/>
              <w:spacing w:after="0"/>
              <w:rPr>
                <w:sz w:val="20"/>
                <w:szCs w:val="20"/>
                <w:color w:val="auto"/>
              </w:rPr>
            </w:pPr>
            <w:r>
              <w:rPr>
                <w:rFonts w:ascii="Arial" w:cs="Arial" w:eastAsia="Arial" w:hAnsi="Arial"/>
                <w:sz w:val="14"/>
                <w:szCs w:val="14"/>
                <w:b w:val="1"/>
                <w:bCs w:val="1"/>
                <w:color w:val="auto"/>
              </w:rPr>
              <w:t>Average Compensation</w:t>
            </w:r>
          </w:p>
        </w:tc>
      </w:tr>
      <w:tr>
        <w:trPr>
          <w:trHeight w:val="135"/>
        </w:trPr>
        <w:tc>
          <w:tcPr>
            <w:tcW w:w="920" w:type="dxa"/>
            <w:vAlign w:val="bottom"/>
            <w:shd w:val="clear" w:color="auto" w:fill="DBE5F1"/>
          </w:tcPr>
          <w:p>
            <w:pPr>
              <w:spacing w:after="0"/>
              <w:rPr>
                <w:sz w:val="11"/>
                <w:szCs w:val="11"/>
                <w:color w:val="auto"/>
              </w:rPr>
            </w:pPr>
          </w:p>
        </w:tc>
        <w:tc>
          <w:tcPr>
            <w:tcW w:w="2240" w:type="dxa"/>
            <w:vAlign w:val="bottom"/>
            <w:shd w:val="clear" w:color="auto" w:fill="DBE5F1"/>
          </w:tcPr>
          <w:p>
            <w:pPr>
              <w:jc w:val="center"/>
              <w:ind w:left="108"/>
              <w:spacing w:after="0" w:line="135" w:lineRule="exact"/>
              <w:rPr>
                <w:sz w:val="20"/>
                <w:szCs w:val="20"/>
                <w:color w:val="auto"/>
              </w:rPr>
            </w:pPr>
            <w:r>
              <w:rPr>
                <w:rFonts w:ascii="Arial" w:cs="Arial" w:eastAsia="Arial" w:hAnsi="Arial"/>
                <w:sz w:val="14"/>
                <w:szCs w:val="14"/>
                <w:b w:val="1"/>
                <w:bCs w:val="1"/>
                <w:color w:val="auto"/>
              </w:rPr>
              <w:t>Total Table for</w:t>
            </w:r>
          </w:p>
        </w:tc>
        <w:tc>
          <w:tcPr>
            <w:tcW w:w="2360" w:type="dxa"/>
            <w:vAlign w:val="bottom"/>
            <w:shd w:val="clear" w:color="auto" w:fill="DBE5F1"/>
          </w:tcPr>
          <w:p>
            <w:pPr>
              <w:jc w:val="center"/>
              <w:spacing w:after="0" w:line="135" w:lineRule="exact"/>
              <w:rPr>
                <w:sz w:val="20"/>
                <w:szCs w:val="20"/>
                <w:color w:val="auto"/>
              </w:rPr>
            </w:pPr>
            <w:r>
              <w:rPr>
                <w:rFonts w:ascii="Arial" w:cs="Arial" w:eastAsia="Arial" w:hAnsi="Arial"/>
                <w:sz w:val="14"/>
                <w:szCs w:val="14"/>
                <w:b w:val="1"/>
                <w:bCs w:val="1"/>
                <w:color w:val="auto"/>
              </w:rPr>
              <w:t>Average Reported Value</w:t>
            </w:r>
          </w:p>
        </w:tc>
        <w:tc>
          <w:tcPr>
            <w:tcW w:w="2200" w:type="dxa"/>
            <w:vAlign w:val="bottom"/>
            <w:shd w:val="clear" w:color="auto" w:fill="DBE5F1"/>
          </w:tcPr>
          <w:p>
            <w:pPr>
              <w:jc w:val="center"/>
              <w:spacing w:after="0" w:line="135" w:lineRule="exact"/>
              <w:rPr>
                <w:sz w:val="20"/>
                <w:szCs w:val="20"/>
                <w:color w:val="auto"/>
              </w:rPr>
            </w:pPr>
            <w:r>
              <w:rPr>
                <w:rFonts w:ascii="Arial" w:cs="Arial" w:eastAsia="Arial" w:hAnsi="Arial"/>
                <w:sz w:val="14"/>
                <w:szCs w:val="14"/>
                <w:b w:val="1"/>
                <w:bCs w:val="1"/>
                <w:color w:val="auto"/>
              </w:rPr>
              <w:t>Average Equity</w:t>
            </w:r>
          </w:p>
        </w:tc>
        <w:tc>
          <w:tcPr>
            <w:tcW w:w="2200" w:type="dxa"/>
            <w:vAlign w:val="bottom"/>
            <w:shd w:val="clear" w:color="auto" w:fill="DBE5F1"/>
          </w:tcPr>
          <w:p>
            <w:pPr>
              <w:jc w:val="center"/>
              <w:ind w:left="28"/>
              <w:spacing w:after="0" w:line="135" w:lineRule="exact"/>
              <w:rPr>
                <w:sz w:val="20"/>
                <w:szCs w:val="20"/>
                <w:color w:val="auto"/>
              </w:rPr>
            </w:pPr>
            <w:r>
              <w:rPr>
                <w:rFonts w:ascii="Arial" w:cs="Arial" w:eastAsia="Arial" w:hAnsi="Arial"/>
                <w:sz w:val="14"/>
                <w:szCs w:val="14"/>
                <w:b w:val="1"/>
                <w:bCs w:val="1"/>
                <w:color w:val="auto"/>
              </w:rPr>
              <w:t>Actually Paid</w:t>
            </w:r>
          </w:p>
        </w:tc>
      </w:tr>
      <w:tr>
        <w:trPr>
          <w:trHeight w:val="189"/>
        </w:trPr>
        <w:tc>
          <w:tcPr>
            <w:tcW w:w="920" w:type="dxa"/>
            <w:vAlign w:val="bottom"/>
            <w:tcBorders>
              <w:bottom w:val="single" w:sz="8" w:color="4A7EBB"/>
            </w:tcBorders>
            <w:shd w:val="clear" w:color="auto" w:fill="DBE5F1"/>
          </w:tcPr>
          <w:p>
            <w:pPr>
              <w:ind w:left="320"/>
              <w:spacing w:after="0"/>
              <w:rPr>
                <w:sz w:val="20"/>
                <w:szCs w:val="20"/>
                <w:color w:val="auto"/>
              </w:rPr>
            </w:pPr>
            <w:r>
              <w:rPr>
                <w:rFonts w:ascii="Arial" w:cs="Arial" w:eastAsia="Arial" w:hAnsi="Arial"/>
                <w:sz w:val="14"/>
                <w:szCs w:val="14"/>
                <w:b w:val="1"/>
                <w:bCs w:val="1"/>
                <w:color w:val="auto"/>
              </w:rPr>
              <w:t>Year</w:t>
            </w:r>
          </w:p>
        </w:tc>
        <w:tc>
          <w:tcPr>
            <w:tcW w:w="2240" w:type="dxa"/>
            <w:vAlign w:val="bottom"/>
            <w:tcBorders>
              <w:bottom w:val="single" w:sz="8" w:color="4A7EBB"/>
            </w:tcBorders>
            <w:shd w:val="clear" w:color="auto" w:fill="DBE5F1"/>
          </w:tcPr>
          <w:p>
            <w:pPr>
              <w:jc w:val="center"/>
              <w:ind w:left="108"/>
              <w:spacing w:after="0"/>
              <w:rPr>
                <w:sz w:val="20"/>
                <w:szCs w:val="20"/>
                <w:color w:val="auto"/>
              </w:rPr>
            </w:pPr>
            <w:r>
              <w:rPr>
                <w:rFonts w:ascii="Arial" w:cs="Arial" w:eastAsia="Arial" w:hAnsi="Arial"/>
                <w:sz w:val="14"/>
                <w:szCs w:val="14"/>
                <w:b w:val="1"/>
                <w:bCs w:val="1"/>
                <w:color w:val="auto"/>
              </w:rPr>
              <w:t>Non-PEO NEOs</w:t>
            </w:r>
          </w:p>
        </w:tc>
        <w:tc>
          <w:tcPr>
            <w:tcW w:w="2360" w:type="dxa"/>
            <w:vAlign w:val="bottom"/>
            <w:tcBorders>
              <w:bottom w:val="single" w:sz="8" w:color="4A7EBB"/>
            </w:tcBorders>
            <w:shd w:val="clear" w:color="auto" w:fill="DBE5F1"/>
          </w:tcPr>
          <w:p>
            <w:pPr>
              <w:jc w:val="center"/>
              <w:spacing w:after="0" w:line="189" w:lineRule="exact"/>
              <w:rPr>
                <w:sz w:val="20"/>
                <w:szCs w:val="20"/>
                <w:color w:val="auto"/>
              </w:rPr>
            </w:pPr>
            <w:r>
              <w:rPr>
                <w:rFonts w:ascii="Arial" w:cs="Arial" w:eastAsia="Arial" w:hAnsi="Arial"/>
                <w:sz w:val="13"/>
                <w:szCs w:val="13"/>
                <w:b w:val="1"/>
                <w:bCs w:val="1"/>
                <w:color w:val="auto"/>
              </w:rPr>
              <w:t xml:space="preserve">of Equity Awards </w:t>
            </w:r>
            <w:r>
              <w:rPr>
                <w:rFonts w:ascii="Arial" w:cs="Arial" w:eastAsia="Arial" w:hAnsi="Arial"/>
                <w:sz w:val="21"/>
                <w:szCs w:val="21"/>
                <w:b w:val="1"/>
                <w:bCs w:val="1"/>
                <w:color w:val="auto"/>
                <w:vertAlign w:val="superscript"/>
              </w:rPr>
              <w:t>(3)</w:t>
            </w:r>
          </w:p>
        </w:tc>
        <w:tc>
          <w:tcPr>
            <w:tcW w:w="2200" w:type="dxa"/>
            <w:vAlign w:val="bottom"/>
            <w:tcBorders>
              <w:bottom w:val="single" w:sz="8" w:color="4A7EBB"/>
            </w:tcBorders>
            <w:shd w:val="clear" w:color="auto" w:fill="DBE5F1"/>
          </w:tcPr>
          <w:p>
            <w:pPr>
              <w:jc w:val="center"/>
              <w:spacing w:after="0" w:line="189" w:lineRule="exact"/>
              <w:rPr>
                <w:sz w:val="20"/>
                <w:szCs w:val="20"/>
                <w:color w:val="auto"/>
              </w:rPr>
            </w:pPr>
            <w:r>
              <w:rPr>
                <w:rFonts w:ascii="Arial" w:cs="Arial" w:eastAsia="Arial" w:hAnsi="Arial"/>
                <w:sz w:val="13"/>
                <w:szCs w:val="13"/>
                <w:b w:val="1"/>
                <w:bCs w:val="1"/>
                <w:color w:val="auto"/>
              </w:rPr>
              <w:t xml:space="preserve">Award Adjustments </w:t>
            </w:r>
            <w:r>
              <w:rPr>
                <w:rFonts w:ascii="Arial" w:cs="Arial" w:eastAsia="Arial" w:hAnsi="Arial"/>
                <w:sz w:val="21"/>
                <w:szCs w:val="21"/>
                <w:b w:val="1"/>
                <w:bCs w:val="1"/>
                <w:color w:val="auto"/>
                <w:vertAlign w:val="superscript"/>
              </w:rPr>
              <w:t>(4)</w:t>
            </w:r>
          </w:p>
        </w:tc>
        <w:tc>
          <w:tcPr>
            <w:tcW w:w="2200" w:type="dxa"/>
            <w:vAlign w:val="bottom"/>
            <w:tcBorders>
              <w:bottom w:val="single" w:sz="8" w:color="4A7EBB"/>
            </w:tcBorders>
            <w:shd w:val="clear" w:color="auto" w:fill="DBE5F1"/>
          </w:tcPr>
          <w:p>
            <w:pPr>
              <w:jc w:val="center"/>
              <w:ind w:left="48"/>
              <w:spacing w:after="0"/>
              <w:rPr>
                <w:sz w:val="20"/>
                <w:szCs w:val="20"/>
                <w:color w:val="auto"/>
              </w:rPr>
            </w:pPr>
            <w:r>
              <w:rPr>
                <w:rFonts w:ascii="Arial" w:cs="Arial" w:eastAsia="Arial" w:hAnsi="Arial"/>
                <w:sz w:val="14"/>
                <w:szCs w:val="14"/>
                <w:b w:val="1"/>
                <w:bCs w:val="1"/>
                <w:color w:val="auto"/>
              </w:rPr>
              <w:t>to Non-PEO NEOs</w:t>
            </w:r>
          </w:p>
        </w:tc>
      </w:tr>
      <w:tr>
        <w:trPr>
          <w:trHeight w:val="155"/>
        </w:trPr>
        <w:tc>
          <w:tcPr>
            <w:tcW w:w="920" w:type="dxa"/>
            <w:vAlign w:val="bottom"/>
            <w:tcBorders>
              <w:bottom w:val="single" w:sz="8" w:color="4A7EBB"/>
            </w:tcBorders>
          </w:tcPr>
          <w:p>
            <w:pPr>
              <w:ind w:left="300"/>
              <w:spacing w:after="0" w:line="155" w:lineRule="exact"/>
              <w:rPr>
                <w:sz w:val="20"/>
                <w:szCs w:val="20"/>
                <w:color w:val="auto"/>
              </w:rPr>
            </w:pPr>
            <w:r>
              <w:rPr>
                <w:rFonts w:ascii="Arial" w:cs="Arial" w:eastAsia="Arial" w:hAnsi="Arial"/>
                <w:sz w:val="14"/>
                <w:szCs w:val="14"/>
                <w:color w:val="auto"/>
              </w:rPr>
              <w:t>2026</w:t>
            </w:r>
          </w:p>
        </w:tc>
        <w:tc>
          <w:tcPr>
            <w:tcW w:w="2240" w:type="dxa"/>
            <w:vAlign w:val="bottom"/>
            <w:tcBorders>
              <w:bottom w:val="single" w:sz="8" w:color="4A7EBB"/>
            </w:tcBorders>
          </w:tcPr>
          <w:p>
            <w:pPr>
              <w:jc w:val="center"/>
              <w:ind w:left="88"/>
              <w:spacing w:after="0" w:line="155" w:lineRule="exact"/>
              <w:rPr>
                <w:sz w:val="20"/>
                <w:szCs w:val="20"/>
                <w:color w:val="auto"/>
              </w:rPr>
            </w:pPr>
            <w:r>
              <w:rPr>
                <w:rFonts w:ascii="Arial" w:cs="Arial" w:eastAsia="Arial" w:hAnsi="Arial"/>
                <w:sz w:val="14"/>
                <w:szCs w:val="14"/>
                <w:color w:val="auto"/>
              </w:rPr>
              <w:t>6,584,492</w:t>
            </w:r>
          </w:p>
        </w:tc>
        <w:tc>
          <w:tcPr>
            <w:tcW w:w="2360" w:type="dxa"/>
            <w:vAlign w:val="bottom"/>
            <w:tcBorders>
              <w:bottom w:val="single" w:sz="8" w:color="4A7EBB"/>
            </w:tcBorders>
          </w:tcPr>
          <w:p>
            <w:pPr>
              <w:jc w:val="center"/>
              <w:spacing w:after="0" w:line="155" w:lineRule="exact"/>
              <w:rPr>
                <w:sz w:val="20"/>
                <w:szCs w:val="20"/>
                <w:color w:val="auto"/>
              </w:rPr>
            </w:pPr>
            <w:r>
              <w:rPr>
                <w:rFonts w:ascii="Arial" w:cs="Arial" w:eastAsia="Arial" w:hAnsi="Arial"/>
                <w:sz w:val="14"/>
                <w:szCs w:val="14"/>
                <w:color w:val="auto"/>
              </w:rPr>
              <w:t>(3,837,457)</w:t>
            </w:r>
          </w:p>
        </w:tc>
        <w:tc>
          <w:tcPr>
            <w:tcW w:w="2200" w:type="dxa"/>
            <w:vAlign w:val="bottom"/>
            <w:tcBorders>
              <w:bottom w:val="single" w:sz="8" w:color="4A7EBB"/>
            </w:tcBorders>
          </w:tcPr>
          <w:p>
            <w:pPr>
              <w:jc w:val="center"/>
              <w:spacing w:after="0" w:line="155" w:lineRule="exact"/>
              <w:rPr>
                <w:sz w:val="20"/>
                <w:szCs w:val="20"/>
                <w:color w:val="auto"/>
              </w:rPr>
            </w:pPr>
            <w:r>
              <w:rPr>
                <w:rFonts w:ascii="Arial" w:cs="Arial" w:eastAsia="Arial" w:hAnsi="Arial"/>
                <w:sz w:val="14"/>
                <w:szCs w:val="14"/>
                <w:color w:val="auto"/>
              </w:rPr>
              <w:t>3,096,183</w:t>
            </w:r>
          </w:p>
        </w:tc>
        <w:tc>
          <w:tcPr>
            <w:tcW w:w="2200" w:type="dxa"/>
            <w:vAlign w:val="bottom"/>
            <w:tcBorders>
              <w:bottom w:val="single" w:sz="8" w:color="4A7EBB"/>
            </w:tcBorders>
          </w:tcPr>
          <w:p>
            <w:pPr>
              <w:jc w:val="center"/>
              <w:ind w:left="48"/>
              <w:spacing w:after="0" w:line="155" w:lineRule="exact"/>
              <w:rPr>
                <w:sz w:val="20"/>
                <w:szCs w:val="20"/>
                <w:color w:val="auto"/>
              </w:rPr>
            </w:pPr>
            <w:r>
              <w:rPr>
                <w:rFonts w:ascii="Arial" w:cs="Arial" w:eastAsia="Arial" w:hAnsi="Arial"/>
                <w:sz w:val="14"/>
                <w:szCs w:val="14"/>
                <w:color w:val="auto"/>
              </w:rPr>
              <w:t>5,843,218</w:t>
            </w:r>
          </w:p>
        </w:tc>
      </w:tr>
      <w:tr>
        <w:trPr>
          <w:trHeight w:val="155"/>
        </w:trPr>
        <w:tc>
          <w:tcPr>
            <w:tcW w:w="920" w:type="dxa"/>
            <w:vAlign w:val="bottom"/>
            <w:tcBorders>
              <w:bottom w:val="single" w:sz="8" w:color="4A7EBB"/>
            </w:tcBorders>
            <w:shd w:val="clear" w:color="auto" w:fill="F2F2F2"/>
          </w:tcPr>
          <w:p>
            <w:pPr>
              <w:ind w:left="300"/>
              <w:spacing w:after="0" w:line="155" w:lineRule="exact"/>
              <w:rPr>
                <w:sz w:val="20"/>
                <w:szCs w:val="20"/>
                <w:color w:val="auto"/>
              </w:rPr>
            </w:pPr>
            <w:r>
              <w:rPr>
                <w:rFonts w:ascii="Arial" w:cs="Arial" w:eastAsia="Arial" w:hAnsi="Arial"/>
                <w:sz w:val="14"/>
                <w:szCs w:val="14"/>
                <w:color w:val="auto"/>
              </w:rPr>
              <w:t>2025</w:t>
            </w:r>
          </w:p>
        </w:tc>
        <w:tc>
          <w:tcPr>
            <w:tcW w:w="2240" w:type="dxa"/>
            <w:vAlign w:val="bottom"/>
            <w:tcBorders>
              <w:bottom w:val="single" w:sz="8" w:color="4A7EBB"/>
            </w:tcBorders>
            <w:shd w:val="clear" w:color="auto" w:fill="F2F2F2"/>
          </w:tcPr>
          <w:p>
            <w:pPr>
              <w:jc w:val="center"/>
              <w:ind w:left="88"/>
              <w:spacing w:after="0" w:line="155" w:lineRule="exact"/>
              <w:rPr>
                <w:sz w:val="20"/>
                <w:szCs w:val="20"/>
                <w:color w:val="auto"/>
              </w:rPr>
            </w:pPr>
            <w:r>
              <w:rPr>
                <w:rFonts w:ascii="Arial" w:cs="Arial" w:eastAsia="Arial" w:hAnsi="Arial"/>
                <w:sz w:val="14"/>
                <w:szCs w:val="14"/>
                <w:color w:val="auto"/>
              </w:rPr>
              <w:t>5,979,871</w:t>
            </w:r>
          </w:p>
        </w:tc>
        <w:tc>
          <w:tcPr>
            <w:tcW w:w="2360" w:type="dxa"/>
            <w:vAlign w:val="bottom"/>
            <w:tcBorders>
              <w:bottom w:val="single" w:sz="8" w:color="4A7EBB"/>
            </w:tcBorders>
            <w:shd w:val="clear" w:color="auto" w:fill="F2F2F2"/>
          </w:tcPr>
          <w:p>
            <w:pPr>
              <w:jc w:val="center"/>
              <w:spacing w:after="0" w:line="155" w:lineRule="exact"/>
              <w:rPr>
                <w:sz w:val="20"/>
                <w:szCs w:val="20"/>
                <w:color w:val="auto"/>
              </w:rPr>
            </w:pPr>
            <w:r>
              <w:rPr>
                <w:rFonts w:ascii="Arial" w:cs="Arial" w:eastAsia="Arial" w:hAnsi="Arial"/>
                <w:sz w:val="14"/>
                <w:szCs w:val="14"/>
                <w:color w:val="auto"/>
              </w:rPr>
              <w:t>(1,674,986)</w:t>
            </w:r>
          </w:p>
        </w:tc>
        <w:tc>
          <w:tcPr>
            <w:tcW w:w="2200" w:type="dxa"/>
            <w:vAlign w:val="bottom"/>
            <w:tcBorders>
              <w:bottom w:val="single" w:sz="8" w:color="4A7EBB"/>
            </w:tcBorders>
            <w:shd w:val="clear" w:color="auto" w:fill="F2F2F2"/>
          </w:tcPr>
          <w:p>
            <w:pPr>
              <w:jc w:val="center"/>
              <w:spacing w:after="0" w:line="155" w:lineRule="exact"/>
              <w:rPr>
                <w:sz w:val="20"/>
                <w:szCs w:val="20"/>
                <w:color w:val="auto"/>
              </w:rPr>
            </w:pPr>
            <w:r>
              <w:rPr>
                <w:rFonts w:ascii="Arial" w:cs="Arial" w:eastAsia="Arial" w:hAnsi="Arial"/>
                <w:sz w:val="14"/>
                <w:szCs w:val="14"/>
                <w:color w:val="auto"/>
              </w:rPr>
              <w:t>640,672</w:t>
            </w:r>
          </w:p>
        </w:tc>
        <w:tc>
          <w:tcPr>
            <w:tcW w:w="2200" w:type="dxa"/>
            <w:vAlign w:val="bottom"/>
            <w:tcBorders>
              <w:bottom w:val="single" w:sz="8" w:color="4A7EBB"/>
            </w:tcBorders>
            <w:shd w:val="clear" w:color="auto" w:fill="F2F2F2"/>
          </w:tcPr>
          <w:p>
            <w:pPr>
              <w:jc w:val="center"/>
              <w:ind w:left="48"/>
              <w:spacing w:after="0" w:line="155" w:lineRule="exact"/>
              <w:rPr>
                <w:sz w:val="20"/>
                <w:szCs w:val="20"/>
                <w:color w:val="auto"/>
              </w:rPr>
            </w:pPr>
            <w:r>
              <w:rPr>
                <w:rFonts w:ascii="Arial" w:cs="Arial" w:eastAsia="Arial" w:hAnsi="Arial"/>
                <w:sz w:val="14"/>
                <w:szCs w:val="14"/>
                <w:color w:val="auto"/>
              </w:rPr>
              <w:t>4,945,556</w:t>
            </w:r>
          </w:p>
        </w:tc>
      </w:tr>
      <w:tr>
        <w:trPr>
          <w:trHeight w:val="155"/>
        </w:trPr>
        <w:tc>
          <w:tcPr>
            <w:tcW w:w="920" w:type="dxa"/>
            <w:vAlign w:val="bottom"/>
            <w:tcBorders>
              <w:bottom w:val="single" w:sz="8" w:color="4A7EBB"/>
            </w:tcBorders>
          </w:tcPr>
          <w:p>
            <w:pPr>
              <w:ind w:left="300"/>
              <w:spacing w:after="0" w:line="155" w:lineRule="exact"/>
              <w:rPr>
                <w:sz w:val="20"/>
                <w:szCs w:val="20"/>
                <w:color w:val="auto"/>
              </w:rPr>
            </w:pPr>
            <w:r>
              <w:rPr>
                <w:rFonts w:ascii="Arial" w:cs="Arial" w:eastAsia="Arial" w:hAnsi="Arial"/>
                <w:sz w:val="14"/>
                <w:szCs w:val="14"/>
                <w:color w:val="auto"/>
              </w:rPr>
              <w:t>2024</w:t>
            </w:r>
          </w:p>
        </w:tc>
        <w:tc>
          <w:tcPr>
            <w:tcW w:w="2240" w:type="dxa"/>
            <w:vAlign w:val="bottom"/>
            <w:tcBorders>
              <w:bottom w:val="single" w:sz="8" w:color="4A7EBB"/>
            </w:tcBorders>
          </w:tcPr>
          <w:p>
            <w:pPr>
              <w:jc w:val="center"/>
              <w:ind w:left="88"/>
              <w:spacing w:after="0" w:line="155" w:lineRule="exact"/>
              <w:rPr>
                <w:sz w:val="20"/>
                <w:szCs w:val="20"/>
                <w:color w:val="auto"/>
              </w:rPr>
            </w:pPr>
            <w:r>
              <w:rPr>
                <w:rFonts w:ascii="Arial" w:cs="Arial" w:eastAsia="Arial" w:hAnsi="Arial"/>
                <w:sz w:val="14"/>
                <w:szCs w:val="14"/>
                <w:color w:val="auto"/>
              </w:rPr>
              <w:t>5,295,148</w:t>
            </w:r>
          </w:p>
        </w:tc>
        <w:tc>
          <w:tcPr>
            <w:tcW w:w="2360" w:type="dxa"/>
            <w:vAlign w:val="bottom"/>
            <w:tcBorders>
              <w:bottom w:val="single" w:sz="8" w:color="4A7EBB"/>
            </w:tcBorders>
          </w:tcPr>
          <w:p>
            <w:pPr>
              <w:jc w:val="center"/>
              <w:spacing w:after="0" w:line="155" w:lineRule="exact"/>
              <w:rPr>
                <w:sz w:val="20"/>
                <w:szCs w:val="20"/>
                <w:color w:val="auto"/>
              </w:rPr>
            </w:pPr>
            <w:r>
              <w:rPr>
                <w:rFonts w:ascii="Arial" w:cs="Arial" w:eastAsia="Arial" w:hAnsi="Arial"/>
                <w:sz w:val="14"/>
                <w:szCs w:val="14"/>
                <w:color w:val="auto"/>
              </w:rPr>
              <w:t>(1,199,983)</w:t>
            </w:r>
          </w:p>
        </w:tc>
        <w:tc>
          <w:tcPr>
            <w:tcW w:w="2200" w:type="dxa"/>
            <w:vAlign w:val="bottom"/>
            <w:tcBorders>
              <w:bottom w:val="single" w:sz="8" w:color="4A7EBB"/>
            </w:tcBorders>
          </w:tcPr>
          <w:p>
            <w:pPr>
              <w:jc w:val="center"/>
              <w:spacing w:after="0" w:line="155" w:lineRule="exact"/>
              <w:rPr>
                <w:sz w:val="20"/>
                <w:szCs w:val="20"/>
                <w:color w:val="auto"/>
              </w:rPr>
            </w:pPr>
            <w:r>
              <w:rPr>
                <w:rFonts w:ascii="Arial" w:cs="Arial" w:eastAsia="Arial" w:hAnsi="Arial"/>
                <w:sz w:val="14"/>
                <w:szCs w:val="14"/>
                <w:color w:val="auto"/>
              </w:rPr>
              <w:t>4,712,501</w:t>
            </w:r>
          </w:p>
        </w:tc>
        <w:tc>
          <w:tcPr>
            <w:tcW w:w="2200" w:type="dxa"/>
            <w:vAlign w:val="bottom"/>
            <w:tcBorders>
              <w:bottom w:val="single" w:sz="8" w:color="4A7EBB"/>
            </w:tcBorders>
          </w:tcPr>
          <w:p>
            <w:pPr>
              <w:jc w:val="center"/>
              <w:ind w:left="48"/>
              <w:spacing w:after="0" w:line="155" w:lineRule="exact"/>
              <w:rPr>
                <w:sz w:val="20"/>
                <w:szCs w:val="20"/>
                <w:color w:val="auto"/>
              </w:rPr>
            </w:pPr>
            <w:r>
              <w:rPr>
                <w:rFonts w:ascii="Arial" w:cs="Arial" w:eastAsia="Arial" w:hAnsi="Arial"/>
                <w:sz w:val="14"/>
                <w:szCs w:val="14"/>
                <w:color w:val="auto"/>
              </w:rPr>
              <w:t>8,807,666</w:t>
            </w:r>
          </w:p>
        </w:tc>
      </w:tr>
      <w:tr>
        <w:trPr>
          <w:trHeight w:val="155"/>
        </w:trPr>
        <w:tc>
          <w:tcPr>
            <w:tcW w:w="920" w:type="dxa"/>
            <w:vAlign w:val="bottom"/>
            <w:tcBorders>
              <w:bottom w:val="single" w:sz="8" w:color="4A7EBB"/>
            </w:tcBorders>
            <w:shd w:val="clear" w:color="auto" w:fill="F2F2F2"/>
          </w:tcPr>
          <w:p>
            <w:pPr>
              <w:ind w:left="300"/>
              <w:spacing w:after="0" w:line="155" w:lineRule="exact"/>
              <w:rPr>
                <w:sz w:val="20"/>
                <w:szCs w:val="20"/>
                <w:color w:val="auto"/>
              </w:rPr>
            </w:pPr>
            <w:r>
              <w:rPr>
                <w:rFonts w:ascii="Arial" w:cs="Arial" w:eastAsia="Arial" w:hAnsi="Arial"/>
                <w:sz w:val="14"/>
                <w:szCs w:val="14"/>
                <w:color w:val="auto"/>
              </w:rPr>
              <w:t>2023</w:t>
            </w:r>
          </w:p>
        </w:tc>
        <w:tc>
          <w:tcPr>
            <w:tcW w:w="2240" w:type="dxa"/>
            <w:vAlign w:val="bottom"/>
            <w:tcBorders>
              <w:bottom w:val="single" w:sz="8" w:color="4A7EBB"/>
            </w:tcBorders>
            <w:shd w:val="clear" w:color="auto" w:fill="F2F2F2"/>
          </w:tcPr>
          <w:p>
            <w:pPr>
              <w:jc w:val="center"/>
              <w:ind w:left="88"/>
              <w:spacing w:after="0" w:line="155" w:lineRule="exact"/>
              <w:rPr>
                <w:sz w:val="20"/>
                <w:szCs w:val="20"/>
                <w:color w:val="auto"/>
              </w:rPr>
            </w:pPr>
            <w:r>
              <w:rPr>
                <w:rFonts w:ascii="Arial" w:cs="Arial" w:eastAsia="Arial" w:hAnsi="Arial"/>
                <w:sz w:val="14"/>
                <w:szCs w:val="14"/>
                <w:color w:val="auto"/>
              </w:rPr>
              <w:t>3,371,945</w:t>
            </w:r>
          </w:p>
        </w:tc>
        <w:tc>
          <w:tcPr>
            <w:tcW w:w="2360" w:type="dxa"/>
            <w:vAlign w:val="bottom"/>
            <w:tcBorders>
              <w:bottom w:val="single" w:sz="8" w:color="4A7EBB"/>
            </w:tcBorders>
            <w:shd w:val="clear" w:color="auto" w:fill="F2F2F2"/>
          </w:tcPr>
          <w:p>
            <w:pPr>
              <w:jc w:val="center"/>
              <w:spacing w:after="0" w:line="155" w:lineRule="exact"/>
              <w:rPr>
                <w:sz w:val="20"/>
                <w:szCs w:val="20"/>
                <w:color w:val="auto"/>
              </w:rPr>
            </w:pPr>
            <w:r>
              <w:rPr>
                <w:rFonts w:ascii="Arial" w:cs="Arial" w:eastAsia="Arial" w:hAnsi="Arial"/>
                <w:sz w:val="14"/>
                <w:szCs w:val="14"/>
                <w:color w:val="auto"/>
              </w:rPr>
              <w:t>(1,666,643)</w:t>
            </w:r>
          </w:p>
        </w:tc>
        <w:tc>
          <w:tcPr>
            <w:tcW w:w="2200" w:type="dxa"/>
            <w:vAlign w:val="bottom"/>
            <w:tcBorders>
              <w:bottom w:val="single" w:sz="8" w:color="4A7EBB"/>
            </w:tcBorders>
            <w:shd w:val="clear" w:color="auto" w:fill="F2F2F2"/>
          </w:tcPr>
          <w:p>
            <w:pPr>
              <w:jc w:val="center"/>
              <w:spacing w:after="0" w:line="155" w:lineRule="exact"/>
              <w:rPr>
                <w:sz w:val="20"/>
                <w:szCs w:val="20"/>
                <w:color w:val="auto"/>
              </w:rPr>
            </w:pPr>
            <w:r>
              <w:rPr>
                <w:rFonts w:ascii="Arial" w:cs="Arial" w:eastAsia="Arial" w:hAnsi="Arial"/>
                <w:sz w:val="14"/>
                <w:szCs w:val="14"/>
                <w:color w:val="auto"/>
              </w:rPr>
              <w:t>(1,535,600)</w:t>
            </w:r>
          </w:p>
        </w:tc>
        <w:tc>
          <w:tcPr>
            <w:tcW w:w="2200" w:type="dxa"/>
            <w:vAlign w:val="bottom"/>
            <w:tcBorders>
              <w:bottom w:val="single" w:sz="8" w:color="4A7EBB"/>
            </w:tcBorders>
            <w:shd w:val="clear" w:color="auto" w:fill="F2F2F2"/>
          </w:tcPr>
          <w:p>
            <w:pPr>
              <w:jc w:val="center"/>
              <w:ind w:left="48"/>
              <w:spacing w:after="0" w:line="155" w:lineRule="exact"/>
              <w:rPr>
                <w:sz w:val="20"/>
                <w:szCs w:val="20"/>
                <w:color w:val="auto"/>
              </w:rPr>
            </w:pPr>
            <w:r>
              <w:rPr>
                <w:rFonts w:ascii="Arial" w:cs="Arial" w:eastAsia="Arial" w:hAnsi="Arial"/>
                <w:sz w:val="14"/>
                <w:szCs w:val="14"/>
                <w:color w:val="auto"/>
              </w:rPr>
              <w:t>169,702</w:t>
            </w:r>
          </w:p>
        </w:tc>
      </w:tr>
      <w:tr>
        <w:trPr>
          <w:trHeight w:val="156"/>
        </w:trPr>
        <w:tc>
          <w:tcPr>
            <w:tcW w:w="920" w:type="dxa"/>
            <w:vAlign w:val="bottom"/>
            <w:tcBorders>
              <w:bottom w:val="single" w:sz="8" w:color="4A7EBB"/>
            </w:tcBorders>
          </w:tcPr>
          <w:p>
            <w:pPr>
              <w:ind w:left="300"/>
              <w:spacing w:after="0" w:line="155" w:lineRule="exact"/>
              <w:rPr>
                <w:sz w:val="20"/>
                <w:szCs w:val="20"/>
                <w:color w:val="auto"/>
              </w:rPr>
            </w:pPr>
            <w:r>
              <w:rPr>
                <w:rFonts w:ascii="Arial" w:cs="Arial" w:eastAsia="Arial" w:hAnsi="Arial"/>
                <w:sz w:val="14"/>
                <w:szCs w:val="14"/>
                <w:color w:val="auto"/>
              </w:rPr>
              <w:t>2022</w:t>
            </w:r>
          </w:p>
        </w:tc>
        <w:tc>
          <w:tcPr>
            <w:tcW w:w="2240" w:type="dxa"/>
            <w:vAlign w:val="bottom"/>
            <w:tcBorders>
              <w:bottom w:val="single" w:sz="8" w:color="4A7EBB"/>
            </w:tcBorders>
          </w:tcPr>
          <w:p>
            <w:pPr>
              <w:jc w:val="center"/>
              <w:ind w:left="88"/>
              <w:spacing w:after="0" w:line="155" w:lineRule="exact"/>
              <w:rPr>
                <w:sz w:val="20"/>
                <w:szCs w:val="20"/>
                <w:color w:val="auto"/>
              </w:rPr>
            </w:pPr>
            <w:r>
              <w:rPr>
                <w:rFonts w:ascii="Arial" w:cs="Arial" w:eastAsia="Arial" w:hAnsi="Arial"/>
                <w:sz w:val="14"/>
                <w:szCs w:val="14"/>
                <w:color w:val="auto"/>
              </w:rPr>
              <w:t>5,854,421</w:t>
            </w:r>
          </w:p>
        </w:tc>
        <w:tc>
          <w:tcPr>
            <w:tcW w:w="2360" w:type="dxa"/>
            <w:vAlign w:val="bottom"/>
            <w:tcBorders>
              <w:bottom w:val="single" w:sz="8" w:color="4A7EBB"/>
            </w:tcBorders>
          </w:tcPr>
          <w:p>
            <w:pPr>
              <w:jc w:val="center"/>
              <w:spacing w:after="0" w:line="155" w:lineRule="exact"/>
              <w:rPr>
                <w:sz w:val="20"/>
                <w:szCs w:val="20"/>
                <w:color w:val="auto"/>
              </w:rPr>
            </w:pPr>
            <w:r>
              <w:rPr>
                <w:rFonts w:ascii="Arial" w:cs="Arial" w:eastAsia="Arial" w:hAnsi="Arial"/>
                <w:sz w:val="14"/>
                <w:szCs w:val="14"/>
                <w:color w:val="auto"/>
              </w:rPr>
              <w:t>(2,420,636)</w:t>
            </w:r>
          </w:p>
        </w:tc>
        <w:tc>
          <w:tcPr>
            <w:tcW w:w="2200" w:type="dxa"/>
            <w:vAlign w:val="bottom"/>
            <w:tcBorders>
              <w:bottom w:val="single" w:sz="8" w:color="4A7EBB"/>
            </w:tcBorders>
          </w:tcPr>
          <w:p>
            <w:pPr>
              <w:jc w:val="center"/>
              <w:spacing w:after="0" w:line="155" w:lineRule="exact"/>
              <w:rPr>
                <w:sz w:val="20"/>
                <w:szCs w:val="20"/>
                <w:color w:val="auto"/>
              </w:rPr>
            </w:pPr>
            <w:r>
              <w:rPr>
                <w:rFonts w:ascii="Arial" w:cs="Arial" w:eastAsia="Arial" w:hAnsi="Arial"/>
                <w:sz w:val="14"/>
                <w:szCs w:val="14"/>
                <w:color w:val="auto"/>
              </w:rPr>
              <w:t>3,060,612</w:t>
            </w:r>
          </w:p>
        </w:tc>
        <w:tc>
          <w:tcPr>
            <w:tcW w:w="2200" w:type="dxa"/>
            <w:vAlign w:val="bottom"/>
            <w:tcBorders>
              <w:bottom w:val="single" w:sz="8" w:color="4A7EBB"/>
            </w:tcBorders>
          </w:tcPr>
          <w:p>
            <w:pPr>
              <w:jc w:val="center"/>
              <w:ind w:left="48"/>
              <w:spacing w:after="0" w:line="155" w:lineRule="exact"/>
              <w:rPr>
                <w:sz w:val="20"/>
                <w:szCs w:val="20"/>
                <w:color w:val="auto"/>
              </w:rPr>
            </w:pPr>
            <w:r>
              <w:rPr>
                <w:rFonts w:ascii="Arial" w:cs="Arial" w:eastAsia="Arial" w:hAnsi="Arial"/>
                <w:sz w:val="14"/>
                <w:szCs w:val="14"/>
                <w:color w:val="auto"/>
              </w:rPr>
              <w:t>6,494,397</w:t>
            </w:r>
          </w:p>
        </w:tc>
      </w:tr>
    </w:tbl>
    <w:p>
      <w:pPr>
        <w:spacing w:after="0" w:line="175" w:lineRule="exact"/>
        <w:rPr>
          <w:sz w:val="20"/>
          <w:szCs w:val="20"/>
          <w:color w:val="auto"/>
        </w:rPr>
      </w:pPr>
    </w:p>
    <w:p>
      <w:pPr>
        <w:ind w:left="340" w:hanging="332"/>
        <w:spacing w:after="0" w:line="263" w:lineRule="auto"/>
        <w:tabs>
          <w:tab w:leader="none" w:pos="340" w:val="left"/>
        </w:tabs>
        <w:numPr>
          <w:ilvl w:val="0"/>
          <w:numId w:val="95"/>
        </w:numPr>
        <w:rPr>
          <w:rFonts w:ascii="Arial" w:cs="Arial" w:eastAsia="Arial" w:hAnsi="Arial"/>
          <w:sz w:val="16"/>
          <w:szCs w:val="16"/>
          <w:color w:val="auto"/>
        </w:rPr>
      </w:pPr>
      <w:r>
        <w:rPr>
          <w:rFonts w:ascii="Arial" w:cs="Arial" w:eastAsia="Arial" w:hAnsi="Arial"/>
          <w:sz w:val="16"/>
          <w:szCs w:val="16"/>
          <w:color w:val="auto"/>
        </w:rPr>
        <w:t>Represents the total of the amounts reported in the Stock Awards column of the Summary Compensation Table for the applicable year.</w:t>
      </w:r>
    </w:p>
    <w:p>
      <w:pPr>
        <w:spacing w:after="0" w:line="284" w:lineRule="exact"/>
        <w:rPr>
          <w:rFonts w:ascii="Arial" w:cs="Arial" w:eastAsia="Arial" w:hAnsi="Arial"/>
          <w:sz w:val="16"/>
          <w:szCs w:val="16"/>
          <w:color w:val="auto"/>
        </w:rPr>
      </w:pPr>
    </w:p>
    <w:p>
      <w:pPr>
        <w:jc w:val="both"/>
        <w:ind w:left="340" w:hanging="332"/>
        <w:spacing w:after="0" w:line="266" w:lineRule="auto"/>
        <w:tabs>
          <w:tab w:leader="none" w:pos="34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fair value of the of the equity component of the CAP calculation was determined in accordance with SEC methodology for this disclosure. Unlike the Summary Compensation Table, which includes a calculation of the grant date value of equity awards granted during the applicable year, the CAP table includes a calculation of equity fair value as follows:</w:t>
      </w:r>
    </w:p>
    <w:p>
      <w:pPr>
        <w:spacing w:after="0" w:line="63" w:lineRule="exact"/>
        <w:rPr>
          <w:rFonts w:ascii="Arial" w:cs="Arial" w:eastAsia="Arial" w:hAnsi="Arial"/>
          <w:sz w:val="16"/>
          <w:szCs w:val="16"/>
          <w:color w:val="auto"/>
        </w:rPr>
      </w:pPr>
    </w:p>
    <w:p>
      <w:pPr>
        <w:ind w:left="980" w:hanging="324"/>
        <w:spacing w:after="0"/>
        <w:tabs>
          <w:tab w:leader="none" w:pos="980" w:val="left"/>
        </w:tabs>
        <w:numPr>
          <w:ilvl w:val="1"/>
          <w:numId w:val="95"/>
        </w:numPr>
        <w:rPr>
          <w:rFonts w:ascii="Arial" w:cs="Arial" w:eastAsia="Arial" w:hAnsi="Arial"/>
          <w:sz w:val="16"/>
          <w:szCs w:val="16"/>
          <w:color w:val="auto"/>
        </w:rPr>
      </w:pPr>
      <w:r>
        <w:rPr>
          <w:rFonts w:ascii="Arial" w:cs="Arial" w:eastAsia="Arial" w:hAnsi="Arial"/>
          <w:sz w:val="16"/>
          <w:szCs w:val="16"/>
          <w:color w:val="auto"/>
        </w:rPr>
        <w:t>for awards granted during the applicable year (and which are still outstanding), the year-end value; plus</w:t>
      </w:r>
    </w:p>
    <w:p>
      <w:pPr>
        <w:spacing w:after="0" w:line="113" w:lineRule="exact"/>
        <w:rPr>
          <w:rFonts w:ascii="Arial" w:cs="Arial" w:eastAsia="Arial" w:hAnsi="Arial"/>
          <w:sz w:val="16"/>
          <w:szCs w:val="16"/>
          <w:color w:val="auto"/>
        </w:rPr>
      </w:pPr>
    </w:p>
    <w:p>
      <w:pPr>
        <w:ind w:left="980" w:right="20" w:hanging="324"/>
        <w:spacing w:after="0" w:line="286" w:lineRule="auto"/>
        <w:tabs>
          <w:tab w:leader="none" w:pos="980" w:val="left"/>
        </w:tabs>
        <w:numPr>
          <w:ilvl w:val="1"/>
          <w:numId w:val="95"/>
        </w:numPr>
        <w:rPr>
          <w:rFonts w:ascii="Arial" w:cs="Arial" w:eastAsia="Arial" w:hAnsi="Arial"/>
          <w:sz w:val="16"/>
          <w:szCs w:val="16"/>
          <w:color w:val="auto"/>
        </w:rPr>
      </w:pPr>
      <w:r>
        <w:rPr>
          <w:rFonts w:ascii="Arial" w:cs="Arial" w:eastAsia="Arial" w:hAnsi="Arial"/>
          <w:sz w:val="16"/>
          <w:szCs w:val="16"/>
          <w:color w:val="auto"/>
        </w:rPr>
        <w:t>for awards granted during prior years that were still outstanding as of the applicable year-end, the change in value as of the applicable year-end compared against the prior year-end; plus</w:t>
      </w:r>
    </w:p>
    <w:p>
      <w:pPr>
        <w:spacing w:after="0" w:line="47" w:lineRule="exact"/>
        <w:rPr>
          <w:rFonts w:ascii="Arial" w:cs="Arial" w:eastAsia="Arial" w:hAnsi="Arial"/>
          <w:sz w:val="16"/>
          <w:szCs w:val="16"/>
          <w:color w:val="auto"/>
        </w:rPr>
      </w:pPr>
    </w:p>
    <w:p>
      <w:pPr>
        <w:ind w:left="980" w:hanging="324"/>
        <w:spacing w:after="0"/>
        <w:tabs>
          <w:tab w:leader="none" w:pos="980" w:val="left"/>
        </w:tabs>
        <w:numPr>
          <w:ilvl w:val="1"/>
          <w:numId w:val="95"/>
        </w:numPr>
        <w:rPr>
          <w:rFonts w:ascii="Arial" w:cs="Arial" w:eastAsia="Arial" w:hAnsi="Arial"/>
          <w:sz w:val="16"/>
          <w:szCs w:val="16"/>
          <w:color w:val="auto"/>
        </w:rPr>
      </w:pPr>
      <w:r>
        <w:rPr>
          <w:rFonts w:ascii="Arial" w:cs="Arial" w:eastAsia="Arial" w:hAnsi="Arial"/>
          <w:sz w:val="16"/>
          <w:szCs w:val="16"/>
          <w:color w:val="auto"/>
        </w:rPr>
        <w:t>for any awards granted in the applicable year that vested during the applicable year, the value as of the vesting date; plus</w:t>
      </w:r>
    </w:p>
    <w:p>
      <w:pPr>
        <w:spacing w:after="0" w:line="113" w:lineRule="exact"/>
        <w:rPr>
          <w:rFonts w:ascii="Arial" w:cs="Arial" w:eastAsia="Arial" w:hAnsi="Arial"/>
          <w:sz w:val="16"/>
          <w:szCs w:val="16"/>
          <w:color w:val="auto"/>
        </w:rPr>
      </w:pPr>
    </w:p>
    <w:p>
      <w:pPr>
        <w:ind w:left="980" w:hanging="324"/>
        <w:spacing w:after="0" w:line="286" w:lineRule="auto"/>
        <w:tabs>
          <w:tab w:leader="none" w:pos="980" w:val="left"/>
        </w:tabs>
        <w:numPr>
          <w:ilvl w:val="1"/>
          <w:numId w:val="95"/>
        </w:numPr>
        <w:rPr>
          <w:rFonts w:ascii="Arial" w:cs="Arial" w:eastAsia="Arial" w:hAnsi="Arial"/>
          <w:sz w:val="16"/>
          <w:szCs w:val="16"/>
          <w:color w:val="auto"/>
        </w:rPr>
      </w:pPr>
      <w:r>
        <w:rPr>
          <w:rFonts w:ascii="Arial" w:cs="Arial" w:eastAsia="Arial" w:hAnsi="Arial"/>
          <w:sz w:val="16"/>
          <w:szCs w:val="16"/>
          <w:color w:val="auto"/>
        </w:rPr>
        <w:t>for awards granted in prior years that vested during the applicable year, the change in value as of the vesting date compared against the prior year-end; minus</w:t>
      </w:r>
    </w:p>
    <w:p>
      <w:pPr>
        <w:spacing w:after="0" w:line="47" w:lineRule="exact"/>
        <w:rPr>
          <w:rFonts w:ascii="Arial" w:cs="Arial" w:eastAsia="Arial" w:hAnsi="Arial"/>
          <w:sz w:val="16"/>
          <w:szCs w:val="16"/>
          <w:color w:val="auto"/>
        </w:rPr>
      </w:pPr>
    </w:p>
    <w:p>
      <w:pPr>
        <w:ind w:left="980" w:hanging="324"/>
        <w:spacing w:after="0"/>
        <w:tabs>
          <w:tab w:leader="none" w:pos="980" w:val="left"/>
        </w:tabs>
        <w:numPr>
          <w:ilvl w:val="1"/>
          <w:numId w:val="95"/>
        </w:numPr>
        <w:rPr>
          <w:rFonts w:ascii="Arial" w:cs="Arial" w:eastAsia="Arial" w:hAnsi="Arial"/>
          <w:sz w:val="16"/>
          <w:szCs w:val="16"/>
          <w:color w:val="auto"/>
        </w:rPr>
      </w:pPr>
      <w:r>
        <w:rPr>
          <w:rFonts w:ascii="Arial" w:cs="Arial" w:eastAsia="Arial" w:hAnsi="Arial"/>
          <w:sz w:val="16"/>
          <w:szCs w:val="16"/>
          <w:color w:val="auto"/>
        </w:rPr>
        <w:t>for awards granted in prior years that were forfeited during the applicable year, the value as of the prior year-end.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492125</wp:posOffset>
            </wp:positionV>
            <wp:extent cx="629221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288925</wp:posOffset>
            </wp:positionH>
            <wp:positionV relativeFrom="paragraph">
              <wp:posOffset>543560</wp:posOffset>
            </wp:positionV>
            <wp:extent cx="265430" cy="15430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6543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b w:val="1"/>
          <w:bCs w:val="1"/>
          <w:color w:val="4A7EBB"/>
        </w:rPr>
        <w:t xml:space="preserve">52 </w:t>
      </w:r>
      <w:r>
        <w:rPr>
          <w:rFonts w:ascii="Arial" w:cs="Arial" w:eastAsia="Arial" w:hAnsi="Arial"/>
          <w:sz w:val="20"/>
          <w:szCs w:val="20"/>
          <w:color w:val="80808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17780</wp:posOffset>
            </wp:positionV>
            <wp:extent cx="629221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00" w:type="dxa"/>
            <w:vAlign w:val="bottom"/>
            <w:tcBorders>
              <w:top w:val="single" w:sz="8" w:color="4A7EBB"/>
            </w:tcBorders>
            <w:shd w:val="clear" w:color="auto" w:fill="DBE5F1"/>
          </w:tcPr>
          <w:p>
            <w:pPr>
              <w:spacing w:after="0"/>
              <w:rPr>
                <w:sz w:val="15"/>
                <w:szCs w:val="15"/>
                <w:color w:val="auto"/>
              </w:rPr>
            </w:pPr>
          </w:p>
        </w:tc>
        <w:tc>
          <w:tcPr>
            <w:tcW w:w="240" w:type="dxa"/>
            <w:vAlign w:val="bottom"/>
            <w:tcBorders>
              <w:top w:val="single" w:sz="8" w:color="4A7EBB"/>
            </w:tcBorders>
            <w:shd w:val="clear" w:color="auto" w:fill="DBE5F1"/>
          </w:tcPr>
          <w:p>
            <w:pPr>
              <w:ind w:left="180"/>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4A7EBB"/>
            </w:tcBorders>
            <w:shd w:val="clear" w:color="auto" w:fill="DBE5F1"/>
          </w:tcPr>
          <w:p>
            <w:pPr>
              <w:jc w:val="center"/>
              <w:spacing w:after="0"/>
              <w:rPr>
                <w:sz w:val="20"/>
                <w:szCs w:val="20"/>
                <w:color w:val="auto"/>
              </w:rPr>
            </w:pPr>
            <w:r>
              <w:rPr>
                <w:rFonts w:ascii="Arial" w:cs="Arial" w:eastAsia="Arial" w:hAnsi="Arial"/>
                <w:sz w:val="14"/>
                <w:szCs w:val="14"/>
                <w:b w:val="1"/>
                <w:bCs w:val="1"/>
                <w:color w:val="auto"/>
              </w:rPr>
              <w:t>(a)</w:t>
            </w:r>
          </w:p>
        </w:tc>
        <w:tc>
          <w:tcPr>
            <w:tcW w:w="300" w:type="dxa"/>
            <w:vAlign w:val="bottom"/>
            <w:tcBorders>
              <w:top w:val="single" w:sz="8" w:color="4A7EBB"/>
            </w:tcBorders>
            <w:shd w:val="clear" w:color="auto" w:fill="DBE5F1"/>
          </w:tcPr>
          <w:p>
            <w:pPr>
              <w:ind w:left="180"/>
              <w:spacing w:after="0"/>
              <w:rPr>
                <w:sz w:val="20"/>
                <w:szCs w:val="20"/>
                <w:color w:val="auto"/>
              </w:rPr>
            </w:pPr>
            <w:r>
              <w:rPr>
                <w:rFonts w:ascii="Arial" w:cs="Arial" w:eastAsia="Arial" w:hAnsi="Arial"/>
                <w:sz w:val="14"/>
                <w:szCs w:val="14"/>
                <w:b w:val="1"/>
                <w:bCs w:val="1"/>
                <w:color w:val="auto"/>
              </w:rPr>
              <w:t>​</w:t>
            </w:r>
          </w:p>
        </w:tc>
        <w:tc>
          <w:tcPr>
            <w:tcW w:w="1380" w:type="dxa"/>
            <w:vAlign w:val="bottom"/>
            <w:tcBorders>
              <w:top w:val="single" w:sz="8" w:color="4A7EBB"/>
            </w:tcBorders>
            <w:shd w:val="clear" w:color="auto" w:fill="DBE5F1"/>
          </w:tcPr>
          <w:p>
            <w:pPr>
              <w:jc w:val="center"/>
              <w:ind w:right="48"/>
              <w:spacing w:after="0"/>
              <w:rPr>
                <w:sz w:val="20"/>
                <w:szCs w:val="20"/>
                <w:color w:val="auto"/>
              </w:rPr>
            </w:pPr>
            <w:r>
              <w:rPr>
                <w:rFonts w:ascii="Arial" w:cs="Arial" w:eastAsia="Arial" w:hAnsi="Arial"/>
                <w:sz w:val="14"/>
                <w:szCs w:val="14"/>
                <w:b w:val="1"/>
                <w:bCs w:val="1"/>
                <w:color w:val="auto"/>
              </w:rPr>
              <w:t>(b)</w:t>
            </w:r>
          </w:p>
        </w:tc>
        <w:tc>
          <w:tcPr>
            <w:tcW w:w="300" w:type="dxa"/>
            <w:vAlign w:val="bottom"/>
            <w:tcBorders>
              <w:top w:val="single" w:sz="8" w:color="4A7EBB"/>
            </w:tcBorders>
            <w:shd w:val="clear" w:color="auto" w:fill="DBE5F1"/>
          </w:tcPr>
          <w:p>
            <w:pPr>
              <w:ind w:left="180"/>
              <w:spacing w:after="0"/>
              <w:rPr>
                <w:sz w:val="20"/>
                <w:szCs w:val="20"/>
                <w:color w:val="auto"/>
              </w:rPr>
            </w:pPr>
            <w:r>
              <w:rPr>
                <w:rFonts w:ascii="Arial" w:cs="Arial" w:eastAsia="Arial" w:hAnsi="Arial"/>
                <w:sz w:val="14"/>
                <w:szCs w:val="14"/>
                <w:b w:val="1"/>
                <w:bCs w:val="1"/>
                <w:color w:val="auto"/>
              </w:rPr>
              <w:t>​</w:t>
            </w:r>
          </w:p>
        </w:tc>
        <w:tc>
          <w:tcPr>
            <w:tcW w:w="1380" w:type="dxa"/>
            <w:vAlign w:val="bottom"/>
            <w:tcBorders>
              <w:top w:val="single" w:sz="8" w:color="4A7EBB"/>
            </w:tcBorders>
            <w:shd w:val="clear" w:color="auto" w:fill="DBE5F1"/>
          </w:tcPr>
          <w:p>
            <w:pPr>
              <w:jc w:val="center"/>
              <w:ind w:right="48"/>
              <w:spacing w:after="0"/>
              <w:rPr>
                <w:sz w:val="20"/>
                <w:szCs w:val="20"/>
                <w:color w:val="auto"/>
              </w:rPr>
            </w:pPr>
            <w:r>
              <w:rPr>
                <w:rFonts w:ascii="Arial" w:cs="Arial" w:eastAsia="Arial" w:hAnsi="Arial"/>
                <w:sz w:val="14"/>
                <w:szCs w:val="14"/>
                <w:b w:val="1"/>
                <w:bCs w:val="1"/>
                <w:color w:val="auto"/>
              </w:rPr>
              <w:t>(c)</w:t>
            </w:r>
          </w:p>
        </w:tc>
        <w:tc>
          <w:tcPr>
            <w:tcW w:w="300" w:type="dxa"/>
            <w:vAlign w:val="bottom"/>
            <w:tcBorders>
              <w:top w:val="single" w:sz="8" w:color="4A7EBB"/>
            </w:tcBorders>
            <w:shd w:val="clear" w:color="auto" w:fill="DBE5F1"/>
          </w:tcPr>
          <w:p>
            <w:pPr>
              <w:ind w:left="180"/>
              <w:spacing w:after="0"/>
              <w:rPr>
                <w:sz w:val="20"/>
                <w:szCs w:val="20"/>
                <w:color w:val="auto"/>
              </w:rPr>
            </w:pPr>
            <w:r>
              <w:rPr>
                <w:rFonts w:ascii="Arial" w:cs="Arial" w:eastAsia="Arial" w:hAnsi="Arial"/>
                <w:sz w:val="14"/>
                <w:szCs w:val="14"/>
                <w:b w:val="1"/>
                <w:bCs w:val="1"/>
                <w:color w:val="auto"/>
              </w:rPr>
              <w:t>​</w:t>
            </w:r>
          </w:p>
        </w:tc>
        <w:tc>
          <w:tcPr>
            <w:tcW w:w="1440" w:type="dxa"/>
            <w:vAlign w:val="bottom"/>
            <w:tcBorders>
              <w:top w:val="single" w:sz="8" w:color="4A7EBB"/>
            </w:tcBorders>
            <w:shd w:val="clear" w:color="auto" w:fill="DBE5F1"/>
          </w:tcPr>
          <w:p>
            <w:pPr>
              <w:jc w:val="center"/>
              <w:ind w:right="48"/>
              <w:spacing w:after="0"/>
              <w:rPr>
                <w:sz w:val="20"/>
                <w:szCs w:val="20"/>
                <w:color w:val="auto"/>
              </w:rPr>
            </w:pPr>
            <w:r>
              <w:rPr>
                <w:rFonts w:ascii="Arial" w:cs="Arial" w:eastAsia="Arial" w:hAnsi="Arial"/>
                <w:sz w:val="14"/>
                <w:szCs w:val="14"/>
                <w:b w:val="1"/>
                <w:bCs w:val="1"/>
                <w:color w:val="auto"/>
              </w:rPr>
              <w:t>(d)</w:t>
            </w:r>
          </w:p>
        </w:tc>
        <w:tc>
          <w:tcPr>
            <w:tcW w:w="240" w:type="dxa"/>
            <w:vAlign w:val="bottom"/>
            <w:tcBorders>
              <w:top w:val="single" w:sz="8" w:color="4A7EBB"/>
            </w:tcBorders>
            <w:shd w:val="clear" w:color="auto" w:fill="DBE5F1"/>
          </w:tcPr>
          <w:p>
            <w:pPr>
              <w:ind w:left="180"/>
              <w:spacing w:after="0"/>
              <w:rPr>
                <w:sz w:val="20"/>
                <w:szCs w:val="20"/>
                <w:color w:val="auto"/>
              </w:rPr>
            </w:pPr>
            <w:r>
              <w:rPr>
                <w:rFonts w:ascii="Arial" w:cs="Arial" w:eastAsia="Arial" w:hAnsi="Arial"/>
                <w:sz w:val="14"/>
                <w:szCs w:val="14"/>
                <w:b w:val="1"/>
                <w:bCs w:val="1"/>
                <w:color w:val="auto"/>
              </w:rPr>
              <w:t>​</w:t>
            </w:r>
          </w:p>
        </w:tc>
        <w:tc>
          <w:tcPr>
            <w:tcW w:w="1140" w:type="dxa"/>
            <w:vAlign w:val="bottom"/>
            <w:tcBorders>
              <w:top w:val="single" w:sz="8" w:color="4A7EBB"/>
            </w:tcBorders>
            <w:shd w:val="clear" w:color="auto" w:fill="DBE5F1"/>
          </w:tcPr>
          <w:p>
            <w:pPr>
              <w:jc w:val="center"/>
              <w:ind w:right="48"/>
              <w:spacing w:after="0"/>
              <w:rPr>
                <w:sz w:val="20"/>
                <w:szCs w:val="20"/>
                <w:color w:val="auto"/>
              </w:rPr>
            </w:pPr>
            <w:r>
              <w:rPr>
                <w:rFonts w:ascii="Arial" w:cs="Arial" w:eastAsia="Arial" w:hAnsi="Arial"/>
                <w:sz w:val="14"/>
                <w:szCs w:val="14"/>
                <w:b w:val="1"/>
                <w:bCs w:val="1"/>
                <w:color w:val="auto"/>
              </w:rPr>
              <w:t>(e)</w:t>
            </w:r>
          </w:p>
        </w:tc>
        <w:tc>
          <w:tcPr>
            <w:tcW w:w="1300" w:type="dxa"/>
            <w:vAlign w:val="bottom"/>
            <w:tcBorders>
              <w:top w:val="single" w:sz="8" w:color="4A7EBB"/>
            </w:tcBorders>
            <w:shd w:val="clear" w:color="auto" w:fill="DBE5F1"/>
          </w:tcPr>
          <w:p>
            <w:pPr>
              <w:ind w:left="120"/>
              <w:spacing w:after="0"/>
              <w:rPr>
                <w:sz w:val="20"/>
                <w:szCs w:val="20"/>
                <w:color w:val="auto"/>
              </w:rPr>
            </w:pPr>
            <w:r>
              <w:rPr>
                <w:rFonts w:ascii="Arial" w:cs="Arial" w:eastAsia="Arial" w:hAnsi="Arial"/>
                <w:sz w:val="14"/>
                <w:szCs w:val="14"/>
                <w:b w:val="1"/>
                <w:bCs w:val="1"/>
                <w:color w:val="auto"/>
              </w:rPr>
              <w:t>​</w:t>
            </w:r>
          </w:p>
        </w:tc>
      </w:tr>
      <w:tr>
        <w:trPr>
          <w:trHeight w:val="324"/>
        </w:trPr>
        <w:tc>
          <w:tcPr>
            <w:tcW w:w="20" w:type="dxa"/>
            <w:vAlign w:val="bottom"/>
          </w:tcPr>
          <w:p>
            <w:pPr>
              <w:spacing w:after="0"/>
              <w:rPr>
                <w:sz w:val="24"/>
                <w:szCs w:val="24"/>
                <w:color w:val="auto"/>
              </w:rPr>
            </w:pPr>
          </w:p>
        </w:tc>
        <w:tc>
          <w:tcPr>
            <w:tcW w:w="800" w:type="dxa"/>
            <w:vAlign w:val="bottom"/>
            <w:shd w:val="clear" w:color="auto" w:fill="DBE5F1"/>
          </w:tcPr>
          <w:p>
            <w:pPr>
              <w:spacing w:after="0"/>
              <w:rPr>
                <w:sz w:val="20"/>
                <w:szCs w:val="20"/>
                <w:color w:val="auto"/>
              </w:rPr>
            </w:pPr>
            <w:r>
              <w:rPr>
                <w:rFonts w:ascii="Arial" w:cs="Arial" w:eastAsia="Arial" w:hAnsi="Arial"/>
                <w:sz w:val="14"/>
                <w:szCs w:val="14"/>
                <w:b w:val="1"/>
                <w:bCs w:val="1"/>
                <w:color w:val="auto"/>
              </w:rPr>
              <w:t>Non-PEO</w:t>
            </w:r>
          </w:p>
        </w:tc>
        <w:tc>
          <w:tcPr>
            <w:tcW w:w="240" w:type="dxa"/>
            <w:vAlign w:val="bottom"/>
            <w:shd w:val="clear" w:color="auto" w:fill="DBE5F1"/>
          </w:tcPr>
          <w:p>
            <w:pPr>
              <w:spacing w:after="0"/>
              <w:rPr>
                <w:sz w:val="24"/>
                <w:szCs w:val="24"/>
                <w:color w:val="auto"/>
              </w:rPr>
            </w:pPr>
          </w:p>
        </w:tc>
        <w:tc>
          <w:tcPr>
            <w:tcW w:w="1080" w:type="dxa"/>
            <w:vAlign w:val="bottom"/>
            <w:shd w:val="clear" w:color="auto" w:fill="DBE5F1"/>
          </w:tcPr>
          <w:p>
            <w:pPr>
              <w:spacing w:after="0"/>
              <w:rPr>
                <w:sz w:val="24"/>
                <w:szCs w:val="24"/>
                <w:color w:val="auto"/>
              </w:rPr>
            </w:pPr>
          </w:p>
        </w:tc>
        <w:tc>
          <w:tcPr>
            <w:tcW w:w="300" w:type="dxa"/>
            <w:vAlign w:val="bottom"/>
            <w:shd w:val="clear" w:color="auto" w:fill="DBE5F1"/>
          </w:tcPr>
          <w:p>
            <w:pPr>
              <w:spacing w:after="0"/>
              <w:rPr>
                <w:sz w:val="24"/>
                <w:szCs w:val="24"/>
                <w:color w:val="auto"/>
              </w:rPr>
            </w:pPr>
          </w:p>
        </w:tc>
        <w:tc>
          <w:tcPr>
            <w:tcW w:w="1380" w:type="dxa"/>
            <w:vAlign w:val="bottom"/>
            <w:shd w:val="clear" w:color="auto" w:fill="DBE5F1"/>
          </w:tcPr>
          <w:p>
            <w:pPr>
              <w:spacing w:after="0"/>
              <w:rPr>
                <w:sz w:val="24"/>
                <w:szCs w:val="24"/>
                <w:color w:val="auto"/>
              </w:rPr>
            </w:pPr>
          </w:p>
        </w:tc>
        <w:tc>
          <w:tcPr>
            <w:tcW w:w="300" w:type="dxa"/>
            <w:vAlign w:val="bottom"/>
            <w:shd w:val="clear" w:color="auto" w:fill="DBE5F1"/>
          </w:tcPr>
          <w:p>
            <w:pPr>
              <w:spacing w:after="0"/>
              <w:rPr>
                <w:sz w:val="24"/>
                <w:szCs w:val="24"/>
                <w:color w:val="auto"/>
              </w:rPr>
            </w:pPr>
          </w:p>
        </w:tc>
        <w:tc>
          <w:tcPr>
            <w:tcW w:w="1380" w:type="dxa"/>
            <w:vAlign w:val="bottom"/>
            <w:shd w:val="clear" w:color="auto" w:fill="DBE5F1"/>
          </w:tcPr>
          <w:p>
            <w:pPr>
              <w:spacing w:after="0"/>
              <w:rPr>
                <w:sz w:val="24"/>
                <w:szCs w:val="24"/>
                <w:color w:val="auto"/>
              </w:rPr>
            </w:pPr>
          </w:p>
        </w:tc>
        <w:tc>
          <w:tcPr>
            <w:tcW w:w="300" w:type="dxa"/>
            <w:vAlign w:val="bottom"/>
            <w:shd w:val="clear" w:color="auto" w:fill="DBE5F1"/>
          </w:tcPr>
          <w:p>
            <w:pPr>
              <w:spacing w:after="0"/>
              <w:rPr>
                <w:sz w:val="24"/>
                <w:szCs w:val="24"/>
                <w:color w:val="auto"/>
              </w:rPr>
            </w:pPr>
          </w:p>
        </w:tc>
        <w:tc>
          <w:tcPr>
            <w:tcW w:w="1440" w:type="dxa"/>
            <w:vAlign w:val="bottom"/>
            <w:shd w:val="clear" w:color="auto" w:fill="DBE5F1"/>
          </w:tcPr>
          <w:p>
            <w:pPr>
              <w:spacing w:after="0"/>
              <w:rPr>
                <w:sz w:val="24"/>
                <w:szCs w:val="24"/>
                <w:color w:val="auto"/>
              </w:rPr>
            </w:pPr>
          </w:p>
        </w:tc>
        <w:tc>
          <w:tcPr>
            <w:tcW w:w="240" w:type="dxa"/>
            <w:vAlign w:val="bottom"/>
            <w:shd w:val="clear" w:color="auto" w:fill="DBE5F1"/>
          </w:tcPr>
          <w:p>
            <w:pPr>
              <w:spacing w:after="0"/>
              <w:rPr>
                <w:sz w:val="24"/>
                <w:szCs w:val="24"/>
                <w:color w:val="auto"/>
              </w:rPr>
            </w:pPr>
          </w:p>
        </w:tc>
        <w:tc>
          <w:tcPr>
            <w:tcW w:w="1140" w:type="dxa"/>
            <w:vAlign w:val="bottom"/>
            <w:shd w:val="clear" w:color="auto" w:fill="DBE5F1"/>
          </w:tcPr>
          <w:p>
            <w:pPr>
              <w:jc w:val="center"/>
              <w:ind w:right="28"/>
              <w:spacing w:after="0"/>
              <w:rPr>
                <w:sz w:val="20"/>
                <w:szCs w:val="20"/>
                <w:color w:val="auto"/>
              </w:rPr>
            </w:pPr>
            <w:r>
              <w:rPr>
                <w:rFonts w:ascii="Arial" w:cs="Arial" w:eastAsia="Arial" w:hAnsi="Arial"/>
                <w:sz w:val="14"/>
                <w:szCs w:val="14"/>
                <w:b w:val="1"/>
                <w:bCs w:val="1"/>
                <w:color w:val="auto"/>
              </w:rPr>
              <w:t>Average</w:t>
            </w:r>
          </w:p>
        </w:tc>
        <w:tc>
          <w:tcPr>
            <w:tcW w:w="1300" w:type="dxa"/>
            <w:vAlign w:val="bottom"/>
            <w:shd w:val="clear" w:color="auto" w:fill="DBE5F1"/>
          </w:tcPr>
          <w:p>
            <w:pPr>
              <w:spacing w:after="0"/>
              <w:rPr>
                <w:sz w:val="24"/>
                <w:szCs w:val="24"/>
                <w:color w:val="auto"/>
              </w:rPr>
            </w:pPr>
          </w:p>
        </w:tc>
      </w:tr>
      <w:tr>
        <w:trPr>
          <w:trHeight w:val="162"/>
        </w:trPr>
        <w:tc>
          <w:tcPr>
            <w:tcW w:w="20" w:type="dxa"/>
            <w:vAlign w:val="bottom"/>
          </w:tcPr>
          <w:p>
            <w:pPr>
              <w:spacing w:after="0"/>
              <w:rPr>
                <w:sz w:val="14"/>
                <w:szCs w:val="14"/>
                <w:color w:val="auto"/>
              </w:rPr>
            </w:pPr>
          </w:p>
        </w:tc>
        <w:tc>
          <w:tcPr>
            <w:tcW w:w="800" w:type="dxa"/>
            <w:vAlign w:val="bottom"/>
            <w:shd w:val="clear" w:color="auto" w:fill="DBE5F1"/>
          </w:tcPr>
          <w:p>
            <w:pPr>
              <w:spacing w:after="0"/>
              <w:rPr>
                <w:sz w:val="20"/>
                <w:szCs w:val="20"/>
                <w:color w:val="auto"/>
              </w:rPr>
            </w:pPr>
            <w:r>
              <w:rPr>
                <w:rFonts w:ascii="Arial" w:cs="Arial" w:eastAsia="Arial" w:hAnsi="Arial"/>
                <w:sz w:val="14"/>
                <w:szCs w:val="14"/>
                <w:b w:val="1"/>
                <w:bCs w:val="1"/>
                <w:color w:val="auto"/>
              </w:rPr>
              <w:t>NEO's</w:t>
            </w:r>
          </w:p>
        </w:tc>
        <w:tc>
          <w:tcPr>
            <w:tcW w:w="240" w:type="dxa"/>
            <w:vAlign w:val="bottom"/>
            <w:shd w:val="clear" w:color="auto" w:fill="DBE5F1"/>
          </w:tcPr>
          <w:p>
            <w:pPr>
              <w:spacing w:after="0"/>
              <w:rPr>
                <w:sz w:val="14"/>
                <w:szCs w:val="14"/>
                <w:color w:val="auto"/>
              </w:rPr>
            </w:pPr>
          </w:p>
        </w:tc>
        <w:tc>
          <w:tcPr>
            <w:tcW w:w="1080" w:type="dxa"/>
            <w:vAlign w:val="bottom"/>
            <w:shd w:val="clear" w:color="auto" w:fill="DBE5F1"/>
          </w:tcPr>
          <w:p>
            <w:pPr>
              <w:spacing w:after="0"/>
              <w:rPr>
                <w:sz w:val="14"/>
                <w:szCs w:val="14"/>
                <w:color w:val="auto"/>
              </w:rPr>
            </w:pPr>
          </w:p>
        </w:tc>
        <w:tc>
          <w:tcPr>
            <w:tcW w:w="300" w:type="dxa"/>
            <w:vAlign w:val="bottom"/>
            <w:shd w:val="clear" w:color="auto" w:fill="DBE5F1"/>
          </w:tcPr>
          <w:p>
            <w:pPr>
              <w:spacing w:after="0"/>
              <w:rPr>
                <w:sz w:val="14"/>
                <w:szCs w:val="14"/>
                <w:color w:val="auto"/>
              </w:rPr>
            </w:pPr>
          </w:p>
        </w:tc>
        <w:tc>
          <w:tcPr>
            <w:tcW w:w="1380" w:type="dxa"/>
            <w:vAlign w:val="bottom"/>
            <w:shd w:val="clear" w:color="auto" w:fill="DBE5F1"/>
          </w:tcPr>
          <w:p>
            <w:pPr>
              <w:spacing w:after="0"/>
              <w:rPr>
                <w:sz w:val="14"/>
                <w:szCs w:val="14"/>
                <w:color w:val="auto"/>
              </w:rPr>
            </w:pPr>
          </w:p>
        </w:tc>
        <w:tc>
          <w:tcPr>
            <w:tcW w:w="300" w:type="dxa"/>
            <w:vAlign w:val="bottom"/>
            <w:shd w:val="clear" w:color="auto" w:fill="DBE5F1"/>
          </w:tcPr>
          <w:p>
            <w:pPr>
              <w:spacing w:after="0"/>
              <w:rPr>
                <w:sz w:val="14"/>
                <w:szCs w:val="14"/>
                <w:color w:val="auto"/>
              </w:rPr>
            </w:pPr>
          </w:p>
        </w:tc>
        <w:tc>
          <w:tcPr>
            <w:tcW w:w="1380" w:type="dxa"/>
            <w:vAlign w:val="bottom"/>
            <w:shd w:val="clear" w:color="auto" w:fill="DBE5F1"/>
          </w:tcPr>
          <w:p>
            <w:pPr>
              <w:spacing w:after="0"/>
              <w:rPr>
                <w:sz w:val="14"/>
                <w:szCs w:val="14"/>
                <w:color w:val="auto"/>
              </w:rPr>
            </w:pPr>
          </w:p>
        </w:tc>
        <w:tc>
          <w:tcPr>
            <w:tcW w:w="300" w:type="dxa"/>
            <w:vAlign w:val="bottom"/>
            <w:shd w:val="clear" w:color="auto" w:fill="DBE5F1"/>
          </w:tcPr>
          <w:p>
            <w:pPr>
              <w:spacing w:after="0"/>
              <w:rPr>
                <w:sz w:val="14"/>
                <w:szCs w:val="14"/>
                <w:color w:val="auto"/>
              </w:rPr>
            </w:pPr>
          </w:p>
        </w:tc>
        <w:tc>
          <w:tcPr>
            <w:tcW w:w="1440" w:type="dxa"/>
            <w:vAlign w:val="bottom"/>
            <w:shd w:val="clear" w:color="auto" w:fill="DBE5F1"/>
          </w:tcPr>
          <w:p>
            <w:pPr>
              <w:jc w:val="center"/>
              <w:ind w:right="48"/>
              <w:spacing w:after="0"/>
              <w:rPr>
                <w:sz w:val="20"/>
                <w:szCs w:val="20"/>
                <w:color w:val="auto"/>
              </w:rPr>
            </w:pPr>
            <w:r>
              <w:rPr>
                <w:rFonts w:ascii="Arial" w:cs="Arial" w:eastAsia="Arial" w:hAnsi="Arial"/>
                <w:sz w:val="14"/>
                <w:szCs w:val="14"/>
                <w:b w:val="1"/>
                <w:bCs w:val="1"/>
                <w:color w:val="auto"/>
              </w:rPr>
              <w:t>Year over Year</w:t>
            </w:r>
          </w:p>
        </w:tc>
        <w:tc>
          <w:tcPr>
            <w:tcW w:w="240" w:type="dxa"/>
            <w:vAlign w:val="bottom"/>
            <w:shd w:val="clear" w:color="auto" w:fill="DBE5F1"/>
          </w:tcPr>
          <w:p>
            <w:pPr>
              <w:spacing w:after="0"/>
              <w:rPr>
                <w:sz w:val="14"/>
                <w:szCs w:val="14"/>
                <w:color w:val="auto"/>
              </w:rPr>
            </w:pPr>
          </w:p>
        </w:tc>
        <w:tc>
          <w:tcPr>
            <w:tcW w:w="1140" w:type="dxa"/>
            <w:vAlign w:val="bottom"/>
            <w:shd w:val="clear" w:color="auto" w:fill="DBE5F1"/>
          </w:tcPr>
          <w:p>
            <w:pPr>
              <w:jc w:val="center"/>
              <w:ind w:right="48"/>
              <w:spacing w:after="0"/>
              <w:rPr>
                <w:sz w:val="20"/>
                <w:szCs w:val="20"/>
                <w:color w:val="auto"/>
              </w:rPr>
            </w:pPr>
            <w:r>
              <w:rPr>
                <w:rFonts w:ascii="Arial" w:cs="Arial" w:eastAsia="Arial" w:hAnsi="Arial"/>
                <w:sz w:val="14"/>
                <w:szCs w:val="14"/>
                <w:b w:val="1"/>
                <w:bCs w:val="1"/>
                <w:color w:val="auto"/>
              </w:rPr>
              <w:t>Fair Value at</w:t>
            </w:r>
          </w:p>
        </w:tc>
        <w:tc>
          <w:tcPr>
            <w:tcW w:w="1300" w:type="dxa"/>
            <w:vAlign w:val="bottom"/>
            <w:shd w:val="clear" w:color="auto" w:fill="DBE5F1"/>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800" w:type="dxa"/>
            <w:vAlign w:val="bottom"/>
            <w:shd w:val="clear" w:color="auto" w:fill="DBE5F1"/>
          </w:tcPr>
          <w:p>
            <w:pPr>
              <w:spacing w:after="0"/>
              <w:rPr>
                <w:sz w:val="14"/>
                <w:szCs w:val="14"/>
                <w:color w:val="auto"/>
              </w:rPr>
            </w:pPr>
          </w:p>
        </w:tc>
        <w:tc>
          <w:tcPr>
            <w:tcW w:w="240" w:type="dxa"/>
            <w:vAlign w:val="bottom"/>
            <w:shd w:val="clear" w:color="auto" w:fill="DBE5F1"/>
          </w:tcPr>
          <w:p>
            <w:pPr>
              <w:spacing w:after="0"/>
              <w:rPr>
                <w:sz w:val="14"/>
                <w:szCs w:val="14"/>
                <w:color w:val="auto"/>
              </w:rPr>
            </w:pPr>
          </w:p>
        </w:tc>
        <w:tc>
          <w:tcPr>
            <w:tcW w:w="1080" w:type="dxa"/>
            <w:vAlign w:val="bottom"/>
            <w:shd w:val="clear" w:color="auto" w:fill="DBE5F1"/>
          </w:tcPr>
          <w:p>
            <w:pPr>
              <w:spacing w:after="0"/>
              <w:rPr>
                <w:sz w:val="14"/>
                <w:szCs w:val="14"/>
                <w:color w:val="auto"/>
              </w:rPr>
            </w:pPr>
          </w:p>
        </w:tc>
        <w:tc>
          <w:tcPr>
            <w:tcW w:w="300" w:type="dxa"/>
            <w:vAlign w:val="bottom"/>
            <w:shd w:val="clear" w:color="auto" w:fill="DBE5F1"/>
          </w:tcPr>
          <w:p>
            <w:pPr>
              <w:spacing w:after="0"/>
              <w:rPr>
                <w:sz w:val="14"/>
                <w:szCs w:val="14"/>
                <w:color w:val="auto"/>
              </w:rPr>
            </w:pPr>
          </w:p>
        </w:tc>
        <w:tc>
          <w:tcPr>
            <w:tcW w:w="1380" w:type="dxa"/>
            <w:vAlign w:val="bottom"/>
            <w:shd w:val="clear" w:color="auto" w:fill="DBE5F1"/>
          </w:tcPr>
          <w:p>
            <w:pPr>
              <w:spacing w:after="0"/>
              <w:rPr>
                <w:sz w:val="14"/>
                <w:szCs w:val="14"/>
                <w:color w:val="auto"/>
              </w:rPr>
            </w:pPr>
          </w:p>
        </w:tc>
        <w:tc>
          <w:tcPr>
            <w:tcW w:w="300" w:type="dxa"/>
            <w:vAlign w:val="bottom"/>
            <w:shd w:val="clear" w:color="auto" w:fill="DBE5F1"/>
          </w:tcPr>
          <w:p>
            <w:pPr>
              <w:spacing w:after="0"/>
              <w:rPr>
                <w:sz w:val="14"/>
                <w:szCs w:val="14"/>
                <w:color w:val="auto"/>
              </w:rPr>
            </w:pPr>
          </w:p>
        </w:tc>
        <w:tc>
          <w:tcPr>
            <w:tcW w:w="1380" w:type="dxa"/>
            <w:vAlign w:val="bottom"/>
            <w:shd w:val="clear" w:color="auto" w:fill="DBE5F1"/>
          </w:tcPr>
          <w:p>
            <w:pPr>
              <w:jc w:val="center"/>
              <w:ind w:right="28"/>
              <w:spacing w:after="0"/>
              <w:rPr>
                <w:sz w:val="20"/>
                <w:szCs w:val="20"/>
                <w:color w:val="auto"/>
              </w:rPr>
            </w:pPr>
            <w:r>
              <w:rPr>
                <w:rFonts w:ascii="Arial" w:cs="Arial" w:eastAsia="Arial" w:hAnsi="Arial"/>
                <w:sz w:val="14"/>
                <w:szCs w:val="14"/>
                <w:b w:val="1"/>
                <w:bCs w:val="1"/>
                <w:color w:val="auto"/>
              </w:rPr>
              <w:t>Average</w:t>
            </w:r>
          </w:p>
        </w:tc>
        <w:tc>
          <w:tcPr>
            <w:tcW w:w="300" w:type="dxa"/>
            <w:vAlign w:val="bottom"/>
            <w:shd w:val="clear" w:color="auto" w:fill="DBE5F1"/>
          </w:tcPr>
          <w:p>
            <w:pPr>
              <w:spacing w:after="0"/>
              <w:rPr>
                <w:sz w:val="14"/>
                <w:szCs w:val="14"/>
                <w:color w:val="auto"/>
              </w:rPr>
            </w:pPr>
          </w:p>
        </w:tc>
        <w:tc>
          <w:tcPr>
            <w:tcW w:w="1440" w:type="dxa"/>
            <w:vAlign w:val="bottom"/>
            <w:shd w:val="clear" w:color="auto" w:fill="DBE5F1"/>
          </w:tcPr>
          <w:p>
            <w:pPr>
              <w:jc w:val="center"/>
              <w:ind w:right="48"/>
              <w:spacing w:after="0"/>
              <w:rPr>
                <w:sz w:val="20"/>
                <w:szCs w:val="20"/>
                <w:color w:val="auto"/>
              </w:rPr>
            </w:pPr>
            <w:r>
              <w:rPr>
                <w:rFonts w:ascii="Arial" w:cs="Arial" w:eastAsia="Arial" w:hAnsi="Arial"/>
                <w:sz w:val="14"/>
                <w:szCs w:val="14"/>
                <w:b w:val="1"/>
                <w:bCs w:val="1"/>
                <w:color w:val="auto"/>
              </w:rPr>
              <w:t>Average Change</w:t>
            </w:r>
          </w:p>
        </w:tc>
        <w:tc>
          <w:tcPr>
            <w:tcW w:w="240" w:type="dxa"/>
            <w:vAlign w:val="bottom"/>
            <w:shd w:val="clear" w:color="auto" w:fill="DBE5F1"/>
          </w:tcPr>
          <w:p>
            <w:pPr>
              <w:spacing w:after="0"/>
              <w:rPr>
                <w:sz w:val="14"/>
                <w:szCs w:val="14"/>
                <w:color w:val="auto"/>
              </w:rPr>
            </w:pPr>
          </w:p>
        </w:tc>
        <w:tc>
          <w:tcPr>
            <w:tcW w:w="1140" w:type="dxa"/>
            <w:vAlign w:val="bottom"/>
            <w:shd w:val="clear" w:color="auto" w:fill="DBE5F1"/>
          </w:tcPr>
          <w:p>
            <w:pPr>
              <w:jc w:val="center"/>
              <w:ind w:right="28"/>
              <w:spacing w:after="0"/>
              <w:rPr>
                <w:sz w:val="20"/>
                <w:szCs w:val="20"/>
                <w:color w:val="auto"/>
              </w:rPr>
            </w:pPr>
            <w:r>
              <w:rPr>
                <w:rFonts w:ascii="Arial" w:cs="Arial" w:eastAsia="Arial" w:hAnsi="Arial"/>
                <w:sz w:val="14"/>
                <w:szCs w:val="14"/>
                <w:b w:val="1"/>
                <w:bCs w:val="1"/>
                <w:color w:val="auto"/>
              </w:rPr>
              <w:t>the End of the</w:t>
            </w:r>
          </w:p>
        </w:tc>
        <w:tc>
          <w:tcPr>
            <w:tcW w:w="1300" w:type="dxa"/>
            <w:vAlign w:val="bottom"/>
            <w:shd w:val="clear" w:color="auto" w:fill="DBE5F1"/>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800" w:type="dxa"/>
            <w:vAlign w:val="bottom"/>
            <w:shd w:val="clear" w:color="auto" w:fill="DBE5F1"/>
          </w:tcPr>
          <w:p>
            <w:pPr>
              <w:spacing w:after="0"/>
              <w:rPr>
                <w:sz w:val="14"/>
                <w:szCs w:val="14"/>
                <w:color w:val="auto"/>
              </w:rPr>
            </w:pPr>
          </w:p>
        </w:tc>
        <w:tc>
          <w:tcPr>
            <w:tcW w:w="240" w:type="dxa"/>
            <w:vAlign w:val="bottom"/>
            <w:shd w:val="clear" w:color="auto" w:fill="DBE5F1"/>
          </w:tcPr>
          <w:p>
            <w:pPr>
              <w:spacing w:after="0"/>
              <w:rPr>
                <w:sz w:val="14"/>
                <w:szCs w:val="14"/>
                <w:color w:val="auto"/>
              </w:rPr>
            </w:pPr>
          </w:p>
        </w:tc>
        <w:tc>
          <w:tcPr>
            <w:tcW w:w="1080" w:type="dxa"/>
            <w:vAlign w:val="bottom"/>
            <w:shd w:val="clear" w:color="auto" w:fill="DBE5F1"/>
          </w:tcPr>
          <w:p>
            <w:pPr>
              <w:spacing w:after="0"/>
              <w:rPr>
                <w:sz w:val="14"/>
                <w:szCs w:val="14"/>
                <w:color w:val="auto"/>
              </w:rPr>
            </w:pPr>
          </w:p>
        </w:tc>
        <w:tc>
          <w:tcPr>
            <w:tcW w:w="300" w:type="dxa"/>
            <w:vAlign w:val="bottom"/>
            <w:shd w:val="clear" w:color="auto" w:fill="DBE5F1"/>
          </w:tcPr>
          <w:p>
            <w:pPr>
              <w:spacing w:after="0"/>
              <w:rPr>
                <w:sz w:val="14"/>
                <w:szCs w:val="14"/>
                <w:color w:val="auto"/>
              </w:rPr>
            </w:pPr>
          </w:p>
        </w:tc>
        <w:tc>
          <w:tcPr>
            <w:tcW w:w="1380" w:type="dxa"/>
            <w:vAlign w:val="bottom"/>
            <w:shd w:val="clear" w:color="auto" w:fill="DBE5F1"/>
          </w:tcPr>
          <w:p>
            <w:pPr>
              <w:jc w:val="center"/>
              <w:ind w:right="48"/>
              <w:spacing w:after="0"/>
              <w:rPr>
                <w:sz w:val="20"/>
                <w:szCs w:val="20"/>
                <w:color w:val="auto"/>
              </w:rPr>
            </w:pPr>
            <w:r>
              <w:rPr>
                <w:rFonts w:ascii="Arial" w:cs="Arial" w:eastAsia="Arial" w:hAnsi="Arial"/>
                <w:sz w:val="14"/>
                <w:szCs w:val="14"/>
                <w:b w:val="1"/>
                <w:bCs w:val="1"/>
                <w:color w:val="auto"/>
                <w:w w:val="99"/>
              </w:rPr>
              <w:t>Year over Year</w:t>
            </w:r>
          </w:p>
        </w:tc>
        <w:tc>
          <w:tcPr>
            <w:tcW w:w="300" w:type="dxa"/>
            <w:vAlign w:val="bottom"/>
            <w:shd w:val="clear" w:color="auto" w:fill="DBE5F1"/>
          </w:tcPr>
          <w:p>
            <w:pPr>
              <w:spacing w:after="0"/>
              <w:rPr>
                <w:sz w:val="14"/>
                <w:szCs w:val="14"/>
                <w:color w:val="auto"/>
              </w:rPr>
            </w:pPr>
          </w:p>
        </w:tc>
        <w:tc>
          <w:tcPr>
            <w:tcW w:w="1380" w:type="dxa"/>
            <w:vAlign w:val="bottom"/>
            <w:shd w:val="clear" w:color="auto" w:fill="DBE5F1"/>
          </w:tcPr>
          <w:p>
            <w:pPr>
              <w:jc w:val="center"/>
              <w:ind w:right="28"/>
              <w:spacing w:after="0"/>
              <w:rPr>
                <w:sz w:val="20"/>
                <w:szCs w:val="20"/>
                <w:color w:val="auto"/>
              </w:rPr>
            </w:pPr>
            <w:r>
              <w:rPr>
                <w:rFonts w:ascii="Arial" w:cs="Arial" w:eastAsia="Arial" w:hAnsi="Arial"/>
                <w:sz w:val="14"/>
                <w:szCs w:val="14"/>
                <w:b w:val="1"/>
                <w:bCs w:val="1"/>
                <w:color w:val="auto"/>
              </w:rPr>
              <w:t>Fair Value as</w:t>
            </w:r>
          </w:p>
        </w:tc>
        <w:tc>
          <w:tcPr>
            <w:tcW w:w="300" w:type="dxa"/>
            <w:vAlign w:val="bottom"/>
            <w:shd w:val="clear" w:color="auto" w:fill="DBE5F1"/>
          </w:tcPr>
          <w:p>
            <w:pPr>
              <w:spacing w:after="0"/>
              <w:rPr>
                <w:sz w:val="14"/>
                <w:szCs w:val="14"/>
                <w:color w:val="auto"/>
              </w:rPr>
            </w:pPr>
          </w:p>
        </w:tc>
        <w:tc>
          <w:tcPr>
            <w:tcW w:w="1440" w:type="dxa"/>
            <w:vAlign w:val="bottom"/>
            <w:shd w:val="clear" w:color="auto" w:fill="DBE5F1"/>
          </w:tcPr>
          <w:p>
            <w:pPr>
              <w:jc w:val="center"/>
              <w:ind w:right="48"/>
              <w:spacing w:after="0"/>
              <w:rPr>
                <w:sz w:val="20"/>
                <w:szCs w:val="20"/>
                <w:color w:val="auto"/>
              </w:rPr>
            </w:pPr>
            <w:r>
              <w:rPr>
                <w:rFonts w:ascii="Arial" w:cs="Arial" w:eastAsia="Arial" w:hAnsi="Arial"/>
                <w:sz w:val="14"/>
                <w:szCs w:val="14"/>
                <w:b w:val="1"/>
                <w:bCs w:val="1"/>
                <w:color w:val="auto"/>
              </w:rPr>
              <w:t>in Fair Value</w:t>
            </w:r>
          </w:p>
        </w:tc>
        <w:tc>
          <w:tcPr>
            <w:tcW w:w="240" w:type="dxa"/>
            <w:vAlign w:val="bottom"/>
            <w:shd w:val="clear" w:color="auto" w:fill="DBE5F1"/>
          </w:tcPr>
          <w:p>
            <w:pPr>
              <w:spacing w:after="0"/>
              <w:rPr>
                <w:sz w:val="14"/>
                <w:szCs w:val="14"/>
                <w:color w:val="auto"/>
              </w:rPr>
            </w:pPr>
          </w:p>
        </w:tc>
        <w:tc>
          <w:tcPr>
            <w:tcW w:w="1140" w:type="dxa"/>
            <w:vAlign w:val="bottom"/>
            <w:shd w:val="clear" w:color="auto" w:fill="DBE5F1"/>
          </w:tcPr>
          <w:p>
            <w:pPr>
              <w:jc w:val="center"/>
              <w:ind w:right="48"/>
              <w:spacing w:after="0"/>
              <w:rPr>
                <w:sz w:val="20"/>
                <w:szCs w:val="20"/>
                <w:color w:val="auto"/>
              </w:rPr>
            </w:pPr>
            <w:r>
              <w:rPr>
                <w:rFonts w:ascii="Arial" w:cs="Arial" w:eastAsia="Arial" w:hAnsi="Arial"/>
                <w:sz w:val="14"/>
                <w:szCs w:val="14"/>
                <w:b w:val="1"/>
                <w:bCs w:val="1"/>
                <w:color w:val="auto"/>
              </w:rPr>
              <w:t>Prior Year of</w:t>
            </w:r>
          </w:p>
        </w:tc>
        <w:tc>
          <w:tcPr>
            <w:tcW w:w="1300" w:type="dxa"/>
            <w:vAlign w:val="bottom"/>
            <w:shd w:val="clear" w:color="auto" w:fill="DBE5F1"/>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800" w:type="dxa"/>
            <w:vAlign w:val="bottom"/>
            <w:shd w:val="clear" w:color="auto" w:fill="DBE5F1"/>
          </w:tcPr>
          <w:p>
            <w:pPr>
              <w:spacing w:after="0"/>
              <w:rPr>
                <w:sz w:val="14"/>
                <w:szCs w:val="14"/>
                <w:color w:val="auto"/>
              </w:rPr>
            </w:pPr>
          </w:p>
        </w:tc>
        <w:tc>
          <w:tcPr>
            <w:tcW w:w="240" w:type="dxa"/>
            <w:vAlign w:val="bottom"/>
            <w:shd w:val="clear" w:color="auto" w:fill="DBE5F1"/>
          </w:tcPr>
          <w:p>
            <w:pPr>
              <w:spacing w:after="0"/>
              <w:rPr>
                <w:sz w:val="14"/>
                <w:szCs w:val="14"/>
                <w:color w:val="auto"/>
              </w:rPr>
            </w:pPr>
          </w:p>
        </w:tc>
        <w:tc>
          <w:tcPr>
            <w:tcW w:w="1080" w:type="dxa"/>
            <w:vAlign w:val="bottom"/>
            <w:shd w:val="clear" w:color="auto" w:fill="DBE5F1"/>
          </w:tcPr>
          <w:p>
            <w:pPr>
              <w:spacing w:after="0"/>
              <w:rPr>
                <w:sz w:val="14"/>
                <w:szCs w:val="14"/>
                <w:color w:val="auto"/>
              </w:rPr>
            </w:pPr>
          </w:p>
        </w:tc>
        <w:tc>
          <w:tcPr>
            <w:tcW w:w="300" w:type="dxa"/>
            <w:vAlign w:val="bottom"/>
            <w:shd w:val="clear" w:color="auto" w:fill="DBE5F1"/>
          </w:tcPr>
          <w:p>
            <w:pPr>
              <w:spacing w:after="0"/>
              <w:rPr>
                <w:sz w:val="14"/>
                <w:szCs w:val="14"/>
                <w:color w:val="auto"/>
              </w:rPr>
            </w:pPr>
          </w:p>
        </w:tc>
        <w:tc>
          <w:tcPr>
            <w:tcW w:w="1380" w:type="dxa"/>
            <w:vAlign w:val="bottom"/>
            <w:shd w:val="clear" w:color="auto" w:fill="DBE5F1"/>
          </w:tcPr>
          <w:p>
            <w:pPr>
              <w:jc w:val="center"/>
              <w:ind w:right="48"/>
              <w:spacing w:after="0"/>
              <w:rPr>
                <w:sz w:val="20"/>
                <w:szCs w:val="20"/>
                <w:color w:val="auto"/>
              </w:rPr>
            </w:pPr>
            <w:r>
              <w:rPr>
                <w:rFonts w:ascii="Arial" w:cs="Arial" w:eastAsia="Arial" w:hAnsi="Arial"/>
                <w:sz w:val="14"/>
                <w:szCs w:val="14"/>
                <w:b w:val="1"/>
                <w:bCs w:val="1"/>
                <w:color w:val="auto"/>
              </w:rPr>
              <w:t>Average Change</w:t>
            </w:r>
          </w:p>
        </w:tc>
        <w:tc>
          <w:tcPr>
            <w:tcW w:w="300" w:type="dxa"/>
            <w:vAlign w:val="bottom"/>
            <w:shd w:val="clear" w:color="auto" w:fill="DBE5F1"/>
          </w:tcPr>
          <w:p>
            <w:pPr>
              <w:spacing w:after="0"/>
              <w:rPr>
                <w:sz w:val="14"/>
                <w:szCs w:val="14"/>
                <w:color w:val="auto"/>
              </w:rPr>
            </w:pPr>
          </w:p>
        </w:tc>
        <w:tc>
          <w:tcPr>
            <w:tcW w:w="1380" w:type="dxa"/>
            <w:vAlign w:val="bottom"/>
            <w:shd w:val="clear" w:color="auto" w:fill="DBE5F1"/>
          </w:tcPr>
          <w:p>
            <w:pPr>
              <w:jc w:val="center"/>
              <w:ind w:right="28"/>
              <w:spacing w:after="0"/>
              <w:rPr>
                <w:sz w:val="20"/>
                <w:szCs w:val="20"/>
                <w:color w:val="auto"/>
              </w:rPr>
            </w:pPr>
            <w:r>
              <w:rPr>
                <w:rFonts w:ascii="Arial" w:cs="Arial" w:eastAsia="Arial" w:hAnsi="Arial"/>
                <w:sz w:val="14"/>
                <w:szCs w:val="14"/>
                <w:b w:val="1"/>
                <w:bCs w:val="1"/>
                <w:color w:val="auto"/>
              </w:rPr>
              <w:t>of Vesting Date</w:t>
            </w:r>
          </w:p>
        </w:tc>
        <w:tc>
          <w:tcPr>
            <w:tcW w:w="300" w:type="dxa"/>
            <w:vAlign w:val="bottom"/>
            <w:shd w:val="clear" w:color="auto" w:fill="DBE5F1"/>
          </w:tcPr>
          <w:p>
            <w:pPr>
              <w:spacing w:after="0"/>
              <w:rPr>
                <w:sz w:val="14"/>
                <w:szCs w:val="14"/>
                <w:color w:val="auto"/>
              </w:rPr>
            </w:pPr>
          </w:p>
        </w:tc>
        <w:tc>
          <w:tcPr>
            <w:tcW w:w="1440" w:type="dxa"/>
            <w:vAlign w:val="bottom"/>
            <w:shd w:val="clear" w:color="auto" w:fill="DBE5F1"/>
          </w:tcPr>
          <w:p>
            <w:pPr>
              <w:jc w:val="center"/>
              <w:ind w:right="48"/>
              <w:spacing w:after="0"/>
              <w:rPr>
                <w:sz w:val="20"/>
                <w:szCs w:val="20"/>
                <w:color w:val="auto"/>
              </w:rPr>
            </w:pPr>
            <w:r>
              <w:rPr>
                <w:rFonts w:ascii="Arial" w:cs="Arial" w:eastAsia="Arial" w:hAnsi="Arial"/>
                <w:sz w:val="14"/>
                <w:szCs w:val="14"/>
                <w:b w:val="1"/>
                <w:bCs w:val="1"/>
                <w:color w:val="auto"/>
              </w:rPr>
              <w:t>of Equity</w:t>
            </w:r>
          </w:p>
        </w:tc>
        <w:tc>
          <w:tcPr>
            <w:tcW w:w="240" w:type="dxa"/>
            <w:vAlign w:val="bottom"/>
            <w:shd w:val="clear" w:color="auto" w:fill="DBE5F1"/>
          </w:tcPr>
          <w:p>
            <w:pPr>
              <w:spacing w:after="0"/>
              <w:rPr>
                <w:sz w:val="14"/>
                <w:szCs w:val="14"/>
                <w:color w:val="auto"/>
              </w:rPr>
            </w:pPr>
          </w:p>
        </w:tc>
        <w:tc>
          <w:tcPr>
            <w:tcW w:w="1140" w:type="dxa"/>
            <w:vAlign w:val="bottom"/>
            <w:shd w:val="clear" w:color="auto" w:fill="DBE5F1"/>
          </w:tcPr>
          <w:p>
            <w:pPr>
              <w:jc w:val="center"/>
              <w:ind w:right="28"/>
              <w:spacing w:after="0"/>
              <w:rPr>
                <w:sz w:val="20"/>
                <w:szCs w:val="20"/>
                <w:color w:val="auto"/>
              </w:rPr>
            </w:pPr>
            <w:r>
              <w:rPr>
                <w:rFonts w:ascii="Arial" w:cs="Arial" w:eastAsia="Arial" w:hAnsi="Arial"/>
                <w:sz w:val="14"/>
                <w:szCs w:val="14"/>
                <w:b w:val="1"/>
                <w:bCs w:val="1"/>
                <w:color w:val="auto"/>
              </w:rPr>
              <w:t>Equity Awards</w:t>
            </w:r>
          </w:p>
        </w:tc>
        <w:tc>
          <w:tcPr>
            <w:tcW w:w="1300" w:type="dxa"/>
            <w:vAlign w:val="bottom"/>
            <w:shd w:val="clear" w:color="auto" w:fill="DBE5F1"/>
          </w:tcPr>
          <w:p>
            <w:pPr>
              <w:jc w:val="center"/>
              <w:ind w:left="48"/>
              <w:spacing w:after="0"/>
              <w:rPr>
                <w:sz w:val="20"/>
                <w:szCs w:val="20"/>
                <w:color w:val="auto"/>
              </w:rPr>
            </w:pPr>
            <w:r>
              <w:rPr>
                <w:rFonts w:ascii="Arial" w:cs="Arial" w:eastAsia="Arial" w:hAnsi="Arial"/>
                <w:sz w:val="14"/>
                <w:szCs w:val="14"/>
                <w:b w:val="1"/>
                <w:bCs w:val="1"/>
                <w:color w:val="auto"/>
              </w:rPr>
              <w:t>Total</w:t>
            </w:r>
          </w:p>
        </w:tc>
      </w:tr>
      <w:tr>
        <w:trPr>
          <w:trHeight w:val="162"/>
        </w:trPr>
        <w:tc>
          <w:tcPr>
            <w:tcW w:w="20" w:type="dxa"/>
            <w:vAlign w:val="bottom"/>
          </w:tcPr>
          <w:p>
            <w:pPr>
              <w:spacing w:after="0"/>
              <w:rPr>
                <w:sz w:val="14"/>
                <w:szCs w:val="14"/>
                <w:color w:val="auto"/>
              </w:rPr>
            </w:pPr>
          </w:p>
        </w:tc>
        <w:tc>
          <w:tcPr>
            <w:tcW w:w="800" w:type="dxa"/>
            <w:vAlign w:val="bottom"/>
            <w:shd w:val="clear" w:color="auto" w:fill="DBE5F1"/>
          </w:tcPr>
          <w:p>
            <w:pPr>
              <w:spacing w:after="0"/>
              <w:rPr>
                <w:sz w:val="14"/>
                <w:szCs w:val="14"/>
                <w:color w:val="auto"/>
              </w:rPr>
            </w:pPr>
          </w:p>
        </w:tc>
        <w:tc>
          <w:tcPr>
            <w:tcW w:w="240" w:type="dxa"/>
            <w:vAlign w:val="bottom"/>
            <w:shd w:val="clear" w:color="auto" w:fill="DBE5F1"/>
          </w:tcPr>
          <w:p>
            <w:pPr>
              <w:spacing w:after="0"/>
              <w:rPr>
                <w:sz w:val="14"/>
                <w:szCs w:val="14"/>
                <w:color w:val="auto"/>
              </w:rPr>
            </w:pPr>
          </w:p>
        </w:tc>
        <w:tc>
          <w:tcPr>
            <w:tcW w:w="1080" w:type="dxa"/>
            <w:vAlign w:val="bottom"/>
            <w:shd w:val="clear" w:color="auto" w:fill="DBE5F1"/>
          </w:tcPr>
          <w:p>
            <w:pPr>
              <w:jc w:val="center"/>
              <w:ind w:right="8"/>
              <w:spacing w:after="0"/>
              <w:rPr>
                <w:sz w:val="20"/>
                <w:szCs w:val="20"/>
                <w:color w:val="auto"/>
              </w:rPr>
            </w:pPr>
            <w:r>
              <w:rPr>
                <w:rFonts w:ascii="Arial" w:cs="Arial" w:eastAsia="Arial" w:hAnsi="Arial"/>
                <w:sz w:val="14"/>
                <w:szCs w:val="14"/>
                <w:b w:val="1"/>
                <w:bCs w:val="1"/>
                <w:color w:val="auto"/>
              </w:rPr>
              <w:t>Average</w:t>
            </w:r>
          </w:p>
        </w:tc>
        <w:tc>
          <w:tcPr>
            <w:tcW w:w="300" w:type="dxa"/>
            <w:vAlign w:val="bottom"/>
            <w:shd w:val="clear" w:color="auto" w:fill="DBE5F1"/>
          </w:tcPr>
          <w:p>
            <w:pPr>
              <w:spacing w:after="0"/>
              <w:rPr>
                <w:sz w:val="14"/>
                <w:szCs w:val="14"/>
                <w:color w:val="auto"/>
              </w:rPr>
            </w:pPr>
          </w:p>
        </w:tc>
        <w:tc>
          <w:tcPr>
            <w:tcW w:w="1380" w:type="dxa"/>
            <w:vAlign w:val="bottom"/>
            <w:shd w:val="clear" w:color="auto" w:fill="DBE5F1"/>
          </w:tcPr>
          <w:p>
            <w:pPr>
              <w:jc w:val="center"/>
              <w:ind w:right="48"/>
              <w:spacing w:after="0"/>
              <w:rPr>
                <w:sz w:val="20"/>
                <w:szCs w:val="20"/>
                <w:color w:val="auto"/>
              </w:rPr>
            </w:pPr>
            <w:r>
              <w:rPr>
                <w:rFonts w:ascii="Arial" w:cs="Arial" w:eastAsia="Arial" w:hAnsi="Arial"/>
                <w:sz w:val="14"/>
                <w:szCs w:val="14"/>
                <w:b w:val="1"/>
                <w:bCs w:val="1"/>
                <w:color w:val="auto"/>
              </w:rPr>
              <w:t>in Fair Value</w:t>
            </w:r>
          </w:p>
        </w:tc>
        <w:tc>
          <w:tcPr>
            <w:tcW w:w="300" w:type="dxa"/>
            <w:vAlign w:val="bottom"/>
            <w:shd w:val="clear" w:color="auto" w:fill="DBE5F1"/>
          </w:tcPr>
          <w:p>
            <w:pPr>
              <w:spacing w:after="0"/>
              <w:rPr>
                <w:sz w:val="14"/>
                <w:szCs w:val="14"/>
                <w:color w:val="auto"/>
              </w:rPr>
            </w:pPr>
          </w:p>
        </w:tc>
        <w:tc>
          <w:tcPr>
            <w:tcW w:w="1380" w:type="dxa"/>
            <w:vAlign w:val="bottom"/>
            <w:shd w:val="clear" w:color="auto" w:fill="DBE5F1"/>
          </w:tcPr>
          <w:p>
            <w:pPr>
              <w:jc w:val="center"/>
              <w:ind w:right="48"/>
              <w:spacing w:after="0"/>
              <w:rPr>
                <w:sz w:val="20"/>
                <w:szCs w:val="20"/>
                <w:color w:val="auto"/>
              </w:rPr>
            </w:pPr>
            <w:r>
              <w:rPr>
                <w:rFonts w:ascii="Arial" w:cs="Arial" w:eastAsia="Arial" w:hAnsi="Arial"/>
                <w:sz w:val="14"/>
                <w:szCs w:val="14"/>
                <w:b w:val="1"/>
                <w:bCs w:val="1"/>
                <w:color w:val="auto"/>
              </w:rPr>
              <w:t>of Equity</w:t>
            </w:r>
          </w:p>
        </w:tc>
        <w:tc>
          <w:tcPr>
            <w:tcW w:w="300" w:type="dxa"/>
            <w:vAlign w:val="bottom"/>
            <w:shd w:val="clear" w:color="auto" w:fill="DBE5F1"/>
          </w:tcPr>
          <w:p>
            <w:pPr>
              <w:spacing w:after="0"/>
              <w:rPr>
                <w:sz w:val="14"/>
                <w:szCs w:val="14"/>
                <w:color w:val="auto"/>
              </w:rPr>
            </w:pPr>
          </w:p>
        </w:tc>
        <w:tc>
          <w:tcPr>
            <w:tcW w:w="1440" w:type="dxa"/>
            <w:vAlign w:val="bottom"/>
            <w:shd w:val="clear" w:color="auto" w:fill="DBE5F1"/>
          </w:tcPr>
          <w:p>
            <w:pPr>
              <w:jc w:val="center"/>
              <w:ind w:right="48"/>
              <w:spacing w:after="0"/>
              <w:rPr>
                <w:sz w:val="20"/>
                <w:szCs w:val="20"/>
                <w:color w:val="auto"/>
              </w:rPr>
            </w:pPr>
            <w:r>
              <w:rPr>
                <w:rFonts w:ascii="Arial" w:cs="Arial" w:eastAsia="Arial" w:hAnsi="Arial"/>
                <w:sz w:val="14"/>
                <w:szCs w:val="14"/>
                <w:b w:val="1"/>
                <w:bCs w:val="1"/>
                <w:color w:val="auto"/>
              </w:rPr>
              <w:t>Awards Granted</w:t>
            </w:r>
          </w:p>
        </w:tc>
        <w:tc>
          <w:tcPr>
            <w:tcW w:w="240" w:type="dxa"/>
            <w:vAlign w:val="bottom"/>
            <w:shd w:val="clear" w:color="auto" w:fill="DBE5F1"/>
          </w:tcPr>
          <w:p>
            <w:pPr>
              <w:spacing w:after="0"/>
              <w:rPr>
                <w:sz w:val="14"/>
                <w:szCs w:val="14"/>
                <w:color w:val="auto"/>
              </w:rPr>
            </w:pPr>
          </w:p>
        </w:tc>
        <w:tc>
          <w:tcPr>
            <w:tcW w:w="1140" w:type="dxa"/>
            <w:vAlign w:val="bottom"/>
            <w:shd w:val="clear" w:color="auto" w:fill="DBE5F1"/>
          </w:tcPr>
          <w:p>
            <w:pPr>
              <w:jc w:val="center"/>
              <w:ind w:right="48"/>
              <w:spacing w:after="0"/>
              <w:rPr>
                <w:sz w:val="20"/>
                <w:szCs w:val="20"/>
                <w:color w:val="auto"/>
              </w:rPr>
            </w:pPr>
            <w:r>
              <w:rPr>
                <w:rFonts w:ascii="Arial" w:cs="Arial" w:eastAsia="Arial" w:hAnsi="Arial"/>
                <w:sz w:val="14"/>
                <w:szCs w:val="14"/>
                <w:b w:val="1"/>
                <w:bCs w:val="1"/>
                <w:color w:val="auto"/>
              </w:rPr>
              <w:t>that Failed to</w:t>
            </w:r>
          </w:p>
        </w:tc>
        <w:tc>
          <w:tcPr>
            <w:tcW w:w="1300" w:type="dxa"/>
            <w:vAlign w:val="bottom"/>
            <w:shd w:val="clear" w:color="auto" w:fill="DBE5F1"/>
          </w:tcPr>
          <w:p>
            <w:pPr>
              <w:jc w:val="center"/>
              <w:ind w:left="48"/>
              <w:spacing w:after="0"/>
              <w:rPr>
                <w:sz w:val="20"/>
                <w:szCs w:val="20"/>
                <w:color w:val="auto"/>
              </w:rPr>
            </w:pPr>
            <w:r>
              <w:rPr>
                <w:rFonts w:ascii="Arial" w:cs="Arial" w:eastAsia="Arial" w:hAnsi="Arial"/>
                <w:sz w:val="14"/>
                <w:szCs w:val="14"/>
                <w:b w:val="1"/>
                <w:bCs w:val="1"/>
                <w:color w:val="auto"/>
              </w:rPr>
              <w:t>Average</w:t>
            </w:r>
          </w:p>
        </w:tc>
      </w:tr>
      <w:tr>
        <w:trPr>
          <w:trHeight w:val="162"/>
        </w:trPr>
        <w:tc>
          <w:tcPr>
            <w:tcW w:w="20" w:type="dxa"/>
            <w:vAlign w:val="bottom"/>
          </w:tcPr>
          <w:p>
            <w:pPr>
              <w:spacing w:after="0"/>
              <w:rPr>
                <w:sz w:val="14"/>
                <w:szCs w:val="14"/>
                <w:color w:val="auto"/>
              </w:rPr>
            </w:pPr>
          </w:p>
        </w:tc>
        <w:tc>
          <w:tcPr>
            <w:tcW w:w="800" w:type="dxa"/>
            <w:vAlign w:val="bottom"/>
            <w:shd w:val="clear" w:color="auto" w:fill="DBE5F1"/>
          </w:tcPr>
          <w:p>
            <w:pPr>
              <w:spacing w:after="0"/>
              <w:rPr>
                <w:sz w:val="14"/>
                <w:szCs w:val="14"/>
                <w:color w:val="auto"/>
              </w:rPr>
            </w:pPr>
          </w:p>
        </w:tc>
        <w:tc>
          <w:tcPr>
            <w:tcW w:w="240" w:type="dxa"/>
            <w:vAlign w:val="bottom"/>
            <w:shd w:val="clear" w:color="auto" w:fill="DBE5F1"/>
          </w:tcPr>
          <w:p>
            <w:pPr>
              <w:spacing w:after="0"/>
              <w:rPr>
                <w:sz w:val="14"/>
                <w:szCs w:val="14"/>
                <w:color w:val="auto"/>
              </w:rPr>
            </w:pPr>
          </w:p>
        </w:tc>
        <w:tc>
          <w:tcPr>
            <w:tcW w:w="1080" w:type="dxa"/>
            <w:vAlign w:val="bottom"/>
            <w:shd w:val="clear" w:color="auto" w:fill="DBE5F1"/>
          </w:tcPr>
          <w:p>
            <w:pPr>
              <w:jc w:val="center"/>
              <w:ind w:right="8"/>
              <w:spacing w:after="0"/>
              <w:rPr>
                <w:sz w:val="20"/>
                <w:szCs w:val="20"/>
                <w:color w:val="auto"/>
              </w:rPr>
            </w:pPr>
            <w:r>
              <w:rPr>
                <w:rFonts w:ascii="Arial" w:cs="Arial" w:eastAsia="Arial" w:hAnsi="Arial"/>
                <w:sz w:val="14"/>
                <w:szCs w:val="14"/>
                <w:b w:val="1"/>
                <w:bCs w:val="1"/>
                <w:color w:val="auto"/>
              </w:rPr>
              <w:t>Year End Fair</w:t>
            </w:r>
          </w:p>
        </w:tc>
        <w:tc>
          <w:tcPr>
            <w:tcW w:w="300" w:type="dxa"/>
            <w:vAlign w:val="bottom"/>
            <w:shd w:val="clear" w:color="auto" w:fill="DBE5F1"/>
          </w:tcPr>
          <w:p>
            <w:pPr>
              <w:spacing w:after="0"/>
              <w:rPr>
                <w:sz w:val="14"/>
                <w:szCs w:val="14"/>
                <w:color w:val="auto"/>
              </w:rPr>
            </w:pPr>
          </w:p>
        </w:tc>
        <w:tc>
          <w:tcPr>
            <w:tcW w:w="1380" w:type="dxa"/>
            <w:vAlign w:val="bottom"/>
            <w:shd w:val="clear" w:color="auto" w:fill="DBE5F1"/>
          </w:tcPr>
          <w:p>
            <w:pPr>
              <w:jc w:val="center"/>
              <w:ind w:right="48"/>
              <w:spacing w:after="0"/>
              <w:rPr>
                <w:sz w:val="20"/>
                <w:szCs w:val="20"/>
                <w:color w:val="auto"/>
              </w:rPr>
            </w:pPr>
            <w:r>
              <w:rPr>
                <w:rFonts w:ascii="Arial" w:cs="Arial" w:eastAsia="Arial" w:hAnsi="Arial"/>
                <w:sz w:val="14"/>
                <w:szCs w:val="14"/>
                <w:b w:val="1"/>
                <w:bCs w:val="1"/>
                <w:color w:val="auto"/>
              </w:rPr>
              <w:t>of Outstanding</w:t>
            </w:r>
          </w:p>
        </w:tc>
        <w:tc>
          <w:tcPr>
            <w:tcW w:w="300" w:type="dxa"/>
            <w:vAlign w:val="bottom"/>
            <w:shd w:val="clear" w:color="auto" w:fill="DBE5F1"/>
          </w:tcPr>
          <w:p>
            <w:pPr>
              <w:spacing w:after="0"/>
              <w:rPr>
                <w:sz w:val="14"/>
                <w:szCs w:val="14"/>
                <w:color w:val="auto"/>
              </w:rPr>
            </w:pPr>
          </w:p>
        </w:tc>
        <w:tc>
          <w:tcPr>
            <w:tcW w:w="1380" w:type="dxa"/>
            <w:vAlign w:val="bottom"/>
            <w:shd w:val="clear" w:color="auto" w:fill="DBE5F1"/>
          </w:tcPr>
          <w:p>
            <w:pPr>
              <w:jc w:val="center"/>
              <w:ind w:right="48"/>
              <w:spacing w:after="0"/>
              <w:rPr>
                <w:sz w:val="20"/>
                <w:szCs w:val="20"/>
                <w:color w:val="auto"/>
              </w:rPr>
            </w:pPr>
            <w:r>
              <w:rPr>
                <w:rFonts w:ascii="Arial" w:cs="Arial" w:eastAsia="Arial" w:hAnsi="Arial"/>
                <w:sz w:val="14"/>
                <w:szCs w:val="14"/>
                <w:b w:val="1"/>
                <w:bCs w:val="1"/>
                <w:color w:val="auto"/>
              </w:rPr>
              <w:t>Awards Granted</w:t>
            </w:r>
          </w:p>
        </w:tc>
        <w:tc>
          <w:tcPr>
            <w:tcW w:w="300" w:type="dxa"/>
            <w:vAlign w:val="bottom"/>
            <w:shd w:val="clear" w:color="auto" w:fill="DBE5F1"/>
          </w:tcPr>
          <w:p>
            <w:pPr>
              <w:spacing w:after="0"/>
              <w:rPr>
                <w:sz w:val="14"/>
                <w:szCs w:val="14"/>
                <w:color w:val="auto"/>
              </w:rPr>
            </w:pPr>
          </w:p>
        </w:tc>
        <w:tc>
          <w:tcPr>
            <w:tcW w:w="1440" w:type="dxa"/>
            <w:vAlign w:val="bottom"/>
            <w:shd w:val="clear" w:color="auto" w:fill="DBE5F1"/>
          </w:tcPr>
          <w:p>
            <w:pPr>
              <w:jc w:val="center"/>
              <w:ind w:right="48"/>
              <w:spacing w:after="0"/>
              <w:rPr>
                <w:sz w:val="20"/>
                <w:szCs w:val="20"/>
                <w:color w:val="auto"/>
              </w:rPr>
            </w:pPr>
            <w:r>
              <w:rPr>
                <w:rFonts w:ascii="Arial" w:cs="Arial" w:eastAsia="Arial" w:hAnsi="Arial"/>
                <w:sz w:val="14"/>
                <w:szCs w:val="14"/>
                <w:b w:val="1"/>
                <w:bCs w:val="1"/>
                <w:color w:val="auto"/>
              </w:rPr>
              <w:t>in Prior Years</w:t>
            </w:r>
          </w:p>
        </w:tc>
        <w:tc>
          <w:tcPr>
            <w:tcW w:w="240" w:type="dxa"/>
            <w:vAlign w:val="bottom"/>
            <w:shd w:val="clear" w:color="auto" w:fill="DBE5F1"/>
          </w:tcPr>
          <w:p>
            <w:pPr>
              <w:spacing w:after="0"/>
              <w:rPr>
                <w:sz w:val="14"/>
                <w:szCs w:val="14"/>
                <w:color w:val="auto"/>
              </w:rPr>
            </w:pPr>
          </w:p>
        </w:tc>
        <w:tc>
          <w:tcPr>
            <w:tcW w:w="1140" w:type="dxa"/>
            <w:vAlign w:val="bottom"/>
            <w:shd w:val="clear" w:color="auto" w:fill="DBE5F1"/>
          </w:tcPr>
          <w:p>
            <w:pPr>
              <w:jc w:val="center"/>
              <w:ind w:right="28"/>
              <w:spacing w:after="0"/>
              <w:rPr>
                <w:sz w:val="20"/>
                <w:szCs w:val="20"/>
                <w:color w:val="auto"/>
              </w:rPr>
            </w:pPr>
            <w:r>
              <w:rPr>
                <w:rFonts w:ascii="Arial" w:cs="Arial" w:eastAsia="Arial" w:hAnsi="Arial"/>
                <w:sz w:val="14"/>
                <w:szCs w:val="14"/>
                <w:b w:val="1"/>
                <w:bCs w:val="1"/>
                <w:color w:val="auto"/>
              </w:rPr>
              <w:t>Meet Vesting</w:t>
            </w:r>
          </w:p>
        </w:tc>
        <w:tc>
          <w:tcPr>
            <w:tcW w:w="1300" w:type="dxa"/>
            <w:vAlign w:val="bottom"/>
            <w:shd w:val="clear" w:color="auto" w:fill="DBE5F1"/>
          </w:tcPr>
          <w:p>
            <w:pPr>
              <w:jc w:val="center"/>
              <w:ind w:left="48"/>
              <w:spacing w:after="0"/>
              <w:rPr>
                <w:sz w:val="20"/>
                <w:szCs w:val="20"/>
                <w:color w:val="auto"/>
              </w:rPr>
            </w:pPr>
            <w:r>
              <w:rPr>
                <w:rFonts w:ascii="Arial" w:cs="Arial" w:eastAsia="Arial" w:hAnsi="Arial"/>
                <w:sz w:val="14"/>
                <w:szCs w:val="14"/>
                <w:b w:val="1"/>
                <w:bCs w:val="1"/>
                <w:color w:val="auto"/>
                <w:w w:val="98"/>
              </w:rPr>
              <w:t>Equity</w:t>
            </w:r>
          </w:p>
        </w:tc>
      </w:tr>
      <w:tr>
        <w:trPr>
          <w:trHeight w:val="162"/>
        </w:trPr>
        <w:tc>
          <w:tcPr>
            <w:tcW w:w="20" w:type="dxa"/>
            <w:vAlign w:val="bottom"/>
          </w:tcPr>
          <w:p>
            <w:pPr>
              <w:spacing w:after="0"/>
              <w:rPr>
                <w:sz w:val="14"/>
                <w:szCs w:val="14"/>
                <w:color w:val="auto"/>
              </w:rPr>
            </w:pPr>
          </w:p>
        </w:tc>
        <w:tc>
          <w:tcPr>
            <w:tcW w:w="800" w:type="dxa"/>
            <w:vAlign w:val="bottom"/>
            <w:shd w:val="clear" w:color="auto" w:fill="DBE5F1"/>
          </w:tcPr>
          <w:p>
            <w:pPr>
              <w:spacing w:after="0"/>
              <w:rPr>
                <w:sz w:val="14"/>
                <w:szCs w:val="14"/>
                <w:color w:val="auto"/>
              </w:rPr>
            </w:pPr>
          </w:p>
        </w:tc>
        <w:tc>
          <w:tcPr>
            <w:tcW w:w="240" w:type="dxa"/>
            <w:vAlign w:val="bottom"/>
            <w:shd w:val="clear" w:color="auto" w:fill="DBE5F1"/>
          </w:tcPr>
          <w:p>
            <w:pPr>
              <w:spacing w:after="0"/>
              <w:rPr>
                <w:sz w:val="14"/>
                <w:szCs w:val="14"/>
                <w:color w:val="auto"/>
              </w:rPr>
            </w:pPr>
          </w:p>
        </w:tc>
        <w:tc>
          <w:tcPr>
            <w:tcW w:w="1080" w:type="dxa"/>
            <w:vAlign w:val="bottom"/>
            <w:shd w:val="clear" w:color="auto" w:fill="DBE5F1"/>
          </w:tcPr>
          <w:p>
            <w:pPr>
              <w:jc w:val="center"/>
              <w:spacing w:after="0"/>
              <w:rPr>
                <w:sz w:val="20"/>
                <w:szCs w:val="20"/>
                <w:color w:val="auto"/>
              </w:rPr>
            </w:pPr>
            <w:r>
              <w:rPr>
                <w:rFonts w:ascii="Arial" w:cs="Arial" w:eastAsia="Arial" w:hAnsi="Arial"/>
                <w:sz w:val="14"/>
                <w:szCs w:val="14"/>
                <w:b w:val="1"/>
                <w:bCs w:val="1"/>
                <w:color w:val="auto"/>
                <w:w w:val="99"/>
              </w:rPr>
              <w:t>Value of</w:t>
            </w:r>
          </w:p>
        </w:tc>
        <w:tc>
          <w:tcPr>
            <w:tcW w:w="300" w:type="dxa"/>
            <w:vAlign w:val="bottom"/>
            <w:shd w:val="clear" w:color="auto" w:fill="DBE5F1"/>
          </w:tcPr>
          <w:p>
            <w:pPr>
              <w:spacing w:after="0"/>
              <w:rPr>
                <w:sz w:val="14"/>
                <w:szCs w:val="14"/>
                <w:color w:val="auto"/>
              </w:rPr>
            </w:pPr>
          </w:p>
        </w:tc>
        <w:tc>
          <w:tcPr>
            <w:tcW w:w="1380" w:type="dxa"/>
            <w:vAlign w:val="bottom"/>
            <w:shd w:val="clear" w:color="auto" w:fill="DBE5F1"/>
          </w:tcPr>
          <w:p>
            <w:pPr>
              <w:jc w:val="center"/>
              <w:ind w:right="48"/>
              <w:spacing w:after="0"/>
              <w:rPr>
                <w:sz w:val="20"/>
                <w:szCs w:val="20"/>
                <w:color w:val="auto"/>
              </w:rPr>
            </w:pPr>
            <w:r>
              <w:rPr>
                <w:rFonts w:ascii="Arial" w:cs="Arial" w:eastAsia="Arial" w:hAnsi="Arial"/>
                <w:sz w:val="14"/>
                <w:szCs w:val="14"/>
                <w:b w:val="1"/>
                <w:bCs w:val="1"/>
                <w:color w:val="auto"/>
              </w:rPr>
              <w:t>and Unvested</w:t>
            </w:r>
          </w:p>
        </w:tc>
        <w:tc>
          <w:tcPr>
            <w:tcW w:w="300" w:type="dxa"/>
            <w:vAlign w:val="bottom"/>
            <w:shd w:val="clear" w:color="auto" w:fill="DBE5F1"/>
          </w:tcPr>
          <w:p>
            <w:pPr>
              <w:spacing w:after="0"/>
              <w:rPr>
                <w:sz w:val="14"/>
                <w:szCs w:val="14"/>
                <w:color w:val="auto"/>
              </w:rPr>
            </w:pPr>
          </w:p>
        </w:tc>
        <w:tc>
          <w:tcPr>
            <w:tcW w:w="1380" w:type="dxa"/>
            <w:vAlign w:val="bottom"/>
            <w:shd w:val="clear" w:color="auto" w:fill="DBE5F1"/>
          </w:tcPr>
          <w:p>
            <w:pPr>
              <w:jc w:val="center"/>
              <w:ind w:right="48"/>
              <w:spacing w:after="0"/>
              <w:rPr>
                <w:sz w:val="20"/>
                <w:szCs w:val="20"/>
                <w:color w:val="auto"/>
              </w:rPr>
            </w:pPr>
            <w:r>
              <w:rPr>
                <w:rFonts w:ascii="Arial" w:cs="Arial" w:eastAsia="Arial" w:hAnsi="Arial"/>
                <w:sz w:val="14"/>
                <w:szCs w:val="14"/>
                <w:b w:val="1"/>
                <w:bCs w:val="1"/>
                <w:color w:val="auto"/>
              </w:rPr>
              <w:t>and Vested in</w:t>
            </w:r>
          </w:p>
        </w:tc>
        <w:tc>
          <w:tcPr>
            <w:tcW w:w="300" w:type="dxa"/>
            <w:vAlign w:val="bottom"/>
            <w:shd w:val="clear" w:color="auto" w:fill="DBE5F1"/>
          </w:tcPr>
          <w:p>
            <w:pPr>
              <w:spacing w:after="0"/>
              <w:rPr>
                <w:sz w:val="14"/>
                <w:szCs w:val="14"/>
                <w:color w:val="auto"/>
              </w:rPr>
            </w:pPr>
          </w:p>
        </w:tc>
        <w:tc>
          <w:tcPr>
            <w:tcW w:w="1440" w:type="dxa"/>
            <w:vAlign w:val="bottom"/>
            <w:shd w:val="clear" w:color="auto" w:fill="DBE5F1"/>
          </w:tcPr>
          <w:p>
            <w:pPr>
              <w:jc w:val="center"/>
              <w:ind w:right="48"/>
              <w:spacing w:after="0"/>
              <w:rPr>
                <w:sz w:val="20"/>
                <w:szCs w:val="20"/>
                <w:color w:val="auto"/>
              </w:rPr>
            </w:pPr>
            <w:r>
              <w:rPr>
                <w:rFonts w:ascii="Arial" w:cs="Arial" w:eastAsia="Arial" w:hAnsi="Arial"/>
                <w:sz w:val="14"/>
                <w:szCs w:val="14"/>
                <w:b w:val="1"/>
                <w:bCs w:val="1"/>
                <w:color w:val="auto"/>
              </w:rPr>
              <w:t>that Vested in</w:t>
            </w:r>
          </w:p>
        </w:tc>
        <w:tc>
          <w:tcPr>
            <w:tcW w:w="240" w:type="dxa"/>
            <w:vAlign w:val="bottom"/>
            <w:shd w:val="clear" w:color="auto" w:fill="DBE5F1"/>
          </w:tcPr>
          <w:p>
            <w:pPr>
              <w:spacing w:after="0"/>
              <w:rPr>
                <w:sz w:val="14"/>
                <w:szCs w:val="14"/>
                <w:color w:val="auto"/>
              </w:rPr>
            </w:pPr>
          </w:p>
        </w:tc>
        <w:tc>
          <w:tcPr>
            <w:tcW w:w="1140" w:type="dxa"/>
            <w:vAlign w:val="bottom"/>
            <w:shd w:val="clear" w:color="auto" w:fill="DBE5F1"/>
          </w:tcPr>
          <w:p>
            <w:pPr>
              <w:jc w:val="center"/>
              <w:ind w:right="48"/>
              <w:spacing w:after="0"/>
              <w:rPr>
                <w:sz w:val="20"/>
                <w:szCs w:val="20"/>
                <w:color w:val="auto"/>
              </w:rPr>
            </w:pPr>
            <w:r>
              <w:rPr>
                <w:rFonts w:ascii="Arial" w:cs="Arial" w:eastAsia="Arial" w:hAnsi="Arial"/>
                <w:sz w:val="14"/>
                <w:szCs w:val="14"/>
                <w:b w:val="1"/>
                <w:bCs w:val="1"/>
                <w:color w:val="auto"/>
              </w:rPr>
              <w:t>Conditions</w:t>
            </w:r>
          </w:p>
        </w:tc>
        <w:tc>
          <w:tcPr>
            <w:tcW w:w="1300" w:type="dxa"/>
            <w:vAlign w:val="bottom"/>
            <w:shd w:val="clear" w:color="auto" w:fill="DBE5F1"/>
          </w:tcPr>
          <w:p>
            <w:pPr>
              <w:jc w:val="center"/>
              <w:ind w:left="48"/>
              <w:spacing w:after="0"/>
              <w:rPr>
                <w:sz w:val="20"/>
                <w:szCs w:val="20"/>
                <w:color w:val="auto"/>
              </w:rPr>
            </w:pPr>
            <w:r>
              <w:rPr>
                <w:rFonts w:ascii="Arial" w:cs="Arial" w:eastAsia="Arial" w:hAnsi="Arial"/>
                <w:sz w:val="14"/>
                <w:szCs w:val="14"/>
                <w:b w:val="1"/>
                <w:bCs w:val="1"/>
                <w:color w:val="auto"/>
                <w:w w:val="98"/>
              </w:rPr>
              <w:t>Award</w:t>
            </w:r>
          </w:p>
        </w:tc>
      </w:tr>
      <w:tr>
        <w:trPr>
          <w:trHeight w:val="162"/>
        </w:trPr>
        <w:tc>
          <w:tcPr>
            <w:tcW w:w="20" w:type="dxa"/>
            <w:vAlign w:val="bottom"/>
          </w:tcPr>
          <w:p>
            <w:pPr>
              <w:spacing w:after="0"/>
              <w:rPr>
                <w:sz w:val="14"/>
                <w:szCs w:val="14"/>
                <w:color w:val="auto"/>
              </w:rPr>
            </w:pPr>
          </w:p>
        </w:tc>
        <w:tc>
          <w:tcPr>
            <w:tcW w:w="800" w:type="dxa"/>
            <w:vAlign w:val="bottom"/>
            <w:tcBorders>
              <w:bottom w:val="single" w:sz="8" w:color="4A7EBB"/>
            </w:tcBorders>
            <w:shd w:val="clear" w:color="auto" w:fill="DBE5F1"/>
          </w:tcPr>
          <w:p>
            <w:pPr>
              <w:ind w:left="240"/>
              <w:spacing w:after="0"/>
              <w:rPr>
                <w:sz w:val="20"/>
                <w:szCs w:val="20"/>
                <w:color w:val="auto"/>
              </w:rPr>
            </w:pPr>
            <w:r>
              <w:rPr>
                <w:rFonts w:ascii="Arial" w:cs="Arial" w:eastAsia="Arial" w:hAnsi="Arial"/>
                <w:sz w:val="14"/>
                <w:szCs w:val="14"/>
                <w:b w:val="1"/>
                <w:bCs w:val="1"/>
                <w:color w:val="auto"/>
              </w:rPr>
              <w:t>Year</w:t>
            </w:r>
          </w:p>
        </w:tc>
        <w:tc>
          <w:tcPr>
            <w:tcW w:w="240" w:type="dxa"/>
            <w:vAlign w:val="bottom"/>
            <w:tcBorders>
              <w:bottom w:val="single" w:sz="8" w:color="4A7EBB"/>
            </w:tcBorders>
            <w:shd w:val="clear" w:color="auto" w:fill="DBE5F1"/>
          </w:tcPr>
          <w:p>
            <w:pPr>
              <w:spacing w:after="0"/>
              <w:rPr>
                <w:sz w:val="14"/>
                <w:szCs w:val="14"/>
                <w:color w:val="auto"/>
              </w:rPr>
            </w:pPr>
          </w:p>
        </w:tc>
        <w:tc>
          <w:tcPr>
            <w:tcW w:w="1080" w:type="dxa"/>
            <w:vAlign w:val="bottom"/>
            <w:tcBorders>
              <w:bottom w:val="single" w:sz="8" w:color="4A7EBB"/>
            </w:tcBorders>
            <w:shd w:val="clear" w:color="auto" w:fill="DBE5F1"/>
          </w:tcPr>
          <w:p>
            <w:pPr>
              <w:jc w:val="center"/>
              <w:ind w:right="8"/>
              <w:spacing w:after="0"/>
              <w:rPr>
                <w:sz w:val="20"/>
                <w:szCs w:val="20"/>
                <w:color w:val="auto"/>
              </w:rPr>
            </w:pPr>
            <w:r>
              <w:rPr>
                <w:rFonts w:ascii="Arial" w:cs="Arial" w:eastAsia="Arial" w:hAnsi="Arial"/>
                <w:sz w:val="14"/>
                <w:szCs w:val="14"/>
                <w:b w:val="1"/>
                <w:bCs w:val="1"/>
                <w:color w:val="auto"/>
              </w:rPr>
              <w:t>Equity Awards</w:t>
            </w:r>
          </w:p>
        </w:tc>
        <w:tc>
          <w:tcPr>
            <w:tcW w:w="300" w:type="dxa"/>
            <w:vAlign w:val="bottom"/>
            <w:tcBorders>
              <w:bottom w:val="single" w:sz="8" w:color="4A7EBB"/>
            </w:tcBorders>
            <w:shd w:val="clear" w:color="auto" w:fill="DBE5F1"/>
          </w:tcPr>
          <w:p>
            <w:pPr>
              <w:spacing w:after="0"/>
              <w:rPr>
                <w:sz w:val="14"/>
                <w:szCs w:val="14"/>
                <w:color w:val="auto"/>
              </w:rPr>
            </w:pPr>
          </w:p>
        </w:tc>
        <w:tc>
          <w:tcPr>
            <w:tcW w:w="1380" w:type="dxa"/>
            <w:vAlign w:val="bottom"/>
            <w:tcBorders>
              <w:bottom w:val="single" w:sz="8" w:color="4A7EBB"/>
            </w:tcBorders>
            <w:shd w:val="clear" w:color="auto" w:fill="DBE5F1"/>
          </w:tcPr>
          <w:p>
            <w:pPr>
              <w:jc w:val="center"/>
              <w:ind w:right="28"/>
              <w:spacing w:after="0"/>
              <w:rPr>
                <w:sz w:val="20"/>
                <w:szCs w:val="20"/>
                <w:color w:val="auto"/>
              </w:rPr>
            </w:pPr>
            <w:r>
              <w:rPr>
                <w:rFonts w:ascii="Arial" w:cs="Arial" w:eastAsia="Arial" w:hAnsi="Arial"/>
                <w:sz w:val="14"/>
                <w:szCs w:val="14"/>
                <w:b w:val="1"/>
                <w:bCs w:val="1"/>
                <w:color w:val="auto"/>
              </w:rPr>
              <w:t>Equity Awards</w:t>
            </w:r>
          </w:p>
        </w:tc>
        <w:tc>
          <w:tcPr>
            <w:tcW w:w="300" w:type="dxa"/>
            <w:vAlign w:val="bottom"/>
            <w:tcBorders>
              <w:bottom w:val="single" w:sz="8" w:color="4A7EBB"/>
            </w:tcBorders>
            <w:shd w:val="clear" w:color="auto" w:fill="DBE5F1"/>
          </w:tcPr>
          <w:p>
            <w:pPr>
              <w:spacing w:after="0"/>
              <w:rPr>
                <w:sz w:val="14"/>
                <w:szCs w:val="14"/>
                <w:color w:val="auto"/>
              </w:rPr>
            </w:pPr>
          </w:p>
        </w:tc>
        <w:tc>
          <w:tcPr>
            <w:tcW w:w="1380" w:type="dxa"/>
            <w:vAlign w:val="bottom"/>
            <w:tcBorders>
              <w:bottom w:val="single" w:sz="8" w:color="4A7EBB"/>
            </w:tcBorders>
            <w:shd w:val="clear" w:color="auto" w:fill="DBE5F1"/>
          </w:tcPr>
          <w:p>
            <w:pPr>
              <w:jc w:val="center"/>
              <w:ind w:right="28"/>
              <w:spacing w:after="0"/>
              <w:rPr>
                <w:sz w:val="20"/>
                <w:szCs w:val="20"/>
                <w:color w:val="auto"/>
              </w:rPr>
            </w:pPr>
            <w:r>
              <w:rPr>
                <w:rFonts w:ascii="Arial" w:cs="Arial" w:eastAsia="Arial" w:hAnsi="Arial"/>
                <w:sz w:val="14"/>
                <w:szCs w:val="14"/>
                <w:b w:val="1"/>
                <w:bCs w:val="1"/>
                <w:color w:val="auto"/>
              </w:rPr>
              <w:t>the Year</w:t>
            </w:r>
          </w:p>
        </w:tc>
        <w:tc>
          <w:tcPr>
            <w:tcW w:w="300" w:type="dxa"/>
            <w:vAlign w:val="bottom"/>
            <w:tcBorders>
              <w:bottom w:val="single" w:sz="8" w:color="4A7EBB"/>
            </w:tcBorders>
            <w:shd w:val="clear" w:color="auto" w:fill="DBE5F1"/>
          </w:tcPr>
          <w:p>
            <w:pPr>
              <w:spacing w:after="0"/>
              <w:rPr>
                <w:sz w:val="14"/>
                <w:szCs w:val="14"/>
                <w:color w:val="auto"/>
              </w:rPr>
            </w:pPr>
          </w:p>
        </w:tc>
        <w:tc>
          <w:tcPr>
            <w:tcW w:w="1440" w:type="dxa"/>
            <w:vAlign w:val="bottom"/>
            <w:tcBorders>
              <w:bottom w:val="single" w:sz="8" w:color="4A7EBB"/>
            </w:tcBorders>
            <w:shd w:val="clear" w:color="auto" w:fill="DBE5F1"/>
          </w:tcPr>
          <w:p>
            <w:pPr>
              <w:jc w:val="center"/>
              <w:ind w:right="48"/>
              <w:spacing w:after="0"/>
              <w:rPr>
                <w:sz w:val="20"/>
                <w:szCs w:val="20"/>
                <w:color w:val="auto"/>
              </w:rPr>
            </w:pPr>
            <w:r>
              <w:rPr>
                <w:rFonts w:ascii="Arial" w:cs="Arial" w:eastAsia="Arial" w:hAnsi="Arial"/>
                <w:sz w:val="14"/>
                <w:szCs w:val="14"/>
                <w:b w:val="1"/>
                <w:bCs w:val="1"/>
                <w:color w:val="auto"/>
              </w:rPr>
              <w:t>the Year</w:t>
            </w:r>
          </w:p>
        </w:tc>
        <w:tc>
          <w:tcPr>
            <w:tcW w:w="240" w:type="dxa"/>
            <w:vAlign w:val="bottom"/>
            <w:tcBorders>
              <w:bottom w:val="single" w:sz="8" w:color="4A7EBB"/>
            </w:tcBorders>
            <w:shd w:val="clear" w:color="auto" w:fill="DBE5F1"/>
          </w:tcPr>
          <w:p>
            <w:pPr>
              <w:spacing w:after="0"/>
              <w:rPr>
                <w:sz w:val="14"/>
                <w:szCs w:val="14"/>
                <w:color w:val="auto"/>
              </w:rPr>
            </w:pPr>
          </w:p>
        </w:tc>
        <w:tc>
          <w:tcPr>
            <w:tcW w:w="1140" w:type="dxa"/>
            <w:vAlign w:val="bottom"/>
            <w:tcBorders>
              <w:bottom w:val="single" w:sz="8" w:color="4A7EBB"/>
            </w:tcBorders>
            <w:shd w:val="clear" w:color="auto" w:fill="DBE5F1"/>
          </w:tcPr>
          <w:p>
            <w:pPr>
              <w:jc w:val="center"/>
              <w:ind w:right="48"/>
              <w:spacing w:after="0"/>
              <w:rPr>
                <w:sz w:val="20"/>
                <w:szCs w:val="20"/>
                <w:color w:val="auto"/>
              </w:rPr>
            </w:pPr>
            <w:r>
              <w:rPr>
                <w:rFonts w:ascii="Arial" w:cs="Arial" w:eastAsia="Arial" w:hAnsi="Arial"/>
                <w:sz w:val="14"/>
                <w:szCs w:val="14"/>
                <w:b w:val="1"/>
                <w:bCs w:val="1"/>
                <w:color w:val="auto"/>
              </w:rPr>
              <w:t>in the Year</w:t>
            </w:r>
          </w:p>
        </w:tc>
        <w:tc>
          <w:tcPr>
            <w:tcW w:w="1300" w:type="dxa"/>
            <w:vAlign w:val="bottom"/>
            <w:tcBorders>
              <w:bottom w:val="single" w:sz="8" w:color="4A7EBB"/>
            </w:tcBorders>
            <w:shd w:val="clear" w:color="auto" w:fill="DBE5F1"/>
          </w:tcPr>
          <w:p>
            <w:pPr>
              <w:jc w:val="center"/>
              <w:ind w:left="48"/>
              <w:spacing w:after="0"/>
              <w:rPr>
                <w:sz w:val="20"/>
                <w:szCs w:val="20"/>
                <w:color w:val="auto"/>
              </w:rPr>
            </w:pPr>
            <w:r>
              <w:rPr>
                <w:rFonts w:ascii="Arial" w:cs="Arial" w:eastAsia="Arial" w:hAnsi="Arial"/>
                <w:sz w:val="14"/>
                <w:szCs w:val="14"/>
                <w:b w:val="1"/>
                <w:bCs w:val="1"/>
                <w:color w:val="auto"/>
              </w:rPr>
              <w:t>Adjustments</w:t>
            </w:r>
          </w:p>
        </w:tc>
      </w:tr>
      <w:tr>
        <w:trPr>
          <w:trHeight w:val="156"/>
        </w:trPr>
        <w:tc>
          <w:tcPr>
            <w:tcW w:w="20" w:type="dxa"/>
            <w:vAlign w:val="bottom"/>
          </w:tcPr>
          <w:p>
            <w:pPr>
              <w:spacing w:after="0"/>
              <w:rPr>
                <w:sz w:val="13"/>
                <w:szCs w:val="13"/>
                <w:color w:val="auto"/>
              </w:rPr>
            </w:pPr>
          </w:p>
        </w:tc>
        <w:tc>
          <w:tcPr>
            <w:tcW w:w="800" w:type="dxa"/>
            <w:vAlign w:val="bottom"/>
            <w:tcBorders>
              <w:bottom w:val="single" w:sz="8" w:color="4A7EBB"/>
            </w:tcBorders>
          </w:tcPr>
          <w:p>
            <w:pPr>
              <w:ind w:left="240"/>
              <w:spacing w:after="0" w:line="155" w:lineRule="exact"/>
              <w:rPr>
                <w:sz w:val="20"/>
                <w:szCs w:val="20"/>
                <w:color w:val="auto"/>
              </w:rPr>
            </w:pPr>
            <w:r>
              <w:rPr>
                <w:rFonts w:ascii="Arial" w:cs="Arial" w:eastAsia="Arial" w:hAnsi="Arial"/>
                <w:sz w:val="14"/>
                <w:szCs w:val="14"/>
                <w:color w:val="auto"/>
              </w:rPr>
              <w:t>2026</w:t>
            </w:r>
          </w:p>
        </w:tc>
        <w:tc>
          <w:tcPr>
            <w:tcW w:w="240" w:type="dxa"/>
            <w:vAlign w:val="bottom"/>
            <w:tcBorders>
              <w:bottom w:val="single" w:sz="8" w:color="4A7EBB"/>
            </w:tcBorders>
          </w:tcPr>
          <w:p>
            <w:pPr>
              <w:spacing w:after="0"/>
              <w:rPr>
                <w:sz w:val="13"/>
                <w:szCs w:val="13"/>
                <w:color w:val="auto"/>
              </w:rPr>
            </w:pPr>
          </w:p>
        </w:tc>
        <w:tc>
          <w:tcPr>
            <w:tcW w:w="1080" w:type="dxa"/>
            <w:vAlign w:val="bottom"/>
            <w:tcBorders>
              <w:bottom w:val="single" w:sz="8" w:color="4A7EBB"/>
            </w:tcBorders>
          </w:tcPr>
          <w:p>
            <w:pPr>
              <w:jc w:val="center"/>
              <w:ind w:right="8"/>
              <w:spacing w:after="0" w:line="155" w:lineRule="exact"/>
              <w:rPr>
                <w:sz w:val="20"/>
                <w:szCs w:val="20"/>
                <w:color w:val="auto"/>
              </w:rPr>
            </w:pPr>
            <w:r>
              <w:rPr>
                <w:rFonts w:ascii="Arial" w:cs="Arial" w:eastAsia="Arial" w:hAnsi="Arial"/>
                <w:sz w:val="14"/>
                <w:szCs w:val="14"/>
                <w:color w:val="auto"/>
              </w:rPr>
              <w:t>3,515,351</w:t>
            </w:r>
          </w:p>
        </w:tc>
        <w:tc>
          <w:tcPr>
            <w:tcW w:w="300" w:type="dxa"/>
            <w:vAlign w:val="bottom"/>
            <w:tcBorders>
              <w:bottom w:val="single" w:sz="8" w:color="4A7EBB"/>
            </w:tcBorders>
          </w:tcPr>
          <w:p>
            <w:pPr>
              <w:spacing w:after="0"/>
              <w:rPr>
                <w:sz w:val="13"/>
                <w:szCs w:val="13"/>
                <w:color w:val="auto"/>
              </w:rPr>
            </w:pPr>
          </w:p>
        </w:tc>
        <w:tc>
          <w:tcPr>
            <w:tcW w:w="1380" w:type="dxa"/>
            <w:vAlign w:val="bottom"/>
            <w:tcBorders>
              <w:bottom w:val="single" w:sz="8" w:color="4A7EBB"/>
            </w:tcBorders>
          </w:tcPr>
          <w:p>
            <w:pPr>
              <w:jc w:val="center"/>
              <w:ind w:right="48"/>
              <w:spacing w:after="0" w:line="155" w:lineRule="exact"/>
              <w:rPr>
                <w:sz w:val="20"/>
                <w:szCs w:val="20"/>
                <w:color w:val="auto"/>
              </w:rPr>
            </w:pPr>
            <w:r>
              <w:rPr>
                <w:rFonts w:ascii="Arial" w:cs="Arial" w:eastAsia="Arial" w:hAnsi="Arial"/>
                <w:sz w:val="14"/>
                <w:szCs w:val="14"/>
                <w:color w:val="auto"/>
              </w:rPr>
              <w:t>(282,046)</w:t>
            </w:r>
          </w:p>
        </w:tc>
        <w:tc>
          <w:tcPr>
            <w:tcW w:w="300" w:type="dxa"/>
            <w:vAlign w:val="bottom"/>
            <w:tcBorders>
              <w:bottom w:val="single" w:sz="8" w:color="4A7EBB"/>
            </w:tcBorders>
          </w:tcPr>
          <w:p>
            <w:pPr>
              <w:spacing w:after="0"/>
              <w:rPr>
                <w:sz w:val="13"/>
                <w:szCs w:val="13"/>
                <w:color w:val="auto"/>
              </w:rPr>
            </w:pPr>
          </w:p>
        </w:tc>
        <w:tc>
          <w:tcPr>
            <w:tcW w:w="1380" w:type="dxa"/>
            <w:vAlign w:val="bottom"/>
            <w:tcBorders>
              <w:bottom w:val="single" w:sz="8" w:color="4A7EBB"/>
            </w:tcBorders>
          </w:tcPr>
          <w:p>
            <w:pPr>
              <w:jc w:val="center"/>
              <w:ind w:right="48"/>
              <w:spacing w:after="0" w:line="155" w:lineRule="exact"/>
              <w:rPr>
                <w:sz w:val="20"/>
                <w:szCs w:val="20"/>
                <w:color w:val="auto"/>
              </w:rPr>
            </w:pPr>
            <w:r>
              <w:rPr>
                <w:rFonts w:ascii="Arial" w:cs="Arial" w:eastAsia="Arial" w:hAnsi="Arial"/>
                <w:sz w:val="14"/>
                <w:szCs w:val="14"/>
                <w:color w:val="auto"/>
                <w:w w:val="99"/>
              </w:rPr>
              <w:t>—</w:t>
            </w:r>
          </w:p>
        </w:tc>
        <w:tc>
          <w:tcPr>
            <w:tcW w:w="300" w:type="dxa"/>
            <w:vAlign w:val="bottom"/>
            <w:tcBorders>
              <w:bottom w:val="single" w:sz="8" w:color="4A7EBB"/>
            </w:tcBorders>
          </w:tcPr>
          <w:p>
            <w:pPr>
              <w:spacing w:after="0"/>
              <w:rPr>
                <w:sz w:val="13"/>
                <w:szCs w:val="13"/>
                <w:color w:val="auto"/>
              </w:rPr>
            </w:pPr>
          </w:p>
        </w:tc>
        <w:tc>
          <w:tcPr>
            <w:tcW w:w="1440" w:type="dxa"/>
            <w:vAlign w:val="bottom"/>
            <w:tcBorders>
              <w:bottom w:val="single" w:sz="8" w:color="4A7EBB"/>
            </w:tcBorders>
          </w:tcPr>
          <w:p>
            <w:pPr>
              <w:jc w:val="center"/>
              <w:ind w:right="48"/>
              <w:spacing w:after="0" w:line="155" w:lineRule="exact"/>
              <w:rPr>
                <w:sz w:val="20"/>
                <w:szCs w:val="20"/>
                <w:color w:val="auto"/>
              </w:rPr>
            </w:pPr>
            <w:r>
              <w:rPr>
                <w:rFonts w:ascii="Arial" w:cs="Arial" w:eastAsia="Arial" w:hAnsi="Arial"/>
                <w:sz w:val="14"/>
                <w:szCs w:val="14"/>
                <w:color w:val="auto"/>
              </w:rPr>
              <w:t>(137,121)</w:t>
            </w:r>
          </w:p>
        </w:tc>
        <w:tc>
          <w:tcPr>
            <w:tcW w:w="240" w:type="dxa"/>
            <w:vAlign w:val="bottom"/>
            <w:tcBorders>
              <w:bottom w:val="single" w:sz="8" w:color="4A7EBB"/>
            </w:tcBorders>
          </w:tcPr>
          <w:p>
            <w:pPr>
              <w:spacing w:after="0"/>
              <w:rPr>
                <w:sz w:val="13"/>
                <w:szCs w:val="13"/>
                <w:color w:val="auto"/>
              </w:rPr>
            </w:pPr>
          </w:p>
        </w:tc>
        <w:tc>
          <w:tcPr>
            <w:tcW w:w="1140" w:type="dxa"/>
            <w:vAlign w:val="bottom"/>
            <w:tcBorders>
              <w:bottom w:val="single" w:sz="8" w:color="4A7EBB"/>
            </w:tcBorders>
          </w:tcPr>
          <w:p>
            <w:pPr>
              <w:jc w:val="center"/>
              <w:ind w:right="48"/>
              <w:spacing w:after="0" w:line="155" w:lineRule="exact"/>
              <w:rPr>
                <w:sz w:val="20"/>
                <w:szCs w:val="20"/>
                <w:color w:val="auto"/>
              </w:rPr>
            </w:pPr>
            <w:r>
              <w:rPr>
                <w:rFonts w:ascii="Arial" w:cs="Arial" w:eastAsia="Arial" w:hAnsi="Arial"/>
                <w:sz w:val="14"/>
                <w:szCs w:val="14"/>
                <w:color w:val="auto"/>
                <w:w w:val="99"/>
              </w:rPr>
              <w:t>—</w:t>
            </w:r>
          </w:p>
        </w:tc>
        <w:tc>
          <w:tcPr>
            <w:tcW w:w="1300" w:type="dxa"/>
            <w:vAlign w:val="bottom"/>
            <w:tcBorders>
              <w:bottom w:val="single" w:sz="8" w:color="4A7EBB"/>
            </w:tcBorders>
          </w:tcPr>
          <w:p>
            <w:pPr>
              <w:jc w:val="center"/>
              <w:ind w:left="68"/>
              <w:spacing w:after="0" w:line="155" w:lineRule="exact"/>
              <w:rPr>
                <w:sz w:val="20"/>
                <w:szCs w:val="20"/>
                <w:color w:val="auto"/>
              </w:rPr>
            </w:pPr>
            <w:r>
              <w:rPr>
                <w:rFonts w:ascii="Arial" w:cs="Arial" w:eastAsia="Arial" w:hAnsi="Arial"/>
                <w:sz w:val="14"/>
                <w:szCs w:val="14"/>
                <w:color w:val="auto"/>
              </w:rPr>
              <w:t>3,096,183</w:t>
            </w:r>
          </w:p>
        </w:tc>
      </w:tr>
      <w:tr>
        <w:trPr>
          <w:trHeight w:val="155"/>
        </w:trPr>
        <w:tc>
          <w:tcPr>
            <w:tcW w:w="20" w:type="dxa"/>
            <w:vAlign w:val="bottom"/>
          </w:tcPr>
          <w:p>
            <w:pPr>
              <w:spacing w:after="0"/>
              <w:rPr>
                <w:sz w:val="13"/>
                <w:szCs w:val="13"/>
                <w:color w:val="auto"/>
              </w:rPr>
            </w:pPr>
          </w:p>
        </w:tc>
        <w:tc>
          <w:tcPr>
            <w:tcW w:w="800" w:type="dxa"/>
            <w:vAlign w:val="bottom"/>
            <w:tcBorders>
              <w:bottom w:val="single" w:sz="8" w:color="4A7EBB"/>
            </w:tcBorders>
            <w:shd w:val="clear" w:color="auto" w:fill="F2F2F2"/>
          </w:tcPr>
          <w:p>
            <w:pPr>
              <w:ind w:left="240"/>
              <w:spacing w:after="0" w:line="155" w:lineRule="exact"/>
              <w:rPr>
                <w:sz w:val="20"/>
                <w:szCs w:val="20"/>
                <w:color w:val="auto"/>
              </w:rPr>
            </w:pPr>
            <w:r>
              <w:rPr>
                <w:rFonts w:ascii="Arial" w:cs="Arial" w:eastAsia="Arial" w:hAnsi="Arial"/>
                <w:sz w:val="14"/>
                <w:szCs w:val="14"/>
                <w:color w:val="auto"/>
              </w:rPr>
              <w:t>2025</w:t>
            </w:r>
          </w:p>
        </w:tc>
        <w:tc>
          <w:tcPr>
            <w:tcW w:w="240" w:type="dxa"/>
            <w:vAlign w:val="bottom"/>
            <w:tcBorders>
              <w:bottom w:val="single" w:sz="8" w:color="4A7EBB"/>
            </w:tcBorders>
            <w:shd w:val="clear" w:color="auto" w:fill="F2F2F2"/>
          </w:tcPr>
          <w:p>
            <w:pPr>
              <w:spacing w:after="0"/>
              <w:rPr>
                <w:sz w:val="13"/>
                <w:szCs w:val="13"/>
                <w:color w:val="auto"/>
              </w:rPr>
            </w:pPr>
          </w:p>
        </w:tc>
        <w:tc>
          <w:tcPr>
            <w:tcW w:w="1080" w:type="dxa"/>
            <w:vAlign w:val="bottom"/>
            <w:tcBorders>
              <w:bottom w:val="single" w:sz="8" w:color="4A7EBB"/>
            </w:tcBorders>
            <w:shd w:val="clear" w:color="auto" w:fill="F2F2F2"/>
          </w:tcPr>
          <w:p>
            <w:pPr>
              <w:jc w:val="center"/>
              <w:ind w:right="8"/>
              <w:spacing w:after="0" w:line="155" w:lineRule="exact"/>
              <w:rPr>
                <w:sz w:val="20"/>
                <w:szCs w:val="20"/>
                <w:color w:val="auto"/>
              </w:rPr>
            </w:pPr>
            <w:r>
              <w:rPr>
                <w:rFonts w:ascii="Arial" w:cs="Arial" w:eastAsia="Arial" w:hAnsi="Arial"/>
                <w:sz w:val="14"/>
                <w:szCs w:val="14"/>
                <w:color w:val="auto"/>
              </w:rPr>
              <w:t>2,322,037</w:t>
            </w:r>
          </w:p>
        </w:tc>
        <w:tc>
          <w:tcPr>
            <w:tcW w:w="300" w:type="dxa"/>
            <w:vAlign w:val="bottom"/>
            <w:tcBorders>
              <w:bottom w:val="single" w:sz="8" w:color="4A7EBB"/>
            </w:tcBorders>
            <w:shd w:val="clear" w:color="auto" w:fill="F2F2F2"/>
          </w:tcPr>
          <w:p>
            <w:pPr>
              <w:spacing w:after="0"/>
              <w:rPr>
                <w:sz w:val="13"/>
                <w:szCs w:val="13"/>
                <w:color w:val="auto"/>
              </w:rPr>
            </w:pPr>
          </w:p>
        </w:tc>
        <w:tc>
          <w:tcPr>
            <w:tcW w:w="1380" w:type="dxa"/>
            <w:vAlign w:val="bottom"/>
            <w:tcBorders>
              <w:bottom w:val="single" w:sz="8" w:color="4A7EBB"/>
            </w:tcBorders>
            <w:shd w:val="clear" w:color="auto" w:fill="F2F2F2"/>
          </w:tcPr>
          <w:p>
            <w:pPr>
              <w:jc w:val="center"/>
              <w:ind w:right="48"/>
              <w:spacing w:after="0" w:line="155" w:lineRule="exact"/>
              <w:rPr>
                <w:sz w:val="20"/>
                <w:szCs w:val="20"/>
                <w:color w:val="auto"/>
              </w:rPr>
            </w:pPr>
            <w:r>
              <w:rPr>
                <w:rFonts w:ascii="Arial" w:cs="Arial" w:eastAsia="Arial" w:hAnsi="Arial"/>
                <w:sz w:val="14"/>
                <w:szCs w:val="14"/>
                <w:color w:val="auto"/>
              </w:rPr>
              <w:t>(1,598,092)</w:t>
            </w:r>
          </w:p>
        </w:tc>
        <w:tc>
          <w:tcPr>
            <w:tcW w:w="300" w:type="dxa"/>
            <w:vAlign w:val="bottom"/>
            <w:tcBorders>
              <w:bottom w:val="single" w:sz="8" w:color="4A7EBB"/>
            </w:tcBorders>
            <w:shd w:val="clear" w:color="auto" w:fill="F2F2F2"/>
          </w:tcPr>
          <w:p>
            <w:pPr>
              <w:spacing w:after="0"/>
              <w:rPr>
                <w:sz w:val="13"/>
                <w:szCs w:val="13"/>
                <w:color w:val="auto"/>
              </w:rPr>
            </w:pPr>
          </w:p>
        </w:tc>
        <w:tc>
          <w:tcPr>
            <w:tcW w:w="1380" w:type="dxa"/>
            <w:vAlign w:val="bottom"/>
            <w:tcBorders>
              <w:bottom w:val="single" w:sz="8" w:color="4A7EBB"/>
            </w:tcBorders>
            <w:shd w:val="clear" w:color="auto" w:fill="F2F2F2"/>
          </w:tcPr>
          <w:p>
            <w:pPr>
              <w:jc w:val="center"/>
              <w:ind w:right="48"/>
              <w:spacing w:after="0" w:line="155" w:lineRule="exact"/>
              <w:rPr>
                <w:sz w:val="20"/>
                <w:szCs w:val="20"/>
                <w:color w:val="auto"/>
              </w:rPr>
            </w:pPr>
            <w:r>
              <w:rPr>
                <w:rFonts w:ascii="Arial" w:cs="Arial" w:eastAsia="Arial" w:hAnsi="Arial"/>
                <w:sz w:val="14"/>
                <w:szCs w:val="14"/>
                <w:color w:val="auto"/>
                <w:w w:val="99"/>
              </w:rPr>
              <w:t>—</w:t>
            </w:r>
          </w:p>
        </w:tc>
        <w:tc>
          <w:tcPr>
            <w:tcW w:w="300" w:type="dxa"/>
            <w:vAlign w:val="bottom"/>
            <w:tcBorders>
              <w:bottom w:val="single" w:sz="8" w:color="4A7EBB"/>
            </w:tcBorders>
            <w:shd w:val="clear" w:color="auto" w:fill="F2F2F2"/>
          </w:tcPr>
          <w:p>
            <w:pPr>
              <w:spacing w:after="0"/>
              <w:rPr>
                <w:sz w:val="13"/>
                <w:szCs w:val="13"/>
                <w:color w:val="auto"/>
              </w:rPr>
            </w:pPr>
          </w:p>
        </w:tc>
        <w:tc>
          <w:tcPr>
            <w:tcW w:w="1440" w:type="dxa"/>
            <w:vAlign w:val="bottom"/>
            <w:tcBorders>
              <w:bottom w:val="single" w:sz="8" w:color="4A7EBB"/>
            </w:tcBorders>
            <w:shd w:val="clear" w:color="auto" w:fill="F2F2F2"/>
          </w:tcPr>
          <w:p>
            <w:pPr>
              <w:jc w:val="center"/>
              <w:ind w:right="48"/>
              <w:spacing w:after="0" w:line="155" w:lineRule="exact"/>
              <w:rPr>
                <w:sz w:val="20"/>
                <w:szCs w:val="20"/>
                <w:color w:val="auto"/>
              </w:rPr>
            </w:pPr>
            <w:r>
              <w:rPr>
                <w:rFonts w:ascii="Arial" w:cs="Arial" w:eastAsia="Arial" w:hAnsi="Arial"/>
                <w:sz w:val="14"/>
                <w:szCs w:val="14"/>
                <w:color w:val="auto"/>
                <w:w w:val="99"/>
              </w:rPr>
              <w:t>(83,274)</w:t>
            </w:r>
          </w:p>
        </w:tc>
        <w:tc>
          <w:tcPr>
            <w:tcW w:w="240" w:type="dxa"/>
            <w:vAlign w:val="bottom"/>
            <w:tcBorders>
              <w:bottom w:val="single" w:sz="8" w:color="4A7EBB"/>
            </w:tcBorders>
            <w:shd w:val="clear" w:color="auto" w:fill="F2F2F2"/>
          </w:tcPr>
          <w:p>
            <w:pPr>
              <w:spacing w:after="0"/>
              <w:rPr>
                <w:sz w:val="13"/>
                <w:szCs w:val="13"/>
                <w:color w:val="auto"/>
              </w:rPr>
            </w:pPr>
          </w:p>
        </w:tc>
        <w:tc>
          <w:tcPr>
            <w:tcW w:w="1140" w:type="dxa"/>
            <w:vAlign w:val="bottom"/>
            <w:tcBorders>
              <w:bottom w:val="single" w:sz="8" w:color="4A7EBB"/>
            </w:tcBorders>
            <w:shd w:val="clear" w:color="auto" w:fill="F2F2F2"/>
          </w:tcPr>
          <w:p>
            <w:pPr>
              <w:jc w:val="center"/>
              <w:ind w:right="48"/>
              <w:spacing w:after="0" w:line="155" w:lineRule="exact"/>
              <w:rPr>
                <w:sz w:val="20"/>
                <w:szCs w:val="20"/>
                <w:color w:val="auto"/>
              </w:rPr>
            </w:pPr>
            <w:r>
              <w:rPr>
                <w:rFonts w:ascii="Arial" w:cs="Arial" w:eastAsia="Arial" w:hAnsi="Arial"/>
                <w:sz w:val="14"/>
                <w:szCs w:val="14"/>
                <w:color w:val="auto"/>
                <w:w w:val="99"/>
              </w:rPr>
              <w:t>—</w:t>
            </w:r>
          </w:p>
        </w:tc>
        <w:tc>
          <w:tcPr>
            <w:tcW w:w="1300" w:type="dxa"/>
            <w:vAlign w:val="bottom"/>
            <w:tcBorders>
              <w:bottom w:val="single" w:sz="8" w:color="4A7EBB"/>
            </w:tcBorders>
            <w:shd w:val="clear" w:color="auto" w:fill="F2F2F2"/>
          </w:tcPr>
          <w:p>
            <w:pPr>
              <w:jc w:val="center"/>
              <w:ind w:left="48"/>
              <w:spacing w:after="0" w:line="155" w:lineRule="exact"/>
              <w:rPr>
                <w:sz w:val="20"/>
                <w:szCs w:val="20"/>
                <w:color w:val="auto"/>
              </w:rPr>
            </w:pPr>
            <w:r>
              <w:rPr>
                <w:rFonts w:ascii="Arial" w:cs="Arial" w:eastAsia="Arial" w:hAnsi="Arial"/>
                <w:sz w:val="14"/>
                <w:szCs w:val="14"/>
                <w:color w:val="auto"/>
              </w:rPr>
              <w:t>640,672</w:t>
            </w:r>
          </w:p>
        </w:tc>
      </w:tr>
      <w:tr>
        <w:trPr>
          <w:trHeight w:val="156"/>
        </w:trPr>
        <w:tc>
          <w:tcPr>
            <w:tcW w:w="20" w:type="dxa"/>
            <w:vAlign w:val="bottom"/>
          </w:tcPr>
          <w:p>
            <w:pPr>
              <w:spacing w:after="0"/>
              <w:rPr>
                <w:sz w:val="13"/>
                <w:szCs w:val="13"/>
                <w:color w:val="auto"/>
              </w:rPr>
            </w:pPr>
          </w:p>
        </w:tc>
        <w:tc>
          <w:tcPr>
            <w:tcW w:w="800" w:type="dxa"/>
            <w:vAlign w:val="bottom"/>
            <w:tcBorders>
              <w:bottom w:val="single" w:sz="8" w:color="4A7EBB"/>
            </w:tcBorders>
          </w:tcPr>
          <w:p>
            <w:pPr>
              <w:ind w:left="240"/>
              <w:spacing w:after="0" w:line="155" w:lineRule="exact"/>
              <w:rPr>
                <w:sz w:val="20"/>
                <w:szCs w:val="20"/>
                <w:color w:val="auto"/>
              </w:rPr>
            </w:pPr>
            <w:r>
              <w:rPr>
                <w:rFonts w:ascii="Arial" w:cs="Arial" w:eastAsia="Arial" w:hAnsi="Arial"/>
                <w:sz w:val="14"/>
                <w:szCs w:val="14"/>
                <w:color w:val="auto"/>
              </w:rPr>
              <w:t>2024</w:t>
            </w:r>
          </w:p>
        </w:tc>
        <w:tc>
          <w:tcPr>
            <w:tcW w:w="240" w:type="dxa"/>
            <w:vAlign w:val="bottom"/>
            <w:tcBorders>
              <w:bottom w:val="single" w:sz="8" w:color="4A7EBB"/>
            </w:tcBorders>
          </w:tcPr>
          <w:p>
            <w:pPr>
              <w:spacing w:after="0"/>
              <w:rPr>
                <w:sz w:val="13"/>
                <w:szCs w:val="13"/>
                <w:color w:val="auto"/>
              </w:rPr>
            </w:pPr>
          </w:p>
        </w:tc>
        <w:tc>
          <w:tcPr>
            <w:tcW w:w="1080" w:type="dxa"/>
            <w:vAlign w:val="bottom"/>
            <w:tcBorders>
              <w:bottom w:val="single" w:sz="8" w:color="4A7EBB"/>
            </w:tcBorders>
          </w:tcPr>
          <w:p>
            <w:pPr>
              <w:jc w:val="center"/>
              <w:ind w:right="8"/>
              <w:spacing w:after="0" w:line="155" w:lineRule="exact"/>
              <w:rPr>
                <w:sz w:val="20"/>
                <w:szCs w:val="20"/>
                <w:color w:val="auto"/>
              </w:rPr>
            </w:pPr>
            <w:r>
              <w:rPr>
                <w:rFonts w:ascii="Arial" w:cs="Arial" w:eastAsia="Arial" w:hAnsi="Arial"/>
                <w:sz w:val="14"/>
                <w:szCs w:val="14"/>
                <w:color w:val="auto"/>
              </w:rPr>
              <w:t>2,792,521</w:t>
            </w:r>
          </w:p>
        </w:tc>
        <w:tc>
          <w:tcPr>
            <w:tcW w:w="300" w:type="dxa"/>
            <w:vAlign w:val="bottom"/>
            <w:tcBorders>
              <w:bottom w:val="single" w:sz="8" w:color="4A7EBB"/>
            </w:tcBorders>
          </w:tcPr>
          <w:p>
            <w:pPr>
              <w:spacing w:after="0"/>
              <w:rPr>
                <w:sz w:val="13"/>
                <w:szCs w:val="13"/>
                <w:color w:val="auto"/>
              </w:rPr>
            </w:pPr>
          </w:p>
        </w:tc>
        <w:tc>
          <w:tcPr>
            <w:tcW w:w="1380" w:type="dxa"/>
            <w:vAlign w:val="bottom"/>
            <w:tcBorders>
              <w:bottom w:val="single" w:sz="8" w:color="4A7EBB"/>
            </w:tcBorders>
          </w:tcPr>
          <w:p>
            <w:pPr>
              <w:jc w:val="center"/>
              <w:ind w:right="28"/>
              <w:spacing w:after="0" w:line="155" w:lineRule="exact"/>
              <w:rPr>
                <w:sz w:val="20"/>
                <w:szCs w:val="20"/>
                <w:color w:val="auto"/>
              </w:rPr>
            </w:pPr>
            <w:r>
              <w:rPr>
                <w:rFonts w:ascii="Arial" w:cs="Arial" w:eastAsia="Arial" w:hAnsi="Arial"/>
                <w:sz w:val="14"/>
                <w:szCs w:val="14"/>
                <w:color w:val="auto"/>
              </w:rPr>
              <w:t>1,504,330</w:t>
            </w:r>
          </w:p>
        </w:tc>
        <w:tc>
          <w:tcPr>
            <w:tcW w:w="300" w:type="dxa"/>
            <w:vAlign w:val="bottom"/>
            <w:tcBorders>
              <w:bottom w:val="single" w:sz="8" w:color="4A7EBB"/>
            </w:tcBorders>
          </w:tcPr>
          <w:p>
            <w:pPr>
              <w:spacing w:after="0"/>
              <w:rPr>
                <w:sz w:val="13"/>
                <w:szCs w:val="13"/>
                <w:color w:val="auto"/>
              </w:rPr>
            </w:pPr>
          </w:p>
        </w:tc>
        <w:tc>
          <w:tcPr>
            <w:tcW w:w="1380" w:type="dxa"/>
            <w:vAlign w:val="bottom"/>
            <w:tcBorders>
              <w:bottom w:val="single" w:sz="8" w:color="4A7EBB"/>
            </w:tcBorders>
          </w:tcPr>
          <w:p>
            <w:pPr>
              <w:jc w:val="center"/>
              <w:ind w:right="48"/>
              <w:spacing w:after="0" w:line="155" w:lineRule="exact"/>
              <w:rPr>
                <w:sz w:val="20"/>
                <w:szCs w:val="20"/>
                <w:color w:val="auto"/>
              </w:rPr>
            </w:pPr>
            <w:r>
              <w:rPr>
                <w:rFonts w:ascii="Arial" w:cs="Arial" w:eastAsia="Arial" w:hAnsi="Arial"/>
                <w:sz w:val="14"/>
                <w:szCs w:val="14"/>
                <w:color w:val="auto"/>
                <w:w w:val="99"/>
              </w:rPr>
              <w:t>—</w:t>
            </w:r>
          </w:p>
        </w:tc>
        <w:tc>
          <w:tcPr>
            <w:tcW w:w="300" w:type="dxa"/>
            <w:vAlign w:val="bottom"/>
            <w:tcBorders>
              <w:bottom w:val="single" w:sz="8" w:color="4A7EBB"/>
            </w:tcBorders>
          </w:tcPr>
          <w:p>
            <w:pPr>
              <w:spacing w:after="0"/>
              <w:rPr>
                <w:sz w:val="13"/>
                <w:szCs w:val="13"/>
                <w:color w:val="auto"/>
              </w:rPr>
            </w:pPr>
          </w:p>
        </w:tc>
        <w:tc>
          <w:tcPr>
            <w:tcW w:w="1440" w:type="dxa"/>
            <w:vAlign w:val="bottom"/>
            <w:tcBorders>
              <w:bottom w:val="single" w:sz="8" w:color="4A7EBB"/>
            </w:tcBorders>
          </w:tcPr>
          <w:p>
            <w:pPr>
              <w:jc w:val="center"/>
              <w:ind w:right="48"/>
              <w:spacing w:after="0" w:line="155" w:lineRule="exact"/>
              <w:rPr>
                <w:sz w:val="20"/>
                <w:szCs w:val="20"/>
                <w:color w:val="auto"/>
              </w:rPr>
            </w:pPr>
            <w:r>
              <w:rPr>
                <w:rFonts w:ascii="Arial" w:cs="Arial" w:eastAsia="Arial" w:hAnsi="Arial"/>
                <w:sz w:val="14"/>
                <w:szCs w:val="14"/>
                <w:color w:val="auto"/>
              </w:rPr>
              <w:t>415,650</w:t>
            </w:r>
          </w:p>
        </w:tc>
        <w:tc>
          <w:tcPr>
            <w:tcW w:w="240" w:type="dxa"/>
            <w:vAlign w:val="bottom"/>
            <w:tcBorders>
              <w:bottom w:val="single" w:sz="8" w:color="4A7EBB"/>
            </w:tcBorders>
          </w:tcPr>
          <w:p>
            <w:pPr>
              <w:spacing w:after="0"/>
              <w:rPr>
                <w:sz w:val="13"/>
                <w:szCs w:val="13"/>
                <w:color w:val="auto"/>
              </w:rPr>
            </w:pPr>
          </w:p>
        </w:tc>
        <w:tc>
          <w:tcPr>
            <w:tcW w:w="1140" w:type="dxa"/>
            <w:vAlign w:val="bottom"/>
            <w:tcBorders>
              <w:bottom w:val="single" w:sz="8" w:color="4A7EBB"/>
            </w:tcBorders>
          </w:tcPr>
          <w:p>
            <w:pPr>
              <w:jc w:val="center"/>
              <w:ind w:right="48"/>
              <w:spacing w:after="0" w:line="155" w:lineRule="exact"/>
              <w:rPr>
                <w:sz w:val="20"/>
                <w:szCs w:val="20"/>
                <w:color w:val="auto"/>
              </w:rPr>
            </w:pPr>
            <w:r>
              <w:rPr>
                <w:rFonts w:ascii="Arial" w:cs="Arial" w:eastAsia="Arial" w:hAnsi="Arial"/>
                <w:sz w:val="14"/>
                <w:szCs w:val="14"/>
                <w:color w:val="auto"/>
                <w:w w:val="99"/>
              </w:rPr>
              <w:t>—</w:t>
            </w:r>
          </w:p>
        </w:tc>
        <w:tc>
          <w:tcPr>
            <w:tcW w:w="1300" w:type="dxa"/>
            <w:vAlign w:val="bottom"/>
            <w:tcBorders>
              <w:bottom w:val="single" w:sz="8" w:color="4A7EBB"/>
            </w:tcBorders>
          </w:tcPr>
          <w:p>
            <w:pPr>
              <w:jc w:val="center"/>
              <w:ind w:left="68"/>
              <w:spacing w:after="0" w:line="155" w:lineRule="exact"/>
              <w:rPr>
                <w:sz w:val="20"/>
                <w:szCs w:val="20"/>
                <w:color w:val="auto"/>
              </w:rPr>
            </w:pPr>
            <w:r>
              <w:rPr>
                <w:rFonts w:ascii="Arial" w:cs="Arial" w:eastAsia="Arial" w:hAnsi="Arial"/>
                <w:sz w:val="14"/>
                <w:szCs w:val="14"/>
                <w:color w:val="auto"/>
              </w:rPr>
              <w:t>4,712,501</w:t>
            </w:r>
          </w:p>
        </w:tc>
      </w:tr>
      <w:tr>
        <w:trPr>
          <w:trHeight w:val="155"/>
        </w:trPr>
        <w:tc>
          <w:tcPr>
            <w:tcW w:w="20" w:type="dxa"/>
            <w:vAlign w:val="bottom"/>
          </w:tcPr>
          <w:p>
            <w:pPr>
              <w:spacing w:after="0"/>
              <w:rPr>
                <w:sz w:val="13"/>
                <w:szCs w:val="13"/>
                <w:color w:val="auto"/>
              </w:rPr>
            </w:pPr>
          </w:p>
        </w:tc>
        <w:tc>
          <w:tcPr>
            <w:tcW w:w="800" w:type="dxa"/>
            <w:vAlign w:val="bottom"/>
            <w:tcBorders>
              <w:bottom w:val="single" w:sz="8" w:color="4A7EBB"/>
            </w:tcBorders>
            <w:shd w:val="clear" w:color="auto" w:fill="F2F2F2"/>
          </w:tcPr>
          <w:p>
            <w:pPr>
              <w:ind w:left="240"/>
              <w:spacing w:after="0" w:line="155" w:lineRule="exact"/>
              <w:rPr>
                <w:sz w:val="20"/>
                <w:szCs w:val="20"/>
                <w:color w:val="auto"/>
              </w:rPr>
            </w:pPr>
            <w:r>
              <w:rPr>
                <w:rFonts w:ascii="Arial" w:cs="Arial" w:eastAsia="Arial" w:hAnsi="Arial"/>
                <w:sz w:val="14"/>
                <w:szCs w:val="14"/>
                <w:color w:val="auto"/>
              </w:rPr>
              <w:t>2023</w:t>
            </w:r>
          </w:p>
        </w:tc>
        <w:tc>
          <w:tcPr>
            <w:tcW w:w="240" w:type="dxa"/>
            <w:vAlign w:val="bottom"/>
            <w:tcBorders>
              <w:bottom w:val="single" w:sz="8" w:color="4A7EBB"/>
            </w:tcBorders>
            <w:shd w:val="clear" w:color="auto" w:fill="F2F2F2"/>
          </w:tcPr>
          <w:p>
            <w:pPr>
              <w:spacing w:after="0"/>
              <w:rPr>
                <w:sz w:val="13"/>
                <w:szCs w:val="13"/>
                <w:color w:val="auto"/>
              </w:rPr>
            </w:pPr>
          </w:p>
        </w:tc>
        <w:tc>
          <w:tcPr>
            <w:tcW w:w="1080" w:type="dxa"/>
            <w:vAlign w:val="bottom"/>
            <w:tcBorders>
              <w:bottom w:val="single" w:sz="8" w:color="4A7EBB"/>
            </w:tcBorders>
            <w:shd w:val="clear" w:color="auto" w:fill="F2F2F2"/>
          </w:tcPr>
          <w:p>
            <w:pPr>
              <w:jc w:val="center"/>
              <w:ind w:right="8"/>
              <w:spacing w:after="0" w:line="155" w:lineRule="exact"/>
              <w:rPr>
                <w:sz w:val="20"/>
                <w:szCs w:val="20"/>
                <w:color w:val="auto"/>
              </w:rPr>
            </w:pPr>
            <w:r>
              <w:rPr>
                <w:rFonts w:ascii="Arial" w:cs="Arial" w:eastAsia="Arial" w:hAnsi="Arial"/>
                <w:sz w:val="14"/>
                <w:szCs w:val="14"/>
                <w:color w:val="auto"/>
              </w:rPr>
              <w:t>448,751</w:t>
            </w:r>
          </w:p>
        </w:tc>
        <w:tc>
          <w:tcPr>
            <w:tcW w:w="300" w:type="dxa"/>
            <w:vAlign w:val="bottom"/>
            <w:tcBorders>
              <w:bottom w:val="single" w:sz="8" w:color="4A7EBB"/>
            </w:tcBorders>
            <w:shd w:val="clear" w:color="auto" w:fill="F2F2F2"/>
          </w:tcPr>
          <w:p>
            <w:pPr>
              <w:spacing w:after="0"/>
              <w:rPr>
                <w:sz w:val="13"/>
                <w:szCs w:val="13"/>
                <w:color w:val="auto"/>
              </w:rPr>
            </w:pPr>
          </w:p>
        </w:tc>
        <w:tc>
          <w:tcPr>
            <w:tcW w:w="1380" w:type="dxa"/>
            <w:vAlign w:val="bottom"/>
            <w:tcBorders>
              <w:bottom w:val="single" w:sz="8" w:color="4A7EBB"/>
            </w:tcBorders>
            <w:shd w:val="clear" w:color="auto" w:fill="F2F2F2"/>
          </w:tcPr>
          <w:p>
            <w:pPr>
              <w:jc w:val="center"/>
              <w:ind w:right="48"/>
              <w:spacing w:after="0" w:line="155" w:lineRule="exact"/>
              <w:rPr>
                <w:sz w:val="20"/>
                <w:szCs w:val="20"/>
                <w:color w:val="auto"/>
              </w:rPr>
            </w:pPr>
            <w:r>
              <w:rPr>
                <w:rFonts w:ascii="Arial" w:cs="Arial" w:eastAsia="Arial" w:hAnsi="Arial"/>
                <w:sz w:val="14"/>
                <w:szCs w:val="14"/>
                <w:color w:val="auto"/>
              </w:rPr>
              <w:t>(1,939,445)</w:t>
            </w:r>
          </w:p>
        </w:tc>
        <w:tc>
          <w:tcPr>
            <w:tcW w:w="300" w:type="dxa"/>
            <w:vAlign w:val="bottom"/>
            <w:tcBorders>
              <w:bottom w:val="single" w:sz="8" w:color="4A7EBB"/>
            </w:tcBorders>
            <w:shd w:val="clear" w:color="auto" w:fill="F2F2F2"/>
          </w:tcPr>
          <w:p>
            <w:pPr>
              <w:spacing w:after="0"/>
              <w:rPr>
                <w:sz w:val="13"/>
                <w:szCs w:val="13"/>
                <w:color w:val="auto"/>
              </w:rPr>
            </w:pPr>
          </w:p>
        </w:tc>
        <w:tc>
          <w:tcPr>
            <w:tcW w:w="1380" w:type="dxa"/>
            <w:vAlign w:val="bottom"/>
            <w:tcBorders>
              <w:bottom w:val="single" w:sz="8" w:color="4A7EBB"/>
            </w:tcBorders>
            <w:shd w:val="clear" w:color="auto" w:fill="F2F2F2"/>
          </w:tcPr>
          <w:p>
            <w:pPr>
              <w:jc w:val="center"/>
              <w:ind w:right="48"/>
              <w:spacing w:after="0" w:line="155" w:lineRule="exact"/>
              <w:rPr>
                <w:sz w:val="20"/>
                <w:szCs w:val="20"/>
                <w:color w:val="auto"/>
              </w:rPr>
            </w:pPr>
            <w:r>
              <w:rPr>
                <w:rFonts w:ascii="Arial" w:cs="Arial" w:eastAsia="Arial" w:hAnsi="Arial"/>
                <w:sz w:val="14"/>
                <w:szCs w:val="14"/>
                <w:color w:val="auto"/>
                <w:w w:val="99"/>
              </w:rPr>
              <w:t>—</w:t>
            </w:r>
          </w:p>
        </w:tc>
        <w:tc>
          <w:tcPr>
            <w:tcW w:w="300" w:type="dxa"/>
            <w:vAlign w:val="bottom"/>
            <w:tcBorders>
              <w:bottom w:val="single" w:sz="8" w:color="4A7EBB"/>
            </w:tcBorders>
            <w:shd w:val="clear" w:color="auto" w:fill="F2F2F2"/>
          </w:tcPr>
          <w:p>
            <w:pPr>
              <w:spacing w:after="0"/>
              <w:rPr>
                <w:sz w:val="13"/>
                <w:szCs w:val="13"/>
                <w:color w:val="auto"/>
              </w:rPr>
            </w:pPr>
          </w:p>
        </w:tc>
        <w:tc>
          <w:tcPr>
            <w:tcW w:w="1440" w:type="dxa"/>
            <w:vAlign w:val="bottom"/>
            <w:tcBorders>
              <w:bottom w:val="single" w:sz="8" w:color="4A7EBB"/>
            </w:tcBorders>
            <w:shd w:val="clear" w:color="auto" w:fill="F2F2F2"/>
          </w:tcPr>
          <w:p>
            <w:pPr>
              <w:jc w:val="center"/>
              <w:ind w:right="48"/>
              <w:spacing w:after="0" w:line="155" w:lineRule="exact"/>
              <w:rPr>
                <w:sz w:val="20"/>
                <w:szCs w:val="20"/>
                <w:color w:val="auto"/>
              </w:rPr>
            </w:pPr>
            <w:r>
              <w:rPr>
                <w:rFonts w:ascii="Arial" w:cs="Arial" w:eastAsia="Arial" w:hAnsi="Arial"/>
                <w:sz w:val="14"/>
                <w:szCs w:val="14"/>
                <w:color w:val="auto"/>
                <w:w w:val="99"/>
              </w:rPr>
              <w:t>(44,906)</w:t>
            </w:r>
          </w:p>
        </w:tc>
        <w:tc>
          <w:tcPr>
            <w:tcW w:w="240" w:type="dxa"/>
            <w:vAlign w:val="bottom"/>
            <w:tcBorders>
              <w:bottom w:val="single" w:sz="8" w:color="4A7EBB"/>
            </w:tcBorders>
            <w:shd w:val="clear" w:color="auto" w:fill="F2F2F2"/>
          </w:tcPr>
          <w:p>
            <w:pPr>
              <w:spacing w:after="0"/>
              <w:rPr>
                <w:sz w:val="13"/>
                <w:szCs w:val="13"/>
                <w:color w:val="auto"/>
              </w:rPr>
            </w:pPr>
          </w:p>
        </w:tc>
        <w:tc>
          <w:tcPr>
            <w:tcW w:w="1140" w:type="dxa"/>
            <w:vAlign w:val="bottom"/>
            <w:tcBorders>
              <w:bottom w:val="single" w:sz="8" w:color="4A7EBB"/>
            </w:tcBorders>
            <w:shd w:val="clear" w:color="auto" w:fill="F2F2F2"/>
          </w:tcPr>
          <w:p>
            <w:pPr>
              <w:jc w:val="center"/>
              <w:ind w:right="48"/>
              <w:spacing w:after="0" w:line="155" w:lineRule="exact"/>
              <w:rPr>
                <w:sz w:val="20"/>
                <w:szCs w:val="20"/>
                <w:color w:val="auto"/>
              </w:rPr>
            </w:pPr>
            <w:r>
              <w:rPr>
                <w:rFonts w:ascii="Arial" w:cs="Arial" w:eastAsia="Arial" w:hAnsi="Arial"/>
                <w:sz w:val="14"/>
                <w:szCs w:val="14"/>
                <w:color w:val="auto"/>
                <w:w w:val="99"/>
              </w:rPr>
              <w:t>—</w:t>
            </w:r>
          </w:p>
        </w:tc>
        <w:tc>
          <w:tcPr>
            <w:tcW w:w="1300" w:type="dxa"/>
            <w:vAlign w:val="bottom"/>
            <w:tcBorders>
              <w:bottom w:val="single" w:sz="8" w:color="4A7EBB"/>
            </w:tcBorders>
            <w:shd w:val="clear" w:color="auto" w:fill="F2F2F2"/>
          </w:tcPr>
          <w:p>
            <w:pPr>
              <w:jc w:val="center"/>
              <w:ind w:left="48"/>
              <w:spacing w:after="0" w:line="155" w:lineRule="exact"/>
              <w:rPr>
                <w:sz w:val="20"/>
                <w:szCs w:val="20"/>
                <w:color w:val="auto"/>
              </w:rPr>
            </w:pPr>
            <w:r>
              <w:rPr>
                <w:rFonts w:ascii="Arial" w:cs="Arial" w:eastAsia="Arial" w:hAnsi="Arial"/>
                <w:sz w:val="14"/>
                <w:szCs w:val="14"/>
                <w:color w:val="auto"/>
              </w:rPr>
              <w:t>(1,535,600)</w:t>
            </w:r>
          </w:p>
        </w:tc>
      </w:tr>
      <w:tr>
        <w:trPr>
          <w:trHeight w:val="156"/>
        </w:trPr>
        <w:tc>
          <w:tcPr>
            <w:tcW w:w="20" w:type="dxa"/>
            <w:vAlign w:val="bottom"/>
          </w:tcPr>
          <w:p>
            <w:pPr>
              <w:spacing w:after="0"/>
              <w:rPr>
                <w:sz w:val="13"/>
                <w:szCs w:val="13"/>
                <w:color w:val="auto"/>
              </w:rPr>
            </w:pPr>
          </w:p>
        </w:tc>
        <w:tc>
          <w:tcPr>
            <w:tcW w:w="800" w:type="dxa"/>
            <w:vAlign w:val="bottom"/>
            <w:tcBorders>
              <w:bottom w:val="single" w:sz="8" w:color="4A7EBB"/>
            </w:tcBorders>
          </w:tcPr>
          <w:p>
            <w:pPr>
              <w:ind w:left="240"/>
              <w:spacing w:after="0" w:line="155" w:lineRule="exact"/>
              <w:rPr>
                <w:sz w:val="20"/>
                <w:szCs w:val="20"/>
                <w:color w:val="auto"/>
              </w:rPr>
            </w:pPr>
            <w:r>
              <w:rPr>
                <w:rFonts w:ascii="Arial" w:cs="Arial" w:eastAsia="Arial" w:hAnsi="Arial"/>
                <w:sz w:val="14"/>
                <w:szCs w:val="14"/>
                <w:color w:val="auto"/>
              </w:rPr>
              <w:t>2022</w:t>
            </w:r>
          </w:p>
        </w:tc>
        <w:tc>
          <w:tcPr>
            <w:tcW w:w="240" w:type="dxa"/>
            <w:vAlign w:val="bottom"/>
            <w:tcBorders>
              <w:bottom w:val="single" w:sz="8" w:color="4A7EBB"/>
            </w:tcBorders>
          </w:tcPr>
          <w:p>
            <w:pPr>
              <w:spacing w:after="0"/>
              <w:rPr>
                <w:sz w:val="13"/>
                <w:szCs w:val="13"/>
                <w:color w:val="auto"/>
              </w:rPr>
            </w:pPr>
          </w:p>
        </w:tc>
        <w:tc>
          <w:tcPr>
            <w:tcW w:w="1080" w:type="dxa"/>
            <w:vAlign w:val="bottom"/>
            <w:tcBorders>
              <w:bottom w:val="single" w:sz="8" w:color="4A7EBB"/>
            </w:tcBorders>
          </w:tcPr>
          <w:p>
            <w:pPr>
              <w:jc w:val="center"/>
              <w:spacing w:after="0" w:line="155" w:lineRule="exact"/>
              <w:rPr>
                <w:sz w:val="20"/>
                <w:szCs w:val="20"/>
                <w:color w:val="auto"/>
              </w:rPr>
            </w:pPr>
            <w:r>
              <w:rPr>
                <w:rFonts w:ascii="Arial" w:cs="Arial" w:eastAsia="Arial" w:hAnsi="Arial"/>
                <w:sz w:val="14"/>
                <w:szCs w:val="14"/>
                <w:color w:val="auto"/>
                <w:w w:val="99"/>
              </w:rPr>
              <w:t>1,411,940</w:t>
            </w:r>
          </w:p>
        </w:tc>
        <w:tc>
          <w:tcPr>
            <w:tcW w:w="300" w:type="dxa"/>
            <w:vAlign w:val="bottom"/>
            <w:tcBorders>
              <w:bottom w:val="single" w:sz="8" w:color="4A7EBB"/>
            </w:tcBorders>
          </w:tcPr>
          <w:p>
            <w:pPr>
              <w:spacing w:after="0"/>
              <w:rPr>
                <w:sz w:val="13"/>
                <w:szCs w:val="13"/>
                <w:color w:val="auto"/>
              </w:rPr>
            </w:pPr>
          </w:p>
        </w:tc>
        <w:tc>
          <w:tcPr>
            <w:tcW w:w="1380" w:type="dxa"/>
            <w:vAlign w:val="bottom"/>
            <w:tcBorders>
              <w:bottom w:val="single" w:sz="8" w:color="4A7EBB"/>
            </w:tcBorders>
          </w:tcPr>
          <w:p>
            <w:pPr>
              <w:jc w:val="center"/>
              <w:ind w:right="28"/>
              <w:spacing w:after="0" w:line="155" w:lineRule="exact"/>
              <w:rPr>
                <w:sz w:val="20"/>
                <w:szCs w:val="20"/>
                <w:color w:val="auto"/>
              </w:rPr>
            </w:pPr>
            <w:r>
              <w:rPr>
                <w:rFonts w:ascii="Arial" w:cs="Arial" w:eastAsia="Arial" w:hAnsi="Arial"/>
                <w:sz w:val="14"/>
                <w:szCs w:val="14"/>
                <w:color w:val="auto"/>
              </w:rPr>
              <w:t>294,826</w:t>
            </w:r>
          </w:p>
        </w:tc>
        <w:tc>
          <w:tcPr>
            <w:tcW w:w="300" w:type="dxa"/>
            <w:vAlign w:val="bottom"/>
            <w:tcBorders>
              <w:bottom w:val="single" w:sz="8" w:color="4A7EBB"/>
            </w:tcBorders>
          </w:tcPr>
          <w:p>
            <w:pPr>
              <w:spacing w:after="0"/>
              <w:rPr>
                <w:sz w:val="13"/>
                <w:szCs w:val="13"/>
                <w:color w:val="auto"/>
              </w:rPr>
            </w:pPr>
          </w:p>
        </w:tc>
        <w:tc>
          <w:tcPr>
            <w:tcW w:w="1380" w:type="dxa"/>
            <w:vAlign w:val="bottom"/>
            <w:tcBorders>
              <w:bottom w:val="single" w:sz="8" w:color="4A7EBB"/>
            </w:tcBorders>
          </w:tcPr>
          <w:p>
            <w:pPr>
              <w:jc w:val="center"/>
              <w:ind w:right="48"/>
              <w:spacing w:after="0" w:line="155" w:lineRule="exact"/>
              <w:rPr>
                <w:sz w:val="20"/>
                <w:szCs w:val="20"/>
                <w:color w:val="auto"/>
              </w:rPr>
            </w:pPr>
            <w:r>
              <w:rPr>
                <w:rFonts w:ascii="Arial" w:cs="Arial" w:eastAsia="Arial" w:hAnsi="Arial"/>
                <w:sz w:val="14"/>
                <w:szCs w:val="14"/>
                <w:color w:val="auto"/>
                <w:w w:val="99"/>
              </w:rPr>
              <w:t>1,113,980</w:t>
            </w:r>
          </w:p>
        </w:tc>
        <w:tc>
          <w:tcPr>
            <w:tcW w:w="300" w:type="dxa"/>
            <w:vAlign w:val="bottom"/>
            <w:tcBorders>
              <w:bottom w:val="single" w:sz="8" w:color="4A7EBB"/>
            </w:tcBorders>
          </w:tcPr>
          <w:p>
            <w:pPr>
              <w:spacing w:after="0"/>
              <w:rPr>
                <w:sz w:val="13"/>
                <w:szCs w:val="13"/>
                <w:color w:val="auto"/>
              </w:rPr>
            </w:pPr>
          </w:p>
        </w:tc>
        <w:tc>
          <w:tcPr>
            <w:tcW w:w="1440" w:type="dxa"/>
            <w:vAlign w:val="bottom"/>
            <w:tcBorders>
              <w:bottom w:val="single" w:sz="8" w:color="4A7EBB"/>
            </w:tcBorders>
          </w:tcPr>
          <w:p>
            <w:pPr>
              <w:jc w:val="center"/>
              <w:ind w:right="48"/>
              <w:spacing w:after="0" w:line="155" w:lineRule="exact"/>
              <w:rPr>
                <w:sz w:val="20"/>
                <w:szCs w:val="20"/>
                <w:color w:val="auto"/>
              </w:rPr>
            </w:pPr>
            <w:r>
              <w:rPr>
                <w:rFonts w:ascii="Arial" w:cs="Arial" w:eastAsia="Arial" w:hAnsi="Arial"/>
                <w:sz w:val="14"/>
                <w:szCs w:val="14"/>
                <w:color w:val="auto"/>
              </w:rPr>
              <w:t>239,867</w:t>
            </w:r>
          </w:p>
        </w:tc>
        <w:tc>
          <w:tcPr>
            <w:tcW w:w="240" w:type="dxa"/>
            <w:vAlign w:val="bottom"/>
            <w:tcBorders>
              <w:bottom w:val="single" w:sz="8" w:color="4A7EBB"/>
            </w:tcBorders>
          </w:tcPr>
          <w:p>
            <w:pPr>
              <w:spacing w:after="0"/>
              <w:rPr>
                <w:sz w:val="13"/>
                <w:szCs w:val="13"/>
                <w:color w:val="auto"/>
              </w:rPr>
            </w:pPr>
          </w:p>
        </w:tc>
        <w:tc>
          <w:tcPr>
            <w:tcW w:w="1140" w:type="dxa"/>
            <w:vAlign w:val="bottom"/>
            <w:tcBorders>
              <w:bottom w:val="single" w:sz="8" w:color="4A7EBB"/>
            </w:tcBorders>
          </w:tcPr>
          <w:p>
            <w:pPr>
              <w:jc w:val="center"/>
              <w:ind w:right="48"/>
              <w:spacing w:after="0" w:line="155" w:lineRule="exact"/>
              <w:rPr>
                <w:sz w:val="20"/>
                <w:szCs w:val="20"/>
                <w:color w:val="auto"/>
              </w:rPr>
            </w:pPr>
            <w:r>
              <w:rPr>
                <w:rFonts w:ascii="Arial" w:cs="Arial" w:eastAsia="Arial" w:hAnsi="Arial"/>
                <w:sz w:val="14"/>
                <w:szCs w:val="14"/>
                <w:color w:val="auto"/>
                <w:w w:val="99"/>
              </w:rPr>
              <w:t>—</w:t>
            </w:r>
          </w:p>
        </w:tc>
        <w:tc>
          <w:tcPr>
            <w:tcW w:w="1300" w:type="dxa"/>
            <w:vAlign w:val="bottom"/>
            <w:tcBorders>
              <w:bottom w:val="single" w:sz="8" w:color="4A7EBB"/>
            </w:tcBorders>
          </w:tcPr>
          <w:p>
            <w:pPr>
              <w:jc w:val="center"/>
              <w:ind w:left="68"/>
              <w:spacing w:after="0" w:line="155" w:lineRule="exact"/>
              <w:rPr>
                <w:sz w:val="20"/>
                <w:szCs w:val="20"/>
                <w:color w:val="auto"/>
              </w:rPr>
            </w:pPr>
            <w:r>
              <w:rPr>
                <w:rFonts w:ascii="Arial" w:cs="Arial" w:eastAsia="Arial" w:hAnsi="Arial"/>
                <w:sz w:val="14"/>
                <w:szCs w:val="14"/>
                <w:color w:val="auto"/>
              </w:rPr>
              <w:t>3,060,612</w:t>
            </w:r>
          </w:p>
        </w:tc>
      </w:tr>
    </w:tbl>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4A7EBB"/>
        </w:rPr>
        <w:t>RELATIONSHIP BETWEEN CAP AND FINANCIAL PERFORMANCE</w:t>
      </w:r>
    </w:p>
    <w:p>
      <w:pPr>
        <w:spacing w:after="0" w:line="21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following graphs illustrate the relationship between the pay and performance figures that are included in the pay versus performance tabular disclosure above. In addition, the first graph below illustrates the relationship between Company TSR and that of the S&amp;P 500 Textiles, Apparel &amp; Luxury Goods Index. As noted above, CAP for purposes of the tabular disclosure and the following graphs were calculated in accordance with SEC rules and do not fully represent the actual final amount of compensation earned by, or actually paid to, the NEOs during the applicable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2524125</wp:posOffset>
            </wp:positionV>
            <wp:extent cx="629221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123825</wp:posOffset>
            </wp:positionV>
            <wp:extent cx="4714875" cy="21088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4714875" cy="210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7560"/>
        <w:spacing w:after="0"/>
        <w:rPr>
          <w:sz w:val="20"/>
          <w:szCs w:val="20"/>
          <w:color w:val="auto"/>
        </w:rPr>
      </w:pPr>
      <w:r>
        <w:rPr>
          <w:rFonts w:ascii="Arial" w:cs="Arial" w:eastAsia="Arial" w:hAnsi="Arial"/>
          <w:sz w:val="16"/>
          <w:szCs w:val="16"/>
          <w:color w:val="auto"/>
        </w:rPr>
        <w:t xml:space="preserve">2026 PROXY STATEMENT </w:t>
      </w:r>
      <w:r>
        <w:rPr>
          <w:rFonts w:ascii="Arial" w:cs="Arial" w:eastAsia="Arial" w:hAnsi="Arial"/>
          <w:sz w:val="19"/>
          <w:szCs w:val="19"/>
          <w:color w:val="808080"/>
        </w:rPr>
        <w:t>/</w:t>
      </w:r>
      <w:r>
        <w:rPr>
          <w:rFonts w:ascii="Arial" w:cs="Arial" w:eastAsia="Arial" w:hAnsi="Arial"/>
          <w:sz w:val="16"/>
          <w:szCs w:val="16"/>
          <w:color w:val="auto"/>
        </w:rPr>
        <w:t xml:space="preserve"> </w:t>
      </w:r>
      <w:r>
        <w:rPr>
          <w:rFonts w:ascii="Arial" w:cs="Arial" w:eastAsia="Arial" w:hAnsi="Arial"/>
          <w:sz w:val="19"/>
          <w:szCs w:val="19"/>
          <w:b w:val="1"/>
          <w:bCs w:val="1"/>
          <w:color w:val="4A7EBB"/>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356235</wp:posOffset>
            </wp:positionV>
            <wp:extent cx="6292215" cy="254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17780</wp:posOffset>
            </wp:positionV>
            <wp:extent cx="6249035" cy="48602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249035" cy="4860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 COMPENSATION</w:t>
      </w:r>
    </w:p>
    <w:p>
      <w:pPr>
        <w:spacing w:after="0" w:line="18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annual cash retainer paid to our Non-Employee Directors for service as a director of G-III is $75,000. In addition, members of the Audit and Compensation Committees receive an annual retainer of $10,000 and members of the Nominating and Corporate Governance Committee receive an annual retainer of $7,000.</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Additional annual fees paid to Non-Employee Directors are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20" w:type="dxa"/>
            <w:vAlign w:val="bottom"/>
            <w:tcBorders>
              <w:top w:val="single" w:sz="8" w:color="4A7EBB"/>
              <w:bottom w:val="single" w:sz="8" w:color="4A7EBB"/>
            </w:tcBorders>
            <w:shd w:val="clear" w:color="auto" w:fill="DBE5F1"/>
          </w:tcPr>
          <w:p>
            <w:pPr>
              <w:ind w:left="120"/>
              <w:spacing w:after="0"/>
              <w:rPr>
                <w:sz w:val="20"/>
                <w:szCs w:val="20"/>
                <w:color w:val="auto"/>
              </w:rPr>
            </w:pPr>
            <w:r>
              <w:rPr>
                <w:rFonts w:ascii="Arial" w:cs="Arial" w:eastAsia="Arial" w:hAnsi="Arial"/>
                <w:sz w:val="16"/>
                <w:szCs w:val="16"/>
                <w:b w:val="1"/>
                <w:bCs w:val="1"/>
                <w:color w:val="auto"/>
              </w:rPr>
              <w:t>Role</w:t>
            </w:r>
          </w:p>
        </w:tc>
        <w:tc>
          <w:tcPr>
            <w:tcW w:w="3200" w:type="dxa"/>
            <w:vAlign w:val="bottom"/>
            <w:tcBorders>
              <w:top w:val="single" w:sz="8" w:color="4A7EBB"/>
              <w:bottom w:val="single" w:sz="8" w:color="4A7EBB"/>
            </w:tcBorders>
            <w:shd w:val="clear" w:color="auto" w:fill="DBE5F1"/>
          </w:tcPr>
          <w:p>
            <w:pPr>
              <w:ind w:left="2080"/>
              <w:spacing w:after="0"/>
              <w:rPr>
                <w:sz w:val="20"/>
                <w:szCs w:val="20"/>
                <w:color w:val="auto"/>
              </w:rPr>
            </w:pPr>
            <w:r>
              <w:rPr>
                <w:rFonts w:ascii="Arial" w:cs="Arial" w:eastAsia="Arial" w:hAnsi="Arial"/>
                <w:sz w:val="16"/>
                <w:szCs w:val="16"/>
                <w:b w:val="1"/>
                <w:bCs w:val="1"/>
                <w:color w:val="auto"/>
              </w:rPr>
              <w:t>Annual Fee</w:t>
            </w:r>
          </w:p>
        </w:tc>
      </w:tr>
      <w:tr>
        <w:trPr>
          <w:trHeight w:val="183"/>
        </w:trPr>
        <w:tc>
          <w:tcPr>
            <w:tcW w:w="6720" w:type="dxa"/>
            <w:vAlign w:val="bottom"/>
            <w:tcBorders>
              <w:bottom w:val="single" w:sz="8" w:color="4A7EBB"/>
            </w:tcBorders>
          </w:tcPr>
          <w:p>
            <w:pPr>
              <w:ind w:left="120"/>
              <w:spacing w:after="0" w:line="183" w:lineRule="exact"/>
              <w:rPr>
                <w:sz w:val="20"/>
                <w:szCs w:val="20"/>
                <w:color w:val="auto"/>
              </w:rPr>
            </w:pPr>
            <w:r>
              <w:rPr>
                <w:rFonts w:ascii="Arial" w:cs="Arial" w:eastAsia="Arial" w:hAnsi="Arial"/>
                <w:sz w:val="16"/>
                <w:szCs w:val="16"/>
                <w:color w:val="auto"/>
              </w:rPr>
              <w:t>Lead Independent Director</w:t>
            </w:r>
          </w:p>
        </w:tc>
        <w:tc>
          <w:tcPr>
            <w:tcW w:w="3200" w:type="dxa"/>
            <w:vAlign w:val="bottom"/>
            <w:tcBorders>
              <w:bottom w:val="single" w:sz="8" w:color="4A7EBB"/>
            </w:tcBorders>
          </w:tcPr>
          <w:p>
            <w:pPr>
              <w:jc w:val="center"/>
              <w:ind w:left="1799"/>
              <w:spacing w:after="0" w:line="183" w:lineRule="exact"/>
              <w:rPr>
                <w:sz w:val="20"/>
                <w:szCs w:val="20"/>
                <w:color w:val="auto"/>
              </w:rPr>
            </w:pPr>
            <w:r>
              <w:rPr>
                <w:rFonts w:ascii="Arial" w:cs="Arial" w:eastAsia="Arial" w:hAnsi="Arial"/>
                <w:sz w:val="16"/>
                <w:szCs w:val="16"/>
                <w:color w:val="auto"/>
              </w:rPr>
              <w:t>$30,000</w:t>
            </w:r>
          </w:p>
        </w:tc>
      </w:tr>
      <w:tr>
        <w:trPr>
          <w:trHeight w:val="183"/>
        </w:trPr>
        <w:tc>
          <w:tcPr>
            <w:tcW w:w="6720" w:type="dxa"/>
            <w:vAlign w:val="bottom"/>
            <w:tcBorders>
              <w:bottom w:val="single" w:sz="8" w:color="4A7EBB"/>
            </w:tcBorders>
            <w:shd w:val="clear" w:color="auto" w:fill="F2F2F2"/>
          </w:tcPr>
          <w:p>
            <w:pPr>
              <w:ind w:left="120"/>
              <w:spacing w:after="0" w:line="183" w:lineRule="exact"/>
              <w:rPr>
                <w:sz w:val="20"/>
                <w:szCs w:val="20"/>
                <w:color w:val="auto"/>
              </w:rPr>
            </w:pPr>
            <w:r>
              <w:rPr>
                <w:rFonts w:ascii="Arial" w:cs="Arial" w:eastAsia="Arial" w:hAnsi="Arial"/>
                <w:sz w:val="16"/>
                <w:szCs w:val="16"/>
                <w:color w:val="auto"/>
              </w:rPr>
              <w:t>Chair of the Audit Committee</w:t>
            </w:r>
          </w:p>
        </w:tc>
        <w:tc>
          <w:tcPr>
            <w:tcW w:w="3200" w:type="dxa"/>
            <w:vAlign w:val="bottom"/>
            <w:tcBorders>
              <w:bottom w:val="single" w:sz="8" w:color="4A7EBB"/>
            </w:tcBorders>
            <w:shd w:val="clear" w:color="auto" w:fill="F2F2F2"/>
          </w:tcPr>
          <w:p>
            <w:pPr>
              <w:jc w:val="center"/>
              <w:ind w:left="1799"/>
              <w:spacing w:after="0" w:line="183" w:lineRule="exact"/>
              <w:rPr>
                <w:sz w:val="20"/>
                <w:szCs w:val="20"/>
                <w:color w:val="auto"/>
              </w:rPr>
            </w:pPr>
            <w:r>
              <w:rPr>
                <w:rFonts w:ascii="Arial" w:cs="Arial" w:eastAsia="Arial" w:hAnsi="Arial"/>
                <w:sz w:val="16"/>
                <w:szCs w:val="16"/>
                <w:color w:val="auto"/>
              </w:rPr>
              <w:t>$20,000</w:t>
            </w:r>
          </w:p>
        </w:tc>
      </w:tr>
      <w:tr>
        <w:trPr>
          <w:trHeight w:val="183"/>
        </w:trPr>
        <w:tc>
          <w:tcPr>
            <w:tcW w:w="6720" w:type="dxa"/>
            <w:vAlign w:val="bottom"/>
            <w:tcBorders>
              <w:bottom w:val="single" w:sz="8" w:color="4A7EBB"/>
            </w:tcBorders>
          </w:tcPr>
          <w:p>
            <w:pPr>
              <w:ind w:left="120"/>
              <w:spacing w:after="0" w:line="183" w:lineRule="exact"/>
              <w:rPr>
                <w:sz w:val="20"/>
                <w:szCs w:val="20"/>
                <w:color w:val="auto"/>
              </w:rPr>
            </w:pPr>
            <w:r>
              <w:rPr>
                <w:rFonts w:ascii="Arial" w:cs="Arial" w:eastAsia="Arial" w:hAnsi="Arial"/>
                <w:sz w:val="16"/>
                <w:szCs w:val="16"/>
                <w:color w:val="auto"/>
              </w:rPr>
              <w:t>Chair of the Compensation Committee</w:t>
            </w:r>
          </w:p>
        </w:tc>
        <w:tc>
          <w:tcPr>
            <w:tcW w:w="3200" w:type="dxa"/>
            <w:vAlign w:val="bottom"/>
            <w:tcBorders>
              <w:bottom w:val="single" w:sz="8" w:color="4A7EBB"/>
            </w:tcBorders>
          </w:tcPr>
          <w:p>
            <w:pPr>
              <w:jc w:val="center"/>
              <w:ind w:left="1799"/>
              <w:spacing w:after="0" w:line="183" w:lineRule="exact"/>
              <w:rPr>
                <w:sz w:val="20"/>
                <w:szCs w:val="20"/>
                <w:color w:val="auto"/>
              </w:rPr>
            </w:pPr>
            <w:r>
              <w:rPr>
                <w:rFonts w:ascii="Arial" w:cs="Arial" w:eastAsia="Arial" w:hAnsi="Arial"/>
                <w:sz w:val="16"/>
                <w:szCs w:val="16"/>
                <w:color w:val="auto"/>
              </w:rPr>
              <w:t>$20,000</w:t>
            </w:r>
          </w:p>
        </w:tc>
      </w:tr>
      <w:tr>
        <w:trPr>
          <w:trHeight w:val="182"/>
        </w:trPr>
        <w:tc>
          <w:tcPr>
            <w:tcW w:w="6720" w:type="dxa"/>
            <w:vAlign w:val="bottom"/>
            <w:tcBorders>
              <w:bottom w:val="single" w:sz="8" w:color="808080"/>
            </w:tcBorders>
            <w:shd w:val="clear" w:color="auto" w:fill="F2F2F2"/>
          </w:tcPr>
          <w:p>
            <w:pPr>
              <w:ind w:left="120"/>
              <w:spacing w:after="0" w:line="183" w:lineRule="exact"/>
              <w:rPr>
                <w:sz w:val="20"/>
                <w:szCs w:val="20"/>
                <w:color w:val="auto"/>
              </w:rPr>
            </w:pPr>
            <w:r>
              <w:rPr>
                <w:rFonts w:ascii="Arial" w:cs="Arial" w:eastAsia="Arial" w:hAnsi="Arial"/>
                <w:sz w:val="16"/>
                <w:szCs w:val="16"/>
                <w:color w:val="auto"/>
              </w:rPr>
              <w:t>Chair of the Nominating and Corporate Governance Committee</w:t>
            </w:r>
          </w:p>
        </w:tc>
        <w:tc>
          <w:tcPr>
            <w:tcW w:w="3200" w:type="dxa"/>
            <w:vAlign w:val="bottom"/>
            <w:tcBorders>
              <w:bottom w:val="single" w:sz="8" w:color="808080"/>
            </w:tcBorders>
            <w:shd w:val="clear" w:color="auto" w:fill="F2F2F2"/>
          </w:tcPr>
          <w:p>
            <w:pPr>
              <w:jc w:val="center"/>
              <w:ind w:left="1799"/>
              <w:spacing w:after="0" w:line="183" w:lineRule="exact"/>
              <w:rPr>
                <w:sz w:val="20"/>
                <w:szCs w:val="20"/>
                <w:color w:val="auto"/>
              </w:rPr>
            </w:pPr>
            <w:r>
              <w:rPr>
                <w:rFonts w:ascii="Arial" w:cs="Arial" w:eastAsia="Arial" w:hAnsi="Arial"/>
                <w:sz w:val="16"/>
                <w:szCs w:val="16"/>
                <w:color w:val="auto"/>
                <w:w w:val="98"/>
              </w:rPr>
              <w:t>$6,000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5526405</wp:posOffset>
            </wp:positionH>
            <wp:positionV relativeFrom="paragraph">
              <wp:posOffset>-521970</wp:posOffset>
            </wp:positionV>
            <wp:extent cx="8255" cy="52260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8255" cy="522605"/>
                    </a:xfrm>
                    <a:prstGeom prst="rect">
                      <a:avLst/>
                    </a:prstGeom>
                    <a:noFill/>
                  </pic:spPr>
                </pic:pic>
              </a:graphicData>
            </a:graphic>
          </wp:anchor>
        </w:drawing>
      </w:r>
    </w:p>
    <w:p>
      <w:pPr>
        <w:spacing w:after="0" w:line="17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Compensation Committee has a policy to make an annual grant to non-employee directors of RSUs valued at $130,000. The Lead Independent Director receives an additional annual grant of RSUs valued at $ 50,000, the Chair of the Audit Committee receives an additional annual grant of RSUs valued at $ 25,000 and the Chair of the Nominating and Corporate Governance Committee receives an additional annual grant of RSUs valued at $15,000. Grants made prior to the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276860</wp:posOffset>
            </wp:positionV>
            <wp:extent cx="6292215"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288925</wp:posOffset>
            </wp:positionH>
            <wp:positionV relativeFrom="paragraph">
              <wp:posOffset>328295</wp:posOffset>
            </wp:positionV>
            <wp:extent cx="265430" cy="14605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265430" cy="14605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ind w:left="280" w:hanging="271"/>
        <w:spacing w:after="0"/>
        <w:tabs>
          <w:tab w:leader="none" w:pos="280" w:val="left"/>
        </w:tabs>
        <w:numPr>
          <w:ilvl w:val="0"/>
          <w:numId w:val="96"/>
        </w:numPr>
        <w:rPr>
          <w:rFonts w:ascii="Arial" w:cs="Arial" w:eastAsia="Arial" w:hAnsi="Arial"/>
          <w:sz w:val="20"/>
          <w:szCs w:val="20"/>
          <w:b w:val="1"/>
          <w:bCs w:val="1"/>
          <w:color w:val="4A7EBB"/>
        </w:rPr>
      </w:pPr>
      <w:r>
        <w:rPr>
          <w:rFonts w:ascii="Arial" w:cs="Arial" w:eastAsia="Arial" w:hAnsi="Arial"/>
          <w:sz w:val="20"/>
          <w:szCs w:val="20"/>
          <w:color w:val="80808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356235</wp:posOffset>
            </wp:positionV>
            <wp:extent cx="6292215" cy="171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17780</wp:posOffset>
            </wp:positionV>
            <wp:extent cx="629221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1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Annual Meeting vested over a period of three years. Grants made beginning with the 2023 Annual Meeting vest on the first anniversary of the date of the Annual Meeting. All of these RSU grants are subject to the election of each person as a director at the Annual Meeting.</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FISCAL 2026 DIRECTOR COMPENSATION TABLE</w:t>
      </w:r>
    </w:p>
    <w:p>
      <w:pPr>
        <w:spacing w:after="0" w:line="21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Set forth below is a table presenting compensation information with respect to each person who served as a Director for all or part of the fiscal year ended January 31, 2026, other than Morris Goldfarb, Sammy Aaron and Jeffrey Goldfarb. None of Morris Goldfarb, Sammy Aaron or Jeffrey Goldfarb receives any compensation for his services as a director, because each of them serves as and is compensated as an executive officer. Compensation information for Morris Goldfarb, Sammy Aaron and Jeffrey Goldfarb is reported in the Fiscal 2026 Summary Compensation Table appearing elsewhere in this Proxy Statement.</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600" w:type="dxa"/>
            <w:vAlign w:val="bottom"/>
            <w:tcBorders>
              <w:top w:val="single" w:sz="8" w:color="4A7EBB"/>
            </w:tcBorders>
            <w:shd w:val="clear" w:color="auto" w:fill="DBE5F1"/>
          </w:tcPr>
          <w:p>
            <w:pPr>
              <w:spacing w:after="0"/>
              <w:rPr>
                <w:sz w:val="15"/>
                <w:szCs w:val="15"/>
                <w:color w:val="auto"/>
              </w:rPr>
            </w:pPr>
          </w:p>
        </w:tc>
        <w:tc>
          <w:tcPr>
            <w:tcW w:w="1620" w:type="dxa"/>
            <w:vAlign w:val="bottom"/>
            <w:tcBorders>
              <w:top w:val="single" w:sz="8" w:color="4A7EBB"/>
            </w:tcBorders>
            <w:shd w:val="clear" w:color="auto" w:fill="DBE5F1"/>
          </w:tcPr>
          <w:p>
            <w:pPr>
              <w:jc w:val="right"/>
              <w:ind w:right="67"/>
              <w:spacing w:after="0" w:line="175" w:lineRule="exact"/>
              <w:rPr>
                <w:sz w:val="20"/>
                <w:szCs w:val="20"/>
                <w:color w:val="auto"/>
              </w:rPr>
            </w:pPr>
            <w:r>
              <w:rPr>
                <w:rFonts w:ascii="Arial" w:cs="Arial" w:eastAsia="Arial" w:hAnsi="Arial"/>
                <w:sz w:val="16"/>
                <w:szCs w:val="16"/>
                <w:b w:val="1"/>
                <w:bCs w:val="1"/>
                <w:color w:val="auto"/>
              </w:rPr>
              <w:t>​ ​ Fees Earned or</w:t>
            </w:r>
          </w:p>
        </w:tc>
        <w:tc>
          <w:tcPr>
            <w:tcW w:w="1200" w:type="dxa"/>
            <w:vAlign w:val="bottom"/>
            <w:tcBorders>
              <w:top w:val="single" w:sz="8" w:color="4A7EBB"/>
            </w:tcBorders>
            <w:shd w:val="clear" w:color="auto" w:fill="DBE5F1"/>
          </w:tcPr>
          <w:p>
            <w:pPr>
              <w:jc w:val="right"/>
              <w:ind w:right="247"/>
              <w:spacing w:after="0" w:line="175" w:lineRule="exact"/>
              <w:rPr>
                <w:sz w:val="20"/>
                <w:szCs w:val="20"/>
                <w:color w:val="auto"/>
              </w:rPr>
            </w:pPr>
            <w:r>
              <w:rPr>
                <w:rFonts w:ascii="Arial" w:cs="Arial" w:eastAsia="Arial" w:hAnsi="Arial"/>
                <w:sz w:val="16"/>
                <w:szCs w:val="16"/>
                <w:b w:val="1"/>
                <w:bCs w:val="1"/>
                <w:color w:val="auto"/>
              </w:rPr>
              <w:t>​ ​   Stock</w:t>
            </w:r>
          </w:p>
        </w:tc>
        <w:tc>
          <w:tcPr>
            <w:tcW w:w="220" w:type="dxa"/>
            <w:vAlign w:val="bottom"/>
            <w:tcBorders>
              <w:top w:val="single" w:sz="8" w:color="4A7EBB"/>
            </w:tcBorders>
            <w:shd w:val="clear" w:color="auto" w:fill="DBE5F1"/>
          </w:tcPr>
          <w:p>
            <w:pPr>
              <w:jc w:val="right"/>
              <w:ind w:right="31"/>
              <w:spacing w:after="0" w:line="175" w:lineRule="exact"/>
              <w:rPr>
                <w:sz w:val="20"/>
                <w:szCs w:val="20"/>
                <w:color w:val="auto"/>
              </w:rPr>
            </w:pPr>
            <w:r>
              <w:rPr>
                <w:rFonts w:ascii="Arial" w:cs="Arial" w:eastAsia="Arial" w:hAnsi="Arial"/>
                <w:sz w:val="16"/>
                <w:szCs w:val="16"/>
                <w:b w:val="1"/>
                <w:bCs w:val="1"/>
                <w:color w:val="auto"/>
              </w:rPr>
              <w:t>​</w:t>
            </w:r>
          </w:p>
        </w:tc>
        <w:tc>
          <w:tcPr>
            <w:tcW w:w="920" w:type="dxa"/>
            <w:vAlign w:val="bottom"/>
            <w:tcBorders>
              <w:top w:val="single" w:sz="8" w:color="4A7EBB"/>
            </w:tcBorders>
            <w:shd w:val="clear" w:color="auto" w:fill="DBE5F1"/>
          </w:tcPr>
          <w:p>
            <w:pPr>
              <w:ind w:left="40"/>
              <w:spacing w:after="0" w:line="175" w:lineRule="exact"/>
              <w:rPr>
                <w:sz w:val="20"/>
                <w:szCs w:val="20"/>
                <w:color w:val="auto"/>
              </w:rPr>
            </w:pPr>
            <w:r>
              <w:rPr>
                <w:rFonts w:ascii="Arial" w:cs="Arial" w:eastAsia="Arial" w:hAnsi="Arial"/>
                <w:sz w:val="16"/>
                <w:szCs w:val="16"/>
                <w:b w:val="1"/>
                <w:bCs w:val="1"/>
                <w:color w:val="auto"/>
              </w:rPr>
              <w:t>​ Option</w:t>
            </w:r>
          </w:p>
        </w:tc>
        <w:tc>
          <w:tcPr>
            <w:tcW w:w="340" w:type="dxa"/>
            <w:vAlign w:val="bottom"/>
            <w:tcBorders>
              <w:top w:val="single" w:sz="8" w:color="4A7EBB"/>
            </w:tcBorders>
            <w:shd w:val="clear" w:color="auto" w:fill="DBE5F1"/>
          </w:tcPr>
          <w:p>
            <w:pPr>
              <w:ind w:left="40"/>
              <w:spacing w:after="0" w:line="175" w:lineRule="exact"/>
              <w:rPr>
                <w:sz w:val="20"/>
                <w:szCs w:val="20"/>
                <w:color w:val="auto"/>
              </w:rPr>
            </w:pPr>
            <w:r>
              <w:rPr>
                <w:rFonts w:ascii="Arial" w:cs="Arial" w:eastAsia="Arial" w:hAnsi="Arial"/>
                <w:sz w:val="16"/>
                <w:szCs w:val="16"/>
                <w:b w:val="1"/>
                <w:bCs w:val="1"/>
                <w:color w:val="auto"/>
              </w:rPr>
              <w:t>​ ​</w:t>
            </w:r>
          </w:p>
        </w:tc>
        <w:tc>
          <w:tcPr>
            <w:tcW w:w="1240" w:type="dxa"/>
            <w:vAlign w:val="bottom"/>
            <w:tcBorders>
              <w:top w:val="single" w:sz="8" w:color="4A7EBB"/>
            </w:tcBorders>
            <w:shd w:val="clear" w:color="auto" w:fill="DBE5F1"/>
          </w:tcPr>
          <w:p>
            <w:pPr>
              <w:ind w:left="160"/>
              <w:spacing w:after="0" w:line="175" w:lineRule="exact"/>
              <w:rPr>
                <w:sz w:val="20"/>
                <w:szCs w:val="20"/>
                <w:color w:val="auto"/>
              </w:rPr>
            </w:pPr>
            <w:r>
              <w:rPr>
                <w:rFonts w:ascii="Arial" w:cs="Arial" w:eastAsia="Arial" w:hAnsi="Arial"/>
                <w:sz w:val="16"/>
                <w:szCs w:val="16"/>
                <w:b w:val="1"/>
                <w:bCs w:val="1"/>
                <w:color w:val="auto"/>
              </w:rPr>
              <w:t>All Other</w:t>
            </w:r>
          </w:p>
        </w:tc>
        <w:tc>
          <w:tcPr>
            <w:tcW w:w="780" w:type="dxa"/>
            <w:vAlign w:val="bottom"/>
            <w:tcBorders>
              <w:top w:val="single" w:sz="8" w:color="4A7EBB"/>
            </w:tcBorders>
            <w:shd w:val="clear" w:color="auto" w:fill="DBE5F1"/>
          </w:tcPr>
          <w:p>
            <w:pPr>
              <w:jc w:val="right"/>
              <w:ind w:right="527"/>
              <w:spacing w:after="0" w:line="175" w:lineRule="exact"/>
              <w:rPr>
                <w:sz w:val="20"/>
                <w:szCs w:val="20"/>
                <w:color w:val="auto"/>
              </w:rPr>
            </w:pPr>
            <w:r>
              <w:rPr>
                <w:rFonts w:ascii="Arial" w:cs="Arial" w:eastAsia="Arial" w:hAnsi="Arial"/>
                <w:sz w:val="16"/>
                <w:szCs w:val="16"/>
                <w:b w:val="1"/>
                <w:bCs w:val="1"/>
                <w:color w:val="auto"/>
              </w:rPr>
              <w:t>​ ​</w:t>
            </w:r>
          </w:p>
        </w:tc>
        <w:tc>
          <w:tcPr>
            <w:tcW w:w="0" w:type="dxa"/>
            <w:vAlign w:val="bottom"/>
          </w:tcPr>
          <w:p>
            <w:pPr>
              <w:spacing w:after="0"/>
              <w:rPr>
                <w:sz w:val="1"/>
                <w:szCs w:val="1"/>
                <w:color w:val="auto"/>
              </w:rPr>
            </w:pPr>
          </w:p>
        </w:tc>
      </w:tr>
      <w:tr>
        <w:trPr>
          <w:trHeight w:val="217"/>
        </w:trPr>
        <w:tc>
          <w:tcPr>
            <w:tcW w:w="3600" w:type="dxa"/>
            <w:vAlign w:val="bottom"/>
            <w:tcBorders>
              <w:bottom w:val="single" w:sz="8" w:color="4A7EBB"/>
            </w:tcBorders>
            <w:shd w:val="clear" w:color="auto" w:fill="DBE5F1"/>
          </w:tcPr>
          <w:p>
            <w:pPr>
              <w:ind w:left="120"/>
              <w:spacing w:after="0"/>
              <w:rPr>
                <w:sz w:val="20"/>
                <w:szCs w:val="20"/>
                <w:color w:val="auto"/>
              </w:rPr>
            </w:pPr>
            <w:r>
              <w:rPr>
                <w:rFonts w:ascii="Arial" w:cs="Arial" w:eastAsia="Arial" w:hAnsi="Arial"/>
                <w:sz w:val="16"/>
                <w:szCs w:val="16"/>
                <w:b w:val="1"/>
                <w:bCs w:val="1"/>
                <w:color w:val="auto"/>
              </w:rPr>
              <w:t>Name</w:t>
            </w:r>
          </w:p>
        </w:tc>
        <w:tc>
          <w:tcPr>
            <w:tcW w:w="1620" w:type="dxa"/>
            <w:vAlign w:val="bottom"/>
            <w:tcBorders>
              <w:bottom w:val="single" w:sz="8" w:color="4A7EBB"/>
            </w:tcBorders>
            <w:shd w:val="clear" w:color="auto" w:fill="DBE5F1"/>
          </w:tcPr>
          <w:p>
            <w:pPr>
              <w:jc w:val="right"/>
              <w:spacing w:after="0" w:line="217" w:lineRule="exact"/>
              <w:rPr>
                <w:sz w:val="20"/>
                <w:szCs w:val="20"/>
                <w:color w:val="auto"/>
              </w:rPr>
            </w:pPr>
            <w:r>
              <w:rPr>
                <w:rFonts w:ascii="Arial" w:cs="Arial" w:eastAsia="Arial" w:hAnsi="Arial"/>
                <w:sz w:val="16"/>
                <w:szCs w:val="16"/>
                <w:b w:val="1"/>
                <w:bCs w:val="1"/>
                <w:color w:val="auto"/>
              </w:rPr>
              <w:t>Paid in Cash ($)</w:t>
            </w:r>
            <w:r>
              <w:rPr>
                <w:rFonts w:ascii="Arial" w:cs="Arial" w:eastAsia="Arial" w:hAnsi="Arial"/>
                <w:sz w:val="25"/>
                <w:szCs w:val="25"/>
                <w:b w:val="1"/>
                <w:bCs w:val="1"/>
                <w:color w:val="auto"/>
                <w:vertAlign w:val="superscript"/>
              </w:rPr>
              <w:t>(1)</w:t>
            </w:r>
          </w:p>
        </w:tc>
        <w:tc>
          <w:tcPr>
            <w:tcW w:w="1200" w:type="dxa"/>
            <w:vAlign w:val="bottom"/>
            <w:tcBorders>
              <w:bottom w:val="single" w:sz="8" w:color="4A7EBB"/>
            </w:tcBorders>
            <w:shd w:val="clear" w:color="auto" w:fill="DBE5F1"/>
          </w:tcPr>
          <w:p>
            <w:pPr>
              <w:jc w:val="right"/>
              <w:spacing w:after="0" w:line="217" w:lineRule="exact"/>
              <w:rPr>
                <w:sz w:val="20"/>
                <w:szCs w:val="20"/>
                <w:color w:val="auto"/>
              </w:rPr>
            </w:pPr>
            <w:r>
              <w:rPr>
                <w:rFonts w:ascii="Arial" w:cs="Arial" w:eastAsia="Arial" w:hAnsi="Arial"/>
                <w:sz w:val="16"/>
                <w:szCs w:val="16"/>
                <w:b w:val="1"/>
                <w:bCs w:val="1"/>
                <w:color w:val="auto"/>
              </w:rPr>
              <w:t xml:space="preserve">Awards ($) </w:t>
            </w:r>
            <w:r>
              <w:rPr>
                <w:rFonts w:ascii="Arial" w:cs="Arial" w:eastAsia="Arial" w:hAnsi="Arial"/>
                <w:sz w:val="25"/>
                <w:szCs w:val="25"/>
                <w:b w:val="1"/>
                <w:bCs w:val="1"/>
                <w:color w:val="auto"/>
                <w:vertAlign w:val="superscript"/>
              </w:rPr>
              <w:t>(2)</w:t>
            </w:r>
          </w:p>
        </w:tc>
        <w:tc>
          <w:tcPr>
            <w:tcW w:w="220" w:type="dxa"/>
            <w:vAlign w:val="bottom"/>
            <w:tcBorders>
              <w:bottom w:val="single" w:sz="8" w:color="4A7EBB"/>
            </w:tcBorders>
            <w:shd w:val="clear" w:color="auto" w:fill="DBE5F1"/>
          </w:tcPr>
          <w:p>
            <w:pPr>
              <w:spacing w:after="0"/>
              <w:rPr>
                <w:sz w:val="18"/>
                <w:szCs w:val="18"/>
                <w:color w:val="auto"/>
              </w:rPr>
            </w:pPr>
          </w:p>
        </w:tc>
        <w:tc>
          <w:tcPr>
            <w:tcW w:w="920" w:type="dxa"/>
            <w:vAlign w:val="bottom"/>
            <w:tcBorders>
              <w:bottom w:val="single" w:sz="8" w:color="4A7EBB"/>
            </w:tcBorders>
            <w:shd w:val="clear" w:color="auto" w:fill="DBE5F1"/>
          </w:tcPr>
          <w:p>
            <w:pPr>
              <w:ind w:left="40"/>
              <w:spacing w:after="0"/>
              <w:rPr>
                <w:sz w:val="20"/>
                <w:szCs w:val="20"/>
                <w:color w:val="auto"/>
              </w:rPr>
            </w:pPr>
            <w:r>
              <w:rPr>
                <w:rFonts w:ascii="Arial" w:cs="Arial" w:eastAsia="Arial" w:hAnsi="Arial"/>
                <w:sz w:val="16"/>
                <w:szCs w:val="16"/>
                <w:b w:val="1"/>
                <w:bCs w:val="1"/>
                <w:color w:val="auto"/>
              </w:rPr>
              <w:t>Awards ($)</w:t>
            </w:r>
          </w:p>
        </w:tc>
        <w:tc>
          <w:tcPr>
            <w:tcW w:w="1580" w:type="dxa"/>
            <w:vAlign w:val="bottom"/>
            <w:tcBorders>
              <w:bottom w:val="single" w:sz="8" w:color="4A7EBB"/>
            </w:tcBorders>
            <w:gridSpan w:val="2"/>
            <w:shd w:val="clear" w:color="auto" w:fill="DBE5F1"/>
          </w:tcPr>
          <w:p>
            <w:pPr>
              <w:ind w:left="160"/>
              <w:spacing w:after="0"/>
              <w:rPr>
                <w:sz w:val="20"/>
                <w:szCs w:val="20"/>
                <w:color w:val="auto"/>
              </w:rPr>
            </w:pPr>
            <w:r>
              <w:rPr>
                <w:rFonts w:ascii="Arial" w:cs="Arial" w:eastAsia="Arial" w:hAnsi="Arial"/>
                <w:sz w:val="16"/>
                <w:szCs w:val="16"/>
                <w:b w:val="1"/>
                <w:bCs w:val="1"/>
                <w:color w:val="auto"/>
              </w:rPr>
              <w:t>Compensation ($)</w:t>
            </w:r>
          </w:p>
        </w:tc>
        <w:tc>
          <w:tcPr>
            <w:tcW w:w="780" w:type="dxa"/>
            <w:vAlign w:val="bottom"/>
            <w:tcBorders>
              <w:bottom w:val="single" w:sz="8" w:color="4A7EBB"/>
            </w:tcBorders>
            <w:shd w:val="clear" w:color="auto" w:fill="DBE5F1"/>
          </w:tcPr>
          <w:p>
            <w:pPr>
              <w:jc w:val="right"/>
              <w:spacing w:after="0"/>
              <w:rPr>
                <w:sz w:val="20"/>
                <w:szCs w:val="20"/>
                <w:color w:val="auto"/>
              </w:rPr>
            </w:pPr>
            <w:r>
              <w:rPr>
                <w:rFonts w:ascii="Arial" w:cs="Arial" w:eastAsia="Arial" w:hAnsi="Arial"/>
                <w:sz w:val="16"/>
                <w:szCs w:val="16"/>
                <w:b w:val="1"/>
                <w:bCs w:val="1"/>
                <w:color w:val="auto"/>
              </w:rPr>
              <w:t>Total ($)</w:t>
            </w:r>
          </w:p>
        </w:tc>
        <w:tc>
          <w:tcPr>
            <w:tcW w:w="0" w:type="dxa"/>
            <w:vAlign w:val="bottom"/>
          </w:tcPr>
          <w:p>
            <w:pPr>
              <w:spacing w:after="0"/>
              <w:rPr>
                <w:sz w:val="1"/>
                <w:szCs w:val="1"/>
                <w:color w:val="auto"/>
              </w:rPr>
            </w:pPr>
          </w:p>
        </w:tc>
      </w:tr>
      <w:tr>
        <w:trPr>
          <w:trHeight w:val="278"/>
        </w:trPr>
        <w:tc>
          <w:tcPr>
            <w:tcW w:w="3600" w:type="dxa"/>
            <w:vAlign w:val="bottom"/>
            <w:vMerge w:val="restart"/>
          </w:tcPr>
          <w:p>
            <w:pPr>
              <w:ind w:left="120"/>
              <w:spacing w:after="0"/>
              <w:rPr>
                <w:sz w:val="20"/>
                <w:szCs w:val="20"/>
                <w:color w:val="auto"/>
              </w:rPr>
            </w:pPr>
            <w:r>
              <w:rPr>
                <w:rFonts w:ascii="Arial" w:cs="Arial" w:eastAsia="Arial" w:hAnsi="Arial"/>
                <w:sz w:val="16"/>
                <w:szCs w:val="16"/>
                <w:b w:val="1"/>
                <w:bCs w:val="1"/>
                <w:color w:val="auto"/>
              </w:rPr>
              <w:t>Thomas J. Brosig</w:t>
            </w:r>
          </w:p>
        </w:tc>
        <w:tc>
          <w:tcPr>
            <w:tcW w:w="1620" w:type="dxa"/>
            <w:vAlign w:val="bottom"/>
          </w:tcPr>
          <w:p>
            <w:pPr>
              <w:jc w:val="right"/>
              <w:ind w:right="27"/>
              <w:spacing w:after="0"/>
              <w:rPr>
                <w:sz w:val="20"/>
                <w:szCs w:val="20"/>
                <w:color w:val="auto"/>
              </w:rPr>
            </w:pPr>
            <w:r>
              <w:rPr>
                <w:rFonts w:ascii="Arial" w:cs="Arial" w:eastAsia="Arial" w:hAnsi="Arial"/>
                <w:sz w:val="14"/>
                <w:szCs w:val="14"/>
                <w:color w:val="auto"/>
              </w:rPr>
              <w:t>98,000</w:t>
            </w:r>
          </w:p>
        </w:tc>
        <w:tc>
          <w:tcPr>
            <w:tcW w:w="1200" w:type="dxa"/>
            <w:vAlign w:val="bottom"/>
          </w:tcPr>
          <w:p>
            <w:pPr>
              <w:jc w:val="right"/>
              <w:spacing w:after="0"/>
              <w:rPr>
                <w:sz w:val="20"/>
                <w:szCs w:val="20"/>
                <w:color w:val="auto"/>
              </w:rPr>
            </w:pPr>
            <w:r>
              <w:rPr>
                <w:rFonts w:ascii="Arial" w:cs="Arial" w:eastAsia="Arial" w:hAnsi="Arial"/>
                <w:sz w:val="14"/>
                <w:szCs w:val="14"/>
                <w:color w:val="auto"/>
              </w:rPr>
              <w:t>144,989</w:t>
            </w:r>
          </w:p>
        </w:tc>
        <w:tc>
          <w:tcPr>
            <w:tcW w:w="220" w:type="dxa"/>
            <w:vAlign w:val="bottom"/>
          </w:tcPr>
          <w:p>
            <w:pPr>
              <w:jc w:val="right"/>
              <w:spacing w:after="0"/>
              <w:rPr>
                <w:sz w:val="20"/>
                <w:szCs w:val="20"/>
                <w:color w:val="auto"/>
              </w:rPr>
            </w:pPr>
            <w:r>
              <w:rPr>
                <w:rFonts w:ascii="Arial" w:cs="Arial" w:eastAsia="Arial" w:hAnsi="Arial"/>
                <w:sz w:val="13"/>
                <w:szCs w:val="13"/>
                <w:color w:val="auto"/>
                <w:w w:val="87"/>
              </w:rPr>
              <w:t>(3)</w:t>
            </w:r>
          </w:p>
        </w:tc>
        <w:tc>
          <w:tcPr>
            <w:tcW w:w="920" w:type="dxa"/>
            <w:vAlign w:val="bottom"/>
            <w:vMerge w:val="restart"/>
          </w:tcPr>
          <w:p>
            <w:pPr>
              <w:ind w:left="6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4"/>
                <w:szCs w:val="24"/>
                <w:color w:val="auto"/>
              </w:rPr>
            </w:pPr>
          </w:p>
        </w:tc>
        <w:tc>
          <w:tcPr>
            <w:tcW w:w="1240" w:type="dxa"/>
            <w:vAlign w:val="bottom"/>
            <w:vMerge w:val="restart"/>
          </w:tcPr>
          <w:p>
            <w:pPr>
              <w:ind w:left="98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242,989</w:t>
            </w:r>
          </w:p>
        </w:tc>
        <w:tc>
          <w:tcPr>
            <w:tcW w:w="0" w:type="dxa"/>
            <w:vAlign w:val="bottom"/>
          </w:tcPr>
          <w:p>
            <w:pPr>
              <w:spacing w:after="0"/>
              <w:rPr>
                <w:sz w:val="1"/>
                <w:szCs w:val="1"/>
                <w:color w:val="auto"/>
              </w:rPr>
            </w:pPr>
          </w:p>
        </w:tc>
      </w:tr>
      <w:tr>
        <w:trPr>
          <w:trHeight w:val="53"/>
        </w:trPr>
        <w:tc>
          <w:tcPr>
            <w:tcW w:w="3600" w:type="dxa"/>
            <w:vAlign w:val="bottom"/>
            <w:tcBorders>
              <w:bottom w:val="single" w:sz="8" w:color="4A7EBB"/>
            </w:tcBorders>
            <w:vMerge w:val="continue"/>
          </w:tcPr>
          <w:p>
            <w:pPr>
              <w:spacing w:after="0"/>
              <w:rPr>
                <w:sz w:val="4"/>
                <w:szCs w:val="4"/>
                <w:color w:val="auto"/>
              </w:rPr>
            </w:pPr>
          </w:p>
        </w:tc>
        <w:tc>
          <w:tcPr>
            <w:tcW w:w="1620" w:type="dxa"/>
            <w:vAlign w:val="bottom"/>
            <w:tcBorders>
              <w:bottom w:val="single" w:sz="8" w:color="4A7EBB"/>
            </w:tcBorders>
          </w:tcPr>
          <w:p>
            <w:pPr>
              <w:spacing w:after="0"/>
              <w:rPr>
                <w:sz w:val="4"/>
                <w:szCs w:val="4"/>
                <w:color w:val="auto"/>
              </w:rPr>
            </w:pPr>
          </w:p>
        </w:tc>
        <w:tc>
          <w:tcPr>
            <w:tcW w:w="1200" w:type="dxa"/>
            <w:vAlign w:val="bottom"/>
            <w:tcBorders>
              <w:bottom w:val="single" w:sz="8" w:color="4A7EBB"/>
            </w:tcBorders>
          </w:tcPr>
          <w:p>
            <w:pPr>
              <w:spacing w:after="0"/>
              <w:rPr>
                <w:sz w:val="4"/>
                <w:szCs w:val="4"/>
                <w:color w:val="auto"/>
              </w:rPr>
            </w:pPr>
          </w:p>
        </w:tc>
        <w:tc>
          <w:tcPr>
            <w:tcW w:w="220" w:type="dxa"/>
            <w:vAlign w:val="bottom"/>
            <w:tcBorders>
              <w:bottom w:val="single" w:sz="8" w:color="4A7EBB"/>
            </w:tcBorders>
          </w:tcPr>
          <w:p>
            <w:pPr>
              <w:spacing w:after="0"/>
              <w:rPr>
                <w:sz w:val="4"/>
                <w:szCs w:val="4"/>
                <w:color w:val="auto"/>
              </w:rPr>
            </w:pPr>
          </w:p>
        </w:tc>
        <w:tc>
          <w:tcPr>
            <w:tcW w:w="920" w:type="dxa"/>
            <w:vAlign w:val="bottom"/>
            <w:tcBorders>
              <w:bottom w:val="single" w:sz="8" w:color="4A7EBB"/>
            </w:tcBorders>
            <w:vMerge w:val="continue"/>
          </w:tcPr>
          <w:p>
            <w:pPr>
              <w:spacing w:after="0"/>
              <w:rPr>
                <w:sz w:val="4"/>
                <w:szCs w:val="4"/>
                <w:color w:val="auto"/>
              </w:rPr>
            </w:pPr>
          </w:p>
        </w:tc>
        <w:tc>
          <w:tcPr>
            <w:tcW w:w="340" w:type="dxa"/>
            <w:vAlign w:val="bottom"/>
            <w:tcBorders>
              <w:bottom w:val="single" w:sz="8" w:color="4A7EBB"/>
            </w:tcBorders>
          </w:tcPr>
          <w:p>
            <w:pPr>
              <w:spacing w:after="0"/>
              <w:rPr>
                <w:sz w:val="4"/>
                <w:szCs w:val="4"/>
                <w:color w:val="auto"/>
              </w:rPr>
            </w:pPr>
          </w:p>
        </w:tc>
        <w:tc>
          <w:tcPr>
            <w:tcW w:w="1240" w:type="dxa"/>
            <w:vAlign w:val="bottom"/>
            <w:tcBorders>
              <w:bottom w:val="single" w:sz="8" w:color="4A7EBB"/>
            </w:tcBorders>
            <w:vMerge w:val="continue"/>
          </w:tcPr>
          <w:p>
            <w:pPr>
              <w:spacing w:after="0"/>
              <w:rPr>
                <w:sz w:val="4"/>
                <w:szCs w:val="4"/>
                <w:color w:val="auto"/>
              </w:rPr>
            </w:pPr>
          </w:p>
        </w:tc>
        <w:tc>
          <w:tcPr>
            <w:tcW w:w="780" w:type="dxa"/>
            <w:vAlign w:val="bottom"/>
            <w:tcBorders>
              <w:bottom w:val="single" w:sz="8" w:color="4A7EBB"/>
            </w:tcBorders>
          </w:tcPr>
          <w:p>
            <w:pPr>
              <w:spacing w:after="0"/>
              <w:rPr>
                <w:sz w:val="4"/>
                <w:szCs w:val="4"/>
                <w:color w:val="auto"/>
              </w:rPr>
            </w:pPr>
          </w:p>
        </w:tc>
        <w:tc>
          <w:tcPr>
            <w:tcW w:w="0" w:type="dxa"/>
            <w:vAlign w:val="bottom"/>
          </w:tcPr>
          <w:p>
            <w:pPr>
              <w:spacing w:after="0"/>
              <w:rPr>
                <w:sz w:val="1"/>
                <w:szCs w:val="1"/>
                <w:color w:val="auto"/>
              </w:rPr>
            </w:pPr>
          </w:p>
        </w:tc>
      </w:tr>
      <w:tr>
        <w:trPr>
          <w:trHeight w:val="336"/>
        </w:trPr>
        <w:tc>
          <w:tcPr>
            <w:tcW w:w="3600" w:type="dxa"/>
            <w:vAlign w:val="bottom"/>
            <w:tcBorders>
              <w:bottom w:val="single" w:sz="8" w:color="F2F2F2"/>
            </w:tcBorders>
            <w:shd w:val="clear" w:color="auto" w:fill="F2F2F2"/>
          </w:tcPr>
          <w:p>
            <w:pPr>
              <w:ind w:left="120"/>
              <w:spacing w:after="0"/>
              <w:rPr>
                <w:sz w:val="20"/>
                <w:szCs w:val="20"/>
                <w:color w:val="auto"/>
              </w:rPr>
            </w:pPr>
            <w:r>
              <w:rPr>
                <w:rFonts w:ascii="Arial" w:cs="Arial" w:eastAsia="Arial" w:hAnsi="Arial"/>
                <w:sz w:val="16"/>
                <w:szCs w:val="16"/>
                <w:b w:val="1"/>
                <w:bCs w:val="1"/>
                <w:color w:val="auto"/>
              </w:rPr>
              <w:t>Dr. Joyce F. Brown</w:t>
            </w:r>
          </w:p>
        </w:tc>
        <w:tc>
          <w:tcPr>
            <w:tcW w:w="1620" w:type="dxa"/>
            <w:vAlign w:val="bottom"/>
            <w:tcBorders>
              <w:bottom w:val="single" w:sz="8" w:color="F2F2F2"/>
            </w:tcBorders>
            <w:shd w:val="clear" w:color="auto" w:fill="F2F2F2"/>
          </w:tcPr>
          <w:p>
            <w:pPr>
              <w:jc w:val="right"/>
              <w:ind w:right="27"/>
              <w:spacing w:after="0"/>
              <w:rPr>
                <w:sz w:val="20"/>
                <w:szCs w:val="20"/>
                <w:color w:val="auto"/>
              </w:rPr>
            </w:pPr>
            <w:r>
              <w:rPr>
                <w:rFonts w:ascii="Arial" w:cs="Arial" w:eastAsia="Arial" w:hAnsi="Arial"/>
                <w:sz w:val="14"/>
                <w:szCs w:val="14"/>
                <w:color w:val="auto"/>
              </w:rPr>
              <w:t>82,000</w:t>
            </w:r>
          </w:p>
        </w:tc>
        <w:tc>
          <w:tcPr>
            <w:tcW w:w="120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129,986</w:t>
            </w:r>
          </w:p>
        </w:tc>
        <w:tc>
          <w:tcPr>
            <w:tcW w:w="22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3"/>
                <w:szCs w:val="13"/>
                <w:color w:val="auto"/>
                <w:w w:val="87"/>
              </w:rPr>
              <w:t>(3)</w:t>
            </w:r>
          </w:p>
        </w:tc>
        <w:tc>
          <w:tcPr>
            <w:tcW w:w="920" w:type="dxa"/>
            <w:vAlign w:val="bottom"/>
            <w:tcBorders>
              <w:bottom w:val="single" w:sz="8" w:color="F2F2F2"/>
            </w:tcBorders>
            <w:shd w:val="clear" w:color="auto" w:fill="F2F2F2"/>
          </w:tcPr>
          <w:p>
            <w:pPr>
              <w:ind w:left="6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F2F2F2"/>
            </w:tcBorders>
            <w:shd w:val="clear" w:color="auto" w:fill="F2F2F2"/>
          </w:tcPr>
          <w:p>
            <w:pPr>
              <w:spacing w:after="0"/>
              <w:rPr>
                <w:sz w:val="24"/>
                <w:szCs w:val="24"/>
                <w:color w:val="auto"/>
              </w:rPr>
            </w:pPr>
          </w:p>
        </w:tc>
        <w:tc>
          <w:tcPr>
            <w:tcW w:w="1240" w:type="dxa"/>
            <w:vAlign w:val="bottom"/>
            <w:tcBorders>
              <w:bottom w:val="single" w:sz="8" w:color="F2F2F2"/>
            </w:tcBorders>
            <w:shd w:val="clear" w:color="auto" w:fill="F2F2F2"/>
          </w:tcPr>
          <w:p>
            <w:pPr>
              <w:ind w:left="98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b w:val="1"/>
                <w:bCs w:val="1"/>
                <w:color w:val="auto"/>
              </w:rPr>
              <w:t>211,986</w:t>
            </w:r>
          </w:p>
        </w:tc>
        <w:tc>
          <w:tcPr>
            <w:tcW w:w="0" w:type="dxa"/>
            <w:vAlign w:val="bottom"/>
          </w:tcPr>
          <w:p>
            <w:pPr>
              <w:spacing w:after="0"/>
              <w:rPr>
                <w:sz w:val="1"/>
                <w:szCs w:val="1"/>
                <w:color w:val="auto"/>
              </w:rPr>
            </w:pPr>
          </w:p>
        </w:tc>
      </w:tr>
      <w:tr>
        <w:trPr>
          <w:trHeight w:val="278"/>
        </w:trPr>
        <w:tc>
          <w:tcPr>
            <w:tcW w:w="3600" w:type="dxa"/>
            <w:vAlign w:val="bottom"/>
            <w:tcBorders>
              <w:top w:val="single" w:sz="8" w:color="4A7EBB"/>
            </w:tcBorders>
            <w:vMerge w:val="restart"/>
          </w:tcPr>
          <w:p>
            <w:pPr>
              <w:ind w:left="120"/>
              <w:spacing w:after="0"/>
              <w:rPr>
                <w:sz w:val="20"/>
                <w:szCs w:val="20"/>
                <w:color w:val="auto"/>
              </w:rPr>
            </w:pPr>
            <w:r>
              <w:rPr>
                <w:rFonts w:ascii="Arial" w:cs="Arial" w:eastAsia="Arial" w:hAnsi="Arial"/>
                <w:sz w:val="16"/>
                <w:szCs w:val="16"/>
                <w:b w:val="1"/>
                <w:bCs w:val="1"/>
                <w:color w:val="auto"/>
              </w:rPr>
              <w:t>Victor Herrero</w:t>
            </w:r>
          </w:p>
        </w:tc>
        <w:tc>
          <w:tcPr>
            <w:tcW w:w="1620" w:type="dxa"/>
            <w:vAlign w:val="bottom"/>
            <w:tcBorders>
              <w:top w:val="single" w:sz="8" w:color="4A7EBB"/>
            </w:tcBorders>
          </w:tcPr>
          <w:p>
            <w:pPr>
              <w:jc w:val="right"/>
              <w:ind w:right="27"/>
              <w:spacing w:after="0"/>
              <w:rPr>
                <w:sz w:val="20"/>
                <w:szCs w:val="20"/>
                <w:color w:val="auto"/>
              </w:rPr>
            </w:pPr>
            <w:r>
              <w:rPr>
                <w:rFonts w:ascii="Arial" w:cs="Arial" w:eastAsia="Arial" w:hAnsi="Arial"/>
                <w:sz w:val="14"/>
                <w:szCs w:val="14"/>
                <w:color w:val="auto"/>
              </w:rPr>
              <w:t>85,000</w:t>
            </w:r>
          </w:p>
        </w:tc>
        <w:tc>
          <w:tcPr>
            <w:tcW w:w="1200" w:type="dxa"/>
            <w:vAlign w:val="bottom"/>
            <w:tcBorders>
              <w:top w:val="single" w:sz="8" w:color="4A7EBB"/>
            </w:tcBorders>
          </w:tcPr>
          <w:p>
            <w:pPr>
              <w:jc w:val="right"/>
              <w:spacing w:after="0"/>
              <w:rPr>
                <w:sz w:val="20"/>
                <w:szCs w:val="20"/>
                <w:color w:val="auto"/>
              </w:rPr>
            </w:pPr>
            <w:r>
              <w:rPr>
                <w:rFonts w:ascii="Arial" w:cs="Arial" w:eastAsia="Arial" w:hAnsi="Arial"/>
                <w:sz w:val="14"/>
                <w:szCs w:val="14"/>
                <w:color w:val="auto"/>
              </w:rPr>
              <w:t>129,986</w:t>
            </w:r>
          </w:p>
        </w:tc>
        <w:tc>
          <w:tcPr>
            <w:tcW w:w="220" w:type="dxa"/>
            <w:vAlign w:val="bottom"/>
            <w:tcBorders>
              <w:top w:val="single" w:sz="8" w:color="4A7EBB"/>
            </w:tcBorders>
          </w:tcPr>
          <w:p>
            <w:pPr>
              <w:jc w:val="right"/>
              <w:spacing w:after="0"/>
              <w:rPr>
                <w:sz w:val="20"/>
                <w:szCs w:val="20"/>
                <w:color w:val="auto"/>
              </w:rPr>
            </w:pPr>
            <w:r>
              <w:rPr>
                <w:rFonts w:ascii="Arial" w:cs="Arial" w:eastAsia="Arial" w:hAnsi="Arial"/>
                <w:sz w:val="13"/>
                <w:szCs w:val="13"/>
                <w:color w:val="auto"/>
                <w:w w:val="87"/>
              </w:rPr>
              <w:t>(3)</w:t>
            </w:r>
          </w:p>
        </w:tc>
        <w:tc>
          <w:tcPr>
            <w:tcW w:w="920" w:type="dxa"/>
            <w:vAlign w:val="bottom"/>
            <w:tcBorders>
              <w:top w:val="single" w:sz="8" w:color="4A7EBB"/>
            </w:tcBorders>
            <w:vMerge w:val="restart"/>
          </w:tcPr>
          <w:p>
            <w:pPr>
              <w:ind w:left="660"/>
              <w:spacing w:after="0"/>
              <w:rPr>
                <w:sz w:val="20"/>
                <w:szCs w:val="20"/>
                <w:color w:val="auto"/>
              </w:rPr>
            </w:pPr>
            <w:r>
              <w:rPr>
                <w:rFonts w:ascii="Arial" w:cs="Arial" w:eastAsia="Arial" w:hAnsi="Arial"/>
                <w:sz w:val="16"/>
                <w:szCs w:val="16"/>
                <w:color w:val="auto"/>
              </w:rPr>
              <w:t>—</w:t>
            </w:r>
          </w:p>
        </w:tc>
        <w:tc>
          <w:tcPr>
            <w:tcW w:w="340" w:type="dxa"/>
            <w:vAlign w:val="bottom"/>
            <w:tcBorders>
              <w:top w:val="single" w:sz="8" w:color="4A7EBB"/>
            </w:tcBorders>
          </w:tcPr>
          <w:p>
            <w:pPr>
              <w:spacing w:after="0"/>
              <w:rPr>
                <w:sz w:val="24"/>
                <w:szCs w:val="24"/>
                <w:color w:val="auto"/>
              </w:rPr>
            </w:pPr>
          </w:p>
        </w:tc>
        <w:tc>
          <w:tcPr>
            <w:tcW w:w="1240" w:type="dxa"/>
            <w:vAlign w:val="bottom"/>
            <w:tcBorders>
              <w:top w:val="single" w:sz="8" w:color="4A7EBB"/>
            </w:tcBorders>
            <w:vMerge w:val="restart"/>
          </w:tcPr>
          <w:p>
            <w:pPr>
              <w:ind w:left="980"/>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4A7EBB"/>
            </w:tcBorders>
          </w:tcPr>
          <w:p>
            <w:pPr>
              <w:jc w:val="right"/>
              <w:spacing w:after="0"/>
              <w:rPr>
                <w:sz w:val="20"/>
                <w:szCs w:val="20"/>
                <w:color w:val="auto"/>
              </w:rPr>
            </w:pPr>
            <w:r>
              <w:rPr>
                <w:rFonts w:ascii="Arial" w:cs="Arial" w:eastAsia="Arial" w:hAnsi="Arial"/>
                <w:sz w:val="14"/>
                <w:szCs w:val="14"/>
                <w:b w:val="1"/>
                <w:bCs w:val="1"/>
                <w:color w:val="auto"/>
              </w:rPr>
              <w:t>214,986</w:t>
            </w:r>
          </w:p>
        </w:tc>
        <w:tc>
          <w:tcPr>
            <w:tcW w:w="0" w:type="dxa"/>
            <w:vAlign w:val="bottom"/>
          </w:tcPr>
          <w:p>
            <w:pPr>
              <w:spacing w:after="0"/>
              <w:rPr>
                <w:sz w:val="1"/>
                <w:szCs w:val="1"/>
                <w:color w:val="auto"/>
              </w:rPr>
            </w:pPr>
          </w:p>
        </w:tc>
      </w:tr>
      <w:tr>
        <w:trPr>
          <w:trHeight w:val="53"/>
        </w:trPr>
        <w:tc>
          <w:tcPr>
            <w:tcW w:w="3600" w:type="dxa"/>
            <w:vAlign w:val="bottom"/>
            <w:tcBorders>
              <w:bottom w:val="single" w:sz="8" w:color="4A7EBB"/>
            </w:tcBorders>
            <w:vMerge w:val="continue"/>
          </w:tcPr>
          <w:p>
            <w:pPr>
              <w:spacing w:after="0"/>
              <w:rPr>
                <w:sz w:val="4"/>
                <w:szCs w:val="4"/>
                <w:color w:val="auto"/>
              </w:rPr>
            </w:pPr>
          </w:p>
        </w:tc>
        <w:tc>
          <w:tcPr>
            <w:tcW w:w="1620" w:type="dxa"/>
            <w:vAlign w:val="bottom"/>
            <w:tcBorders>
              <w:bottom w:val="single" w:sz="8" w:color="4A7EBB"/>
            </w:tcBorders>
          </w:tcPr>
          <w:p>
            <w:pPr>
              <w:spacing w:after="0"/>
              <w:rPr>
                <w:sz w:val="4"/>
                <w:szCs w:val="4"/>
                <w:color w:val="auto"/>
              </w:rPr>
            </w:pPr>
          </w:p>
        </w:tc>
        <w:tc>
          <w:tcPr>
            <w:tcW w:w="1200" w:type="dxa"/>
            <w:vAlign w:val="bottom"/>
            <w:tcBorders>
              <w:bottom w:val="single" w:sz="8" w:color="4A7EBB"/>
            </w:tcBorders>
          </w:tcPr>
          <w:p>
            <w:pPr>
              <w:spacing w:after="0"/>
              <w:rPr>
                <w:sz w:val="4"/>
                <w:szCs w:val="4"/>
                <w:color w:val="auto"/>
              </w:rPr>
            </w:pPr>
          </w:p>
        </w:tc>
        <w:tc>
          <w:tcPr>
            <w:tcW w:w="220" w:type="dxa"/>
            <w:vAlign w:val="bottom"/>
            <w:tcBorders>
              <w:bottom w:val="single" w:sz="8" w:color="4A7EBB"/>
            </w:tcBorders>
          </w:tcPr>
          <w:p>
            <w:pPr>
              <w:spacing w:after="0"/>
              <w:rPr>
                <w:sz w:val="4"/>
                <w:szCs w:val="4"/>
                <w:color w:val="auto"/>
              </w:rPr>
            </w:pPr>
          </w:p>
        </w:tc>
        <w:tc>
          <w:tcPr>
            <w:tcW w:w="920" w:type="dxa"/>
            <w:vAlign w:val="bottom"/>
            <w:tcBorders>
              <w:bottom w:val="single" w:sz="8" w:color="4A7EBB"/>
            </w:tcBorders>
            <w:vMerge w:val="continue"/>
          </w:tcPr>
          <w:p>
            <w:pPr>
              <w:spacing w:after="0"/>
              <w:rPr>
                <w:sz w:val="4"/>
                <w:szCs w:val="4"/>
                <w:color w:val="auto"/>
              </w:rPr>
            </w:pPr>
          </w:p>
        </w:tc>
        <w:tc>
          <w:tcPr>
            <w:tcW w:w="340" w:type="dxa"/>
            <w:vAlign w:val="bottom"/>
            <w:tcBorders>
              <w:bottom w:val="single" w:sz="8" w:color="4A7EBB"/>
            </w:tcBorders>
          </w:tcPr>
          <w:p>
            <w:pPr>
              <w:spacing w:after="0"/>
              <w:rPr>
                <w:sz w:val="4"/>
                <w:szCs w:val="4"/>
                <w:color w:val="auto"/>
              </w:rPr>
            </w:pPr>
          </w:p>
        </w:tc>
        <w:tc>
          <w:tcPr>
            <w:tcW w:w="1240" w:type="dxa"/>
            <w:vAlign w:val="bottom"/>
            <w:tcBorders>
              <w:bottom w:val="single" w:sz="8" w:color="4A7EBB"/>
            </w:tcBorders>
            <w:vMerge w:val="continue"/>
          </w:tcPr>
          <w:p>
            <w:pPr>
              <w:spacing w:after="0"/>
              <w:rPr>
                <w:sz w:val="4"/>
                <w:szCs w:val="4"/>
                <w:color w:val="auto"/>
              </w:rPr>
            </w:pPr>
          </w:p>
        </w:tc>
        <w:tc>
          <w:tcPr>
            <w:tcW w:w="780" w:type="dxa"/>
            <w:vAlign w:val="bottom"/>
            <w:tcBorders>
              <w:bottom w:val="single" w:sz="8" w:color="4A7EBB"/>
            </w:tcBorders>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3600" w:type="dxa"/>
            <w:vAlign w:val="bottom"/>
            <w:tcBorders>
              <w:bottom w:val="single" w:sz="8" w:color="4A7EBB"/>
            </w:tcBorders>
            <w:shd w:val="clear" w:color="auto" w:fill="F2F2F2"/>
          </w:tcPr>
          <w:p>
            <w:pPr>
              <w:ind w:left="120"/>
              <w:spacing w:after="0"/>
              <w:rPr>
                <w:sz w:val="20"/>
                <w:szCs w:val="20"/>
                <w:color w:val="auto"/>
              </w:rPr>
            </w:pPr>
            <w:r>
              <w:rPr>
                <w:rFonts w:ascii="Arial" w:cs="Arial" w:eastAsia="Arial" w:hAnsi="Arial"/>
                <w:sz w:val="16"/>
                <w:szCs w:val="16"/>
                <w:b w:val="1"/>
                <w:bCs w:val="1"/>
                <w:color w:val="auto"/>
              </w:rPr>
              <w:t xml:space="preserve">Robert L. Johnson </w:t>
            </w:r>
            <w:r>
              <w:rPr>
                <w:rFonts w:ascii="Arial" w:cs="Arial" w:eastAsia="Arial" w:hAnsi="Arial"/>
                <w:sz w:val="24"/>
                <w:szCs w:val="24"/>
                <w:b w:val="1"/>
                <w:bCs w:val="1"/>
                <w:color w:val="auto"/>
                <w:vertAlign w:val="superscript"/>
              </w:rPr>
              <w:t>(4)</w:t>
            </w:r>
          </w:p>
        </w:tc>
        <w:tc>
          <w:tcPr>
            <w:tcW w:w="1620" w:type="dxa"/>
            <w:vAlign w:val="bottom"/>
            <w:tcBorders>
              <w:bottom w:val="single" w:sz="8" w:color="4A7EBB"/>
            </w:tcBorders>
            <w:shd w:val="clear" w:color="auto" w:fill="F2F2F2"/>
          </w:tcPr>
          <w:p>
            <w:pPr>
              <w:jc w:val="right"/>
              <w:ind w:right="27"/>
              <w:spacing w:after="0"/>
              <w:rPr>
                <w:sz w:val="20"/>
                <w:szCs w:val="20"/>
                <w:color w:val="auto"/>
              </w:rPr>
            </w:pPr>
            <w:r>
              <w:rPr>
                <w:rFonts w:ascii="Arial" w:cs="Arial" w:eastAsia="Arial" w:hAnsi="Arial"/>
                <w:sz w:val="14"/>
                <w:szCs w:val="14"/>
                <w:color w:val="auto"/>
              </w:rPr>
              <w:t>82,000</w:t>
            </w:r>
          </w:p>
        </w:tc>
        <w:tc>
          <w:tcPr>
            <w:tcW w:w="1200" w:type="dxa"/>
            <w:vAlign w:val="bottom"/>
            <w:tcBorders>
              <w:bottom w:val="single" w:sz="8" w:color="4A7EBB"/>
            </w:tcBorders>
            <w:shd w:val="clear" w:color="auto" w:fill="F2F2F2"/>
          </w:tcPr>
          <w:p>
            <w:pPr>
              <w:jc w:val="right"/>
              <w:spacing w:after="0"/>
              <w:rPr>
                <w:sz w:val="20"/>
                <w:szCs w:val="20"/>
                <w:color w:val="auto"/>
              </w:rPr>
            </w:pPr>
            <w:r>
              <w:rPr>
                <w:rFonts w:ascii="Arial" w:cs="Arial" w:eastAsia="Arial" w:hAnsi="Arial"/>
                <w:sz w:val="14"/>
                <w:szCs w:val="14"/>
                <w:color w:val="auto"/>
              </w:rPr>
              <w:t>129,986</w:t>
            </w:r>
          </w:p>
        </w:tc>
        <w:tc>
          <w:tcPr>
            <w:tcW w:w="220" w:type="dxa"/>
            <w:vAlign w:val="bottom"/>
            <w:tcBorders>
              <w:bottom w:val="single" w:sz="8" w:color="4A7EBB"/>
            </w:tcBorders>
            <w:shd w:val="clear" w:color="auto" w:fill="F2F2F2"/>
          </w:tcPr>
          <w:p>
            <w:pPr>
              <w:jc w:val="right"/>
              <w:spacing w:after="0"/>
              <w:rPr>
                <w:sz w:val="20"/>
                <w:szCs w:val="20"/>
                <w:color w:val="auto"/>
              </w:rPr>
            </w:pPr>
            <w:r>
              <w:rPr>
                <w:rFonts w:ascii="Arial" w:cs="Arial" w:eastAsia="Arial" w:hAnsi="Arial"/>
                <w:sz w:val="13"/>
                <w:szCs w:val="13"/>
                <w:color w:val="auto"/>
                <w:w w:val="87"/>
              </w:rPr>
              <w:t>(3)</w:t>
            </w:r>
          </w:p>
        </w:tc>
        <w:tc>
          <w:tcPr>
            <w:tcW w:w="920" w:type="dxa"/>
            <w:vAlign w:val="bottom"/>
            <w:tcBorders>
              <w:bottom w:val="single" w:sz="8" w:color="4A7EBB"/>
            </w:tcBorders>
            <w:shd w:val="clear" w:color="auto" w:fill="F2F2F2"/>
          </w:tcPr>
          <w:p>
            <w:pPr>
              <w:ind w:left="6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4A7EBB"/>
            </w:tcBorders>
            <w:shd w:val="clear" w:color="auto" w:fill="F2F2F2"/>
          </w:tcPr>
          <w:p>
            <w:pPr>
              <w:spacing w:after="0"/>
              <w:rPr>
                <w:sz w:val="24"/>
                <w:szCs w:val="24"/>
                <w:color w:val="auto"/>
              </w:rPr>
            </w:pPr>
          </w:p>
        </w:tc>
        <w:tc>
          <w:tcPr>
            <w:tcW w:w="1240" w:type="dxa"/>
            <w:vAlign w:val="bottom"/>
            <w:tcBorders>
              <w:bottom w:val="single" w:sz="8" w:color="4A7EBB"/>
            </w:tcBorders>
            <w:shd w:val="clear" w:color="auto" w:fill="F2F2F2"/>
          </w:tcPr>
          <w:p>
            <w:pPr>
              <w:ind w:left="98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4A7EBB"/>
            </w:tcBorders>
            <w:shd w:val="clear" w:color="auto" w:fill="F2F2F2"/>
          </w:tcPr>
          <w:p>
            <w:pPr>
              <w:jc w:val="right"/>
              <w:spacing w:after="0"/>
              <w:rPr>
                <w:sz w:val="20"/>
                <w:szCs w:val="20"/>
                <w:color w:val="auto"/>
              </w:rPr>
            </w:pPr>
            <w:r>
              <w:rPr>
                <w:rFonts w:ascii="Arial" w:cs="Arial" w:eastAsia="Arial" w:hAnsi="Arial"/>
                <w:sz w:val="14"/>
                <w:szCs w:val="14"/>
                <w:b w:val="1"/>
                <w:bCs w:val="1"/>
                <w:color w:val="auto"/>
              </w:rPr>
              <w:t>211,986</w:t>
            </w:r>
          </w:p>
        </w:tc>
        <w:tc>
          <w:tcPr>
            <w:tcW w:w="0" w:type="dxa"/>
            <w:vAlign w:val="bottom"/>
          </w:tcPr>
          <w:p>
            <w:pPr>
              <w:spacing w:after="0"/>
              <w:rPr>
                <w:sz w:val="1"/>
                <w:szCs w:val="1"/>
                <w:color w:val="auto"/>
              </w:rPr>
            </w:pPr>
          </w:p>
        </w:tc>
      </w:tr>
      <w:tr>
        <w:trPr>
          <w:trHeight w:val="278"/>
        </w:trPr>
        <w:tc>
          <w:tcPr>
            <w:tcW w:w="3600" w:type="dxa"/>
            <w:vAlign w:val="bottom"/>
            <w:vMerge w:val="restart"/>
          </w:tcPr>
          <w:p>
            <w:pPr>
              <w:ind w:left="120"/>
              <w:spacing w:after="0"/>
              <w:rPr>
                <w:sz w:val="20"/>
                <w:szCs w:val="20"/>
                <w:color w:val="auto"/>
              </w:rPr>
            </w:pPr>
            <w:r>
              <w:rPr>
                <w:rFonts w:ascii="Arial" w:cs="Arial" w:eastAsia="Arial" w:hAnsi="Arial"/>
                <w:sz w:val="16"/>
                <w:szCs w:val="16"/>
                <w:b w:val="1"/>
                <w:bCs w:val="1"/>
                <w:color w:val="auto"/>
              </w:rPr>
              <w:t>Patti H. Ongman</w:t>
            </w:r>
          </w:p>
        </w:tc>
        <w:tc>
          <w:tcPr>
            <w:tcW w:w="1620" w:type="dxa"/>
            <w:vAlign w:val="bottom"/>
          </w:tcPr>
          <w:p>
            <w:pPr>
              <w:jc w:val="right"/>
              <w:ind w:right="27"/>
              <w:spacing w:after="0"/>
              <w:rPr>
                <w:sz w:val="20"/>
                <w:szCs w:val="20"/>
                <w:color w:val="auto"/>
              </w:rPr>
            </w:pPr>
            <w:r>
              <w:rPr>
                <w:rFonts w:ascii="Arial" w:cs="Arial" w:eastAsia="Arial" w:hAnsi="Arial"/>
                <w:sz w:val="14"/>
                <w:szCs w:val="14"/>
                <w:color w:val="auto"/>
              </w:rPr>
              <w:t>85,000</w:t>
            </w:r>
          </w:p>
        </w:tc>
        <w:tc>
          <w:tcPr>
            <w:tcW w:w="1200" w:type="dxa"/>
            <w:vAlign w:val="bottom"/>
          </w:tcPr>
          <w:p>
            <w:pPr>
              <w:jc w:val="right"/>
              <w:spacing w:after="0"/>
              <w:rPr>
                <w:sz w:val="20"/>
                <w:szCs w:val="20"/>
                <w:color w:val="auto"/>
              </w:rPr>
            </w:pPr>
            <w:r>
              <w:rPr>
                <w:rFonts w:ascii="Arial" w:cs="Arial" w:eastAsia="Arial" w:hAnsi="Arial"/>
                <w:sz w:val="14"/>
                <w:szCs w:val="14"/>
                <w:color w:val="auto"/>
              </w:rPr>
              <w:t>129,986</w:t>
            </w:r>
          </w:p>
        </w:tc>
        <w:tc>
          <w:tcPr>
            <w:tcW w:w="220" w:type="dxa"/>
            <w:vAlign w:val="bottom"/>
          </w:tcPr>
          <w:p>
            <w:pPr>
              <w:jc w:val="right"/>
              <w:spacing w:after="0"/>
              <w:rPr>
                <w:sz w:val="20"/>
                <w:szCs w:val="20"/>
                <w:color w:val="auto"/>
              </w:rPr>
            </w:pPr>
            <w:r>
              <w:rPr>
                <w:rFonts w:ascii="Arial" w:cs="Arial" w:eastAsia="Arial" w:hAnsi="Arial"/>
                <w:sz w:val="13"/>
                <w:szCs w:val="13"/>
                <w:color w:val="auto"/>
                <w:w w:val="87"/>
              </w:rPr>
              <w:t>(3)</w:t>
            </w:r>
          </w:p>
        </w:tc>
        <w:tc>
          <w:tcPr>
            <w:tcW w:w="920" w:type="dxa"/>
            <w:vAlign w:val="bottom"/>
            <w:vMerge w:val="restart"/>
          </w:tcPr>
          <w:p>
            <w:pPr>
              <w:ind w:left="6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4"/>
                <w:szCs w:val="24"/>
                <w:color w:val="auto"/>
              </w:rPr>
            </w:pPr>
          </w:p>
        </w:tc>
        <w:tc>
          <w:tcPr>
            <w:tcW w:w="1240" w:type="dxa"/>
            <w:vAlign w:val="bottom"/>
            <w:vMerge w:val="restart"/>
          </w:tcPr>
          <w:p>
            <w:pPr>
              <w:ind w:left="98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214,986</w:t>
            </w:r>
          </w:p>
        </w:tc>
        <w:tc>
          <w:tcPr>
            <w:tcW w:w="0" w:type="dxa"/>
            <w:vAlign w:val="bottom"/>
          </w:tcPr>
          <w:p>
            <w:pPr>
              <w:spacing w:after="0"/>
              <w:rPr>
                <w:sz w:val="1"/>
                <w:szCs w:val="1"/>
                <w:color w:val="auto"/>
              </w:rPr>
            </w:pPr>
          </w:p>
        </w:tc>
      </w:tr>
      <w:tr>
        <w:trPr>
          <w:trHeight w:val="53"/>
        </w:trPr>
        <w:tc>
          <w:tcPr>
            <w:tcW w:w="3600" w:type="dxa"/>
            <w:vAlign w:val="bottom"/>
            <w:tcBorders>
              <w:bottom w:val="single" w:sz="8" w:color="4A7EBB"/>
            </w:tcBorders>
            <w:vMerge w:val="continue"/>
          </w:tcPr>
          <w:p>
            <w:pPr>
              <w:spacing w:after="0"/>
              <w:rPr>
                <w:sz w:val="4"/>
                <w:szCs w:val="4"/>
                <w:color w:val="auto"/>
              </w:rPr>
            </w:pPr>
          </w:p>
        </w:tc>
        <w:tc>
          <w:tcPr>
            <w:tcW w:w="1620" w:type="dxa"/>
            <w:vAlign w:val="bottom"/>
            <w:tcBorders>
              <w:bottom w:val="single" w:sz="8" w:color="4A7EBB"/>
            </w:tcBorders>
          </w:tcPr>
          <w:p>
            <w:pPr>
              <w:spacing w:after="0"/>
              <w:rPr>
                <w:sz w:val="4"/>
                <w:szCs w:val="4"/>
                <w:color w:val="auto"/>
              </w:rPr>
            </w:pPr>
          </w:p>
        </w:tc>
        <w:tc>
          <w:tcPr>
            <w:tcW w:w="1200" w:type="dxa"/>
            <w:vAlign w:val="bottom"/>
            <w:tcBorders>
              <w:bottom w:val="single" w:sz="8" w:color="4A7EBB"/>
            </w:tcBorders>
          </w:tcPr>
          <w:p>
            <w:pPr>
              <w:spacing w:after="0"/>
              <w:rPr>
                <w:sz w:val="4"/>
                <w:szCs w:val="4"/>
                <w:color w:val="auto"/>
              </w:rPr>
            </w:pPr>
          </w:p>
        </w:tc>
        <w:tc>
          <w:tcPr>
            <w:tcW w:w="220" w:type="dxa"/>
            <w:vAlign w:val="bottom"/>
            <w:tcBorders>
              <w:bottom w:val="single" w:sz="8" w:color="4A7EBB"/>
            </w:tcBorders>
          </w:tcPr>
          <w:p>
            <w:pPr>
              <w:spacing w:after="0"/>
              <w:rPr>
                <w:sz w:val="4"/>
                <w:szCs w:val="4"/>
                <w:color w:val="auto"/>
              </w:rPr>
            </w:pPr>
          </w:p>
        </w:tc>
        <w:tc>
          <w:tcPr>
            <w:tcW w:w="920" w:type="dxa"/>
            <w:vAlign w:val="bottom"/>
            <w:tcBorders>
              <w:bottom w:val="single" w:sz="8" w:color="4A7EBB"/>
            </w:tcBorders>
            <w:vMerge w:val="continue"/>
          </w:tcPr>
          <w:p>
            <w:pPr>
              <w:spacing w:after="0"/>
              <w:rPr>
                <w:sz w:val="4"/>
                <w:szCs w:val="4"/>
                <w:color w:val="auto"/>
              </w:rPr>
            </w:pPr>
          </w:p>
        </w:tc>
        <w:tc>
          <w:tcPr>
            <w:tcW w:w="340" w:type="dxa"/>
            <w:vAlign w:val="bottom"/>
            <w:tcBorders>
              <w:bottom w:val="single" w:sz="8" w:color="4A7EBB"/>
            </w:tcBorders>
          </w:tcPr>
          <w:p>
            <w:pPr>
              <w:spacing w:after="0"/>
              <w:rPr>
                <w:sz w:val="4"/>
                <w:szCs w:val="4"/>
                <w:color w:val="auto"/>
              </w:rPr>
            </w:pPr>
          </w:p>
        </w:tc>
        <w:tc>
          <w:tcPr>
            <w:tcW w:w="1240" w:type="dxa"/>
            <w:vAlign w:val="bottom"/>
            <w:tcBorders>
              <w:bottom w:val="single" w:sz="8" w:color="4A7EBB"/>
            </w:tcBorders>
            <w:vMerge w:val="continue"/>
          </w:tcPr>
          <w:p>
            <w:pPr>
              <w:spacing w:after="0"/>
              <w:rPr>
                <w:sz w:val="4"/>
                <w:szCs w:val="4"/>
                <w:color w:val="auto"/>
              </w:rPr>
            </w:pPr>
          </w:p>
        </w:tc>
        <w:tc>
          <w:tcPr>
            <w:tcW w:w="780" w:type="dxa"/>
            <w:vAlign w:val="bottom"/>
            <w:tcBorders>
              <w:bottom w:val="single" w:sz="8" w:color="4A7EBB"/>
            </w:tcBorders>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3600" w:type="dxa"/>
            <w:vAlign w:val="bottom"/>
            <w:tcBorders>
              <w:bottom w:val="single" w:sz="8" w:color="4A7EBB"/>
            </w:tcBorders>
            <w:shd w:val="clear" w:color="auto" w:fill="F2F2F2"/>
          </w:tcPr>
          <w:p>
            <w:pPr>
              <w:ind w:left="120"/>
              <w:spacing w:after="0"/>
              <w:rPr>
                <w:sz w:val="20"/>
                <w:szCs w:val="20"/>
                <w:color w:val="auto"/>
              </w:rPr>
            </w:pPr>
            <w:r>
              <w:rPr>
                <w:rFonts w:ascii="Arial" w:cs="Arial" w:eastAsia="Arial" w:hAnsi="Arial"/>
                <w:sz w:val="16"/>
                <w:szCs w:val="16"/>
                <w:b w:val="1"/>
                <w:bCs w:val="1"/>
                <w:color w:val="auto"/>
              </w:rPr>
              <w:t xml:space="preserve">Laura Pomerantz </w:t>
            </w:r>
            <w:r>
              <w:rPr>
                <w:rFonts w:ascii="Arial" w:cs="Arial" w:eastAsia="Arial" w:hAnsi="Arial"/>
                <w:sz w:val="24"/>
                <w:szCs w:val="24"/>
                <w:b w:val="1"/>
                <w:bCs w:val="1"/>
                <w:color w:val="auto"/>
                <w:vertAlign w:val="superscript"/>
              </w:rPr>
              <w:t>(5)</w:t>
            </w:r>
          </w:p>
        </w:tc>
        <w:tc>
          <w:tcPr>
            <w:tcW w:w="1620" w:type="dxa"/>
            <w:vAlign w:val="bottom"/>
            <w:tcBorders>
              <w:bottom w:val="single" w:sz="8" w:color="4A7EBB"/>
            </w:tcBorders>
            <w:shd w:val="clear" w:color="auto" w:fill="F2F2F2"/>
          </w:tcPr>
          <w:p>
            <w:pPr>
              <w:jc w:val="right"/>
              <w:ind w:right="27"/>
              <w:spacing w:after="0"/>
              <w:rPr>
                <w:sz w:val="20"/>
                <w:szCs w:val="20"/>
                <w:color w:val="auto"/>
              </w:rPr>
            </w:pPr>
            <w:r>
              <w:rPr>
                <w:rFonts w:ascii="Arial" w:cs="Arial" w:eastAsia="Arial" w:hAnsi="Arial"/>
                <w:sz w:val="14"/>
                <w:szCs w:val="14"/>
                <w:color w:val="auto"/>
              </w:rPr>
              <w:t>85,000</w:t>
            </w:r>
          </w:p>
        </w:tc>
        <w:tc>
          <w:tcPr>
            <w:tcW w:w="1200" w:type="dxa"/>
            <w:vAlign w:val="bottom"/>
            <w:tcBorders>
              <w:bottom w:val="single" w:sz="8" w:color="4A7EBB"/>
            </w:tcBorders>
            <w:shd w:val="clear" w:color="auto" w:fill="F2F2F2"/>
          </w:tcPr>
          <w:p>
            <w:pPr>
              <w:jc w:val="right"/>
              <w:spacing w:after="0"/>
              <w:rPr>
                <w:sz w:val="20"/>
                <w:szCs w:val="20"/>
                <w:color w:val="auto"/>
              </w:rPr>
            </w:pPr>
            <w:r>
              <w:rPr>
                <w:rFonts w:ascii="Arial" w:cs="Arial" w:eastAsia="Arial" w:hAnsi="Arial"/>
                <w:sz w:val="14"/>
                <w:szCs w:val="14"/>
                <w:color w:val="auto"/>
              </w:rPr>
              <w:t>129,986</w:t>
            </w:r>
          </w:p>
        </w:tc>
        <w:tc>
          <w:tcPr>
            <w:tcW w:w="220" w:type="dxa"/>
            <w:vAlign w:val="bottom"/>
            <w:tcBorders>
              <w:bottom w:val="single" w:sz="8" w:color="4A7EBB"/>
            </w:tcBorders>
            <w:shd w:val="clear" w:color="auto" w:fill="F2F2F2"/>
          </w:tcPr>
          <w:p>
            <w:pPr>
              <w:jc w:val="right"/>
              <w:spacing w:after="0"/>
              <w:rPr>
                <w:sz w:val="20"/>
                <w:szCs w:val="20"/>
                <w:color w:val="auto"/>
              </w:rPr>
            </w:pPr>
            <w:r>
              <w:rPr>
                <w:rFonts w:ascii="Arial" w:cs="Arial" w:eastAsia="Arial" w:hAnsi="Arial"/>
                <w:sz w:val="13"/>
                <w:szCs w:val="13"/>
                <w:color w:val="auto"/>
                <w:w w:val="87"/>
              </w:rPr>
              <w:t>(3)</w:t>
            </w:r>
          </w:p>
        </w:tc>
        <w:tc>
          <w:tcPr>
            <w:tcW w:w="920" w:type="dxa"/>
            <w:vAlign w:val="bottom"/>
            <w:tcBorders>
              <w:bottom w:val="single" w:sz="8" w:color="4A7EBB"/>
            </w:tcBorders>
            <w:shd w:val="clear" w:color="auto" w:fill="F2F2F2"/>
          </w:tcPr>
          <w:p>
            <w:pPr>
              <w:ind w:left="6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4A7EBB"/>
            </w:tcBorders>
            <w:shd w:val="clear" w:color="auto" w:fill="F2F2F2"/>
          </w:tcPr>
          <w:p>
            <w:pPr>
              <w:spacing w:after="0"/>
              <w:rPr>
                <w:sz w:val="24"/>
                <w:szCs w:val="24"/>
                <w:color w:val="auto"/>
              </w:rPr>
            </w:pPr>
          </w:p>
        </w:tc>
        <w:tc>
          <w:tcPr>
            <w:tcW w:w="1240" w:type="dxa"/>
            <w:vAlign w:val="bottom"/>
            <w:tcBorders>
              <w:bottom w:val="single" w:sz="8" w:color="4A7EBB"/>
            </w:tcBorders>
            <w:shd w:val="clear" w:color="auto" w:fill="F2F2F2"/>
          </w:tcPr>
          <w:p>
            <w:pPr>
              <w:ind w:left="98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4A7EBB"/>
            </w:tcBorders>
            <w:shd w:val="clear" w:color="auto" w:fill="F2F2F2"/>
          </w:tcPr>
          <w:p>
            <w:pPr>
              <w:jc w:val="right"/>
              <w:spacing w:after="0"/>
              <w:rPr>
                <w:sz w:val="20"/>
                <w:szCs w:val="20"/>
                <w:color w:val="auto"/>
              </w:rPr>
            </w:pPr>
            <w:r>
              <w:rPr>
                <w:rFonts w:ascii="Arial" w:cs="Arial" w:eastAsia="Arial" w:hAnsi="Arial"/>
                <w:sz w:val="14"/>
                <w:szCs w:val="14"/>
                <w:b w:val="1"/>
                <w:bCs w:val="1"/>
                <w:color w:val="auto"/>
              </w:rPr>
              <w:t>214,986</w:t>
            </w:r>
          </w:p>
        </w:tc>
        <w:tc>
          <w:tcPr>
            <w:tcW w:w="0" w:type="dxa"/>
            <w:vAlign w:val="bottom"/>
          </w:tcPr>
          <w:p>
            <w:pPr>
              <w:spacing w:after="0"/>
              <w:rPr>
                <w:sz w:val="1"/>
                <w:szCs w:val="1"/>
                <w:color w:val="auto"/>
              </w:rPr>
            </w:pPr>
          </w:p>
        </w:tc>
      </w:tr>
      <w:tr>
        <w:trPr>
          <w:trHeight w:val="278"/>
        </w:trPr>
        <w:tc>
          <w:tcPr>
            <w:tcW w:w="3600" w:type="dxa"/>
            <w:vAlign w:val="bottom"/>
            <w:vMerge w:val="restart"/>
          </w:tcPr>
          <w:p>
            <w:pPr>
              <w:ind w:left="120"/>
              <w:spacing w:after="0"/>
              <w:rPr>
                <w:sz w:val="20"/>
                <w:szCs w:val="20"/>
                <w:color w:val="auto"/>
              </w:rPr>
            </w:pPr>
            <w:r>
              <w:rPr>
                <w:rFonts w:ascii="Arial" w:cs="Arial" w:eastAsia="Arial" w:hAnsi="Arial"/>
                <w:sz w:val="16"/>
                <w:szCs w:val="16"/>
                <w:b w:val="1"/>
                <w:bCs w:val="1"/>
                <w:color w:val="auto"/>
              </w:rPr>
              <w:t>Michael Shaffer</w:t>
            </w:r>
          </w:p>
        </w:tc>
        <w:tc>
          <w:tcPr>
            <w:tcW w:w="1620" w:type="dxa"/>
            <w:vAlign w:val="bottom"/>
          </w:tcPr>
          <w:p>
            <w:pPr>
              <w:jc w:val="right"/>
              <w:ind w:right="27"/>
              <w:spacing w:after="0"/>
              <w:rPr>
                <w:sz w:val="20"/>
                <w:szCs w:val="20"/>
                <w:color w:val="auto"/>
              </w:rPr>
            </w:pPr>
            <w:r>
              <w:rPr>
                <w:rFonts w:ascii="Arial" w:cs="Arial" w:eastAsia="Arial" w:hAnsi="Arial"/>
                <w:sz w:val="14"/>
                <w:szCs w:val="14"/>
                <w:color w:val="auto"/>
              </w:rPr>
              <w:t>105,000</w:t>
            </w:r>
          </w:p>
        </w:tc>
        <w:tc>
          <w:tcPr>
            <w:tcW w:w="1200" w:type="dxa"/>
            <w:vAlign w:val="bottom"/>
          </w:tcPr>
          <w:p>
            <w:pPr>
              <w:jc w:val="right"/>
              <w:spacing w:after="0"/>
              <w:rPr>
                <w:sz w:val="20"/>
                <w:szCs w:val="20"/>
                <w:color w:val="auto"/>
              </w:rPr>
            </w:pPr>
            <w:r>
              <w:rPr>
                <w:rFonts w:ascii="Arial" w:cs="Arial" w:eastAsia="Arial" w:hAnsi="Arial"/>
                <w:sz w:val="14"/>
                <w:szCs w:val="14"/>
                <w:color w:val="auto"/>
              </w:rPr>
              <w:t>154,998</w:t>
            </w:r>
          </w:p>
        </w:tc>
        <w:tc>
          <w:tcPr>
            <w:tcW w:w="220" w:type="dxa"/>
            <w:vAlign w:val="bottom"/>
          </w:tcPr>
          <w:p>
            <w:pPr>
              <w:jc w:val="right"/>
              <w:spacing w:after="0"/>
              <w:rPr>
                <w:sz w:val="20"/>
                <w:szCs w:val="20"/>
                <w:color w:val="auto"/>
              </w:rPr>
            </w:pPr>
            <w:r>
              <w:rPr>
                <w:rFonts w:ascii="Arial" w:cs="Arial" w:eastAsia="Arial" w:hAnsi="Arial"/>
                <w:sz w:val="13"/>
                <w:szCs w:val="13"/>
                <w:color w:val="auto"/>
                <w:w w:val="87"/>
              </w:rPr>
              <w:t>(3)</w:t>
            </w:r>
          </w:p>
        </w:tc>
        <w:tc>
          <w:tcPr>
            <w:tcW w:w="920" w:type="dxa"/>
            <w:vAlign w:val="bottom"/>
            <w:vMerge w:val="restart"/>
          </w:tcPr>
          <w:p>
            <w:pPr>
              <w:ind w:left="6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4"/>
                <w:szCs w:val="24"/>
                <w:color w:val="auto"/>
              </w:rPr>
            </w:pPr>
          </w:p>
        </w:tc>
        <w:tc>
          <w:tcPr>
            <w:tcW w:w="1240" w:type="dxa"/>
            <w:vAlign w:val="bottom"/>
            <w:vMerge w:val="restart"/>
          </w:tcPr>
          <w:p>
            <w:pPr>
              <w:ind w:left="98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259,998</w:t>
            </w:r>
          </w:p>
        </w:tc>
        <w:tc>
          <w:tcPr>
            <w:tcW w:w="0" w:type="dxa"/>
            <w:vAlign w:val="bottom"/>
          </w:tcPr>
          <w:p>
            <w:pPr>
              <w:spacing w:after="0"/>
              <w:rPr>
                <w:sz w:val="1"/>
                <w:szCs w:val="1"/>
                <w:color w:val="auto"/>
              </w:rPr>
            </w:pPr>
          </w:p>
        </w:tc>
      </w:tr>
      <w:tr>
        <w:trPr>
          <w:trHeight w:val="53"/>
        </w:trPr>
        <w:tc>
          <w:tcPr>
            <w:tcW w:w="3600" w:type="dxa"/>
            <w:vAlign w:val="bottom"/>
            <w:tcBorders>
              <w:bottom w:val="single" w:sz="8" w:color="4A7EBB"/>
            </w:tcBorders>
            <w:vMerge w:val="continue"/>
          </w:tcPr>
          <w:p>
            <w:pPr>
              <w:spacing w:after="0"/>
              <w:rPr>
                <w:sz w:val="4"/>
                <w:szCs w:val="4"/>
                <w:color w:val="auto"/>
              </w:rPr>
            </w:pPr>
          </w:p>
        </w:tc>
        <w:tc>
          <w:tcPr>
            <w:tcW w:w="1620" w:type="dxa"/>
            <w:vAlign w:val="bottom"/>
            <w:tcBorders>
              <w:bottom w:val="single" w:sz="8" w:color="4A7EBB"/>
            </w:tcBorders>
          </w:tcPr>
          <w:p>
            <w:pPr>
              <w:spacing w:after="0"/>
              <w:rPr>
                <w:sz w:val="4"/>
                <w:szCs w:val="4"/>
                <w:color w:val="auto"/>
              </w:rPr>
            </w:pPr>
          </w:p>
        </w:tc>
        <w:tc>
          <w:tcPr>
            <w:tcW w:w="1200" w:type="dxa"/>
            <w:vAlign w:val="bottom"/>
            <w:tcBorders>
              <w:bottom w:val="single" w:sz="8" w:color="4A7EBB"/>
            </w:tcBorders>
          </w:tcPr>
          <w:p>
            <w:pPr>
              <w:spacing w:after="0"/>
              <w:rPr>
                <w:sz w:val="4"/>
                <w:szCs w:val="4"/>
                <w:color w:val="auto"/>
              </w:rPr>
            </w:pPr>
          </w:p>
        </w:tc>
        <w:tc>
          <w:tcPr>
            <w:tcW w:w="220" w:type="dxa"/>
            <w:vAlign w:val="bottom"/>
            <w:tcBorders>
              <w:bottom w:val="single" w:sz="8" w:color="4A7EBB"/>
            </w:tcBorders>
          </w:tcPr>
          <w:p>
            <w:pPr>
              <w:spacing w:after="0"/>
              <w:rPr>
                <w:sz w:val="4"/>
                <w:szCs w:val="4"/>
                <w:color w:val="auto"/>
              </w:rPr>
            </w:pPr>
          </w:p>
        </w:tc>
        <w:tc>
          <w:tcPr>
            <w:tcW w:w="920" w:type="dxa"/>
            <w:vAlign w:val="bottom"/>
            <w:tcBorders>
              <w:bottom w:val="single" w:sz="8" w:color="4A7EBB"/>
            </w:tcBorders>
            <w:vMerge w:val="continue"/>
          </w:tcPr>
          <w:p>
            <w:pPr>
              <w:spacing w:after="0"/>
              <w:rPr>
                <w:sz w:val="4"/>
                <w:szCs w:val="4"/>
                <w:color w:val="auto"/>
              </w:rPr>
            </w:pPr>
          </w:p>
        </w:tc>
        <w:tc>
          <w:tcPr>
            <w:tcW w:w="340" w:type="dxa"/>
            <w:vAlign w:val="bottom"/>
            <w:tcBorders>
              <w:bottom w:val="single" w:sz="8" w:color="4A7EBB"/>
            </w:tcBorders>
          </w:tcPr>
          <w:p>
            <w:pPr>
              <w:spacing w:after="0"/>
              <w:rPr>
                <w:sz w:val="4"/>
                <w:szCs w:val="4"/>
                <w:color w:val="auto"/>
              </w:rPr>
            </w:pPr>
          </w:p>
        </w:tc>
        <w:tc>
          <w:tcPr>
            <w:tcW w:w="1240" w:type="dxa"/>
            <w:vAlign w:val="bottom"/>
            <w:tcBorders>
              <w:bottom w:val="single" w:sz="8" w:color="4A7EBB"/>
            </w:tcBorders>
            <w:vMerge w:val="continue"/>
          </w:tcPr>
          <w:p>
            <w:pPr>
              <w:spacing w:after="0"/>
              <w:rPr>
                <w:sz w:val="4"/>
                <w:szCs w:val="4"/>
                <w:color w:val="auto"/>
              </w:rPr>
            </w:pPr>
          </w:p>
        </w:tc>
        <w:tc>
          <w:tcPr>
            <w:tcW w:w="780" w:type="dxa"/>
            <w:vAlign w:val="bottom"/>
            <w:tcBorders>
              <w:bottom w:val="single" w:sz="8" w:color="4A7EBB"/>
            </w:tcBorders>
          </w:tcPr>
          <w:p>
            <w:pPr>
              <w:spacing w:after="0"/>
              <w:rPr>
                <w:sz w:val="4"/>
                <w:szCs w:val="4"/>
                <w:color w:val="auto"/>
              </w:rPr>
            </w:pPr>
          </w:p>
        </w:tc>
        <w:tc>
          <w:tcPr>
            <w:tcW w:w="0" w:type="dxa"/>
            <w:vAlign w:val="bottom"/>
          </w:tcPr>
          <w:p>
            <w:pPr>
              <w:spacing w:after="0"/>
              <w:rPr>
                <w:sz w:val="1"/>
                <w:szCs w:val="1"/>
                <w:color w:val="auto"/>
              </w:rPr>
            </w:pPr>
          </w:p>
        </w:tc>
      </w:tr>
      <w:tr>
        <w:trPr>
          <w:trHeight w:val="336"/>
        </w:trPr>
        <w:tc>
          <w:tcPr>
            <w:tcW w:w="3600" w:type="dxa"/>
            <w:vAlign w:val="bottom"/>
            <w:tcBorders>
              <w:bottom w:val="single" w:sz="8" w:color="F2F2F2"/>
            </w:tcBorders>
            <w:shd w:val="clear" w:color="auto" w:fill="F2F2F2"/>
          </w:tcPr>
          <w:p>
            <w:pPr>
              <w:ind w:left="120"/>
              <w:spacing w:after="0"/>
              <w:rPr>
                <w:sz w:val="20"/>
                <w:szCs w:val="20"/>
                <w:color w:val="auto"/>
              </w:rPr>
            </w:pPr>
            <w:r>
              <w:rPr>
                <w:rFonts w:ascii="Arial" w:cs="Arial" w:eastAsia="Arial" w:hAnsi="Arial"/>
                <w:sz w:val="16"/>
                <w:szCs w:val="16"/>
                <w:b w:val="1"/>
                <w:bCs w:val="1"/>
                <w:color w:val="auto"/>
              </w:rPr>
              <w:t>Cheryl Vitali</w:t>
            </w:r>
          </w:p>
        </w:tc>
        <w:tc>
          <w:tcPr>
            <w:tcW w:w="1620" w:type="dxa"/>
            <w:vAlign w:val="bottom"/>
            <w:tcBorders>
              <w:bottom w:val="single" w:sz="8" w:color="F2F2F2"/>
            </w:tcBorders>
            <w:shd w:val="clear" w:color="auto" w:fill="F2F2F2"/>
          </w:tcPr>
          <w:p>
            <w:pPr>
              <w:jc w:val="right"/>
              <w:ind w:right="27"/>
              <w:spacing w:after="0"/>
              <w:rPr>
                <w:sz w:val="20"/>
                <w:szCs w:val="20"/>
                <w:color w:val="auto"/>
              </w:rPr>
            </w:pPr>
            <w:r>
              <w:rPr>
                <w:rFonts w:ascii="Arial" w:cs="Arial" w:eastAsia="Arial" w:hAnsi="Arial"/>
                <w:sz w:val="14"/>
                <w:szCs w:val="14"/>
                <w:color w:val="auto"/>
              </w:rPr>
              <w:t>82,000</w:t>
            </w:r>
          </w:p>
        </w:tc>
        <w:tc>
          <w:tcPr>
            <w:tcW w:w="120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129,986</w:t>
            </w:r>
          </w:p>
        </w:tc>
        <w:tc>
          <w:tcPr>
            <w:tcW w:w="22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3"/>
                <w:szCs w:val="13"/>
                <w:color w:val="auto"/>
                <w:w w:val="87"/>
              </w:rPr>
              <w:t>(3)</w:t>
            </w:r>
          </w:p>
        </w:tc>
        <w:tc>
          <w:tcPr>
            <w:tcW w:w="920" w:type="dxa"/>
            <w:vAlign w:val="bottom"/>
            <w:tcBorders>
              <w:bottom w:val="single" w:sz="8" w:color="F2F2F2"/>
            </w:tcBorders>
            <w:shd w:val="clear" w:color="auto" w:fill="F2F2F2"/>
          </w:tcPr>
          <w:p>
            <w:pPr>
              <w:ind w:left="6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F2F2F2"/>
            </w:tcBorders>
            <w:shd w:val="clear" w:color="auto" w:fill="F2F2F2"/>
          </w:tcPr>
          <w:p>
            <w:pPr>
              <w:spacing w:after="0"/>
              <w:rPr>
                <w:sz w:val="24"/>
                <w:szCs w:val="24"/>
                <w:color w:val="auto"/>
              </w:rPr>
            </w:pPr>
          </w:p>
        </w:tc>
        <w:tc>
          <w:tcPr>
            <w:tcW w:w="1240" w:type="dxa"/>
            <w:vAlign w:val="bottom"/>
            <w:tcBorders>
              <w:bottom w:val="single" w:sz="8" w:color="F2F2F2"/>
            </w:tcBorders>
            <w:shd w:val="clear" w:color="auto" w:fill="F2F2F2"/>
          </w:tcPr>
          <w:p>
            <w:pPr>
              <w:ind w:left="98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b w:val="1"/>
                <w:bCs w:val="1"/>
                <w:color w:val="auto"/>
              </w:rPr>
              <w:t>211,986</w:t>
            </w:r>
          </w:p>
        </w:tc>
        <w:tc>
          <w:tcPr>
            <w:tcW w:w="0" w:type="dxa"/>
            <w:vAlign w:val="bottom"/>
          </w:tcPr>
          <w:p>
            <w:pPr>
              <w:spacing w:after="0"/>
              <w:rPr>
                <w:sz w:val="1"/>
                <w:szCs w:val="1"/>
                <w:color w:val="auto"/>
              </w:rPr>
            </w:pPr>
          </w:p>
        </w:tc>
      </w:tr>
      <w:tr>
        <w:trPr>
          <w:trHeight w:val="278"/>
        </w:trPr>
        <w:tc>
          <w:tcPr>
            <w:tcW w:w="3600" w:type="dxa"/>
            <w:vAlign w:val="bottom"/>
            <w:tcBorders>
              <w:top w:val="single" w:sz="8" w:color="4A7EBB"/>
            </w:tcBorders>
            <w:vMerge w:val="restart"/>
          </w:tcPr>
          <w:p>
            <w:pPr>
              <w:ind w:left="120"/>
              <w:spacing w:after="0"/>
              <w:rPr>
                <w:sz w:val="20"/>
                <w:szCs w:val="20"/>
                <w:color w:val="auto"/>
              </w:rPr>
            </w:pPr>
            <w:r>
              <w:rPr>
                <w:rFonts w:ascii="Arial" w:cs="Arial" w:eastAsia="Arial" w:hAnsi="Arial"/>
                <w:sz w:val="16"/>
                <w:szCs w:val="16"/>
                <w:b w:val="1"/>
                <w:bCs w:val="1"/>
                <w:color w:val="auto"/>
              </w:rPr>
              <w:t>Richard White</w:t>
            </w:r>
          </w:p>
        </w:tc>
        <w:tc>
          <w:tcPr>
            <w:tcW w:w="1620" w:type="dxa"/>
            <w:vAlign w:val="bottom"/>
            <w:tcBorders>
              <w:top w:val="single" w:sz="8" w:color="4A7EBB"/>
            </w:tcBorders>
          </w:tcPr>
          <w:p>
            <w:pPr>
              <w:jc w:val="right"/>
              <w:ind w:right="27"/>
              <w:spacing w:after="0"/>
              <w:rPr>
                <w:sz w:val="20"/>
                <w:szCs w:val="20"/>
                <w:color w:val="auto"/>
              </w:rPr>
            </w:pPr>
            <w:r>
              <w:rPr>
                <w:rFonts w:ascii="Arial" w:cs="Arial" w:eastAsia="Arial" w:hAnsi="Arial"/>
                <w:sz w:val="14"/>
                <w:szCs w:val="14"/>
                <w:color w:val="auto"/>
              </w:rPr>
              <w:t>152,000</w:t>
            </w:r>
          </w:p>
        </w:tc>
        <w:tc>
          <w:tcPr>
            <w:tcW w:w="1200" w:type="dxa"/>
            <w:vAlign w:val="bottom"/>
            <w:tcBorders>
              <w:top w:val="single" w:sz="8" w:color="4A7EBB"/>
            </w:tcBorders>
          </w:tcPr>
          <w:p>
            <w:pPr>
              <w:jc w:val="right"/>
              <w:spacing w:after="0"/>
              <w:rPr>
                <w:sz w:val="20"/>
                <w:szCs w:val="20"/>
                <w:color w:val="auto"/>
              </w:rPr>
            </w:pPr>
            <w:r>
              <w:rPr>
                <w:rFonts w:ascii="Arial" w:cs="Arial" w:eastAsia="Arial" w:hAnsi="Arial"/>
                <w:sz w:val="14"/>
                <w:szCs w:val="14"/>
                <w:color w:val="auto"/>
              </w:rPr>
              <w:t>179,988</w:t>
            </w:r>
          </w:p>
        </w:tc>
        <w:tc>
          <w:tcPr>
            <w:tcW w:w="220" w:type="dxa"/>
            <w:vAlign w:val="bottom"/>
            <w:tcBorders>
              <w:top w:val="single" w:sz="8" w:color="4A7EBB"/>
            </w:tcBorders>
          </w:tcPr>
          <w:p>
            <w:pPr>
              <w:jc w:val="right"/>
              <w:spacing w:after="0"/>
              <w:rPr>
                <w:sz w:val="20"/>
                <w:szCs w:val="20"/>
                <w:color w:val="auto"/>
              </w:rPr>
            </w:pPr>
            <w:r>
              <w:rPr>
                <w:rFonts w:ascii="Arial" w:cs="Arial" w:eastAsia="Arial" w:hAnsi="Arial"/>
                <w:sz w:val="13"/>
                <w:szCs w:val="13"/>
                <w:color w:val="auto"/>
                <w:w w:val="87"/>
              </w:rPr>
              <w:t>(3)</w:t>
            </w:r>
          </w:p>
        </w:tc>
        <w:tc>
          <w:tcPr>
            <w:tcW w:w="920" w:type="dxa"/>
            <w:vAlign w:val="bottom"/>
            <w:tcBorders>
              <w:top w:val="single" w:sz="8" w:color="4A7EBB"/>
            </w:tcBorders>
            <w:vMerge w:val="restart"/>
          </w:tcPr>
          <w:p>
            <w:pPr>
              <w:ind w:left="660"/>
              <w:spacing w:after="0"/>
              <w:rPr>
                <w:sz w:val="20"/>
                <w:szCs w:val="20"/>
                <w:color w:val="auto"/>
              </w:rPr>
            </w:pPr>
            <w:r>
              <w:rPr>
                <w:rFonts w:ascii="Arial" w:cs="Arial" w:eastAsia="Arial" w:hAnsi="Arial"/>
                <w:sz w:val="16"/>
                <w:szCs w:val="16"/>
                <w:color w:val="auto"/>
              </w:rPr>
              <w:t>—</w:t>
            </w:r>
          </w:p>
        </w:tc>
        <w:tc>
          <w:tcPr>
            <w:tcW w:w="340" w:type="dxa"/>
            <w:vAlign w:val="bottom"/>
            <w:tcBorders>
              <w:top w:val="single" w:sz="8" w:color="4A7EBB"/>
            </w:tcBorders>
          </w:tcPr>
          <w:p>
            <w:pPr>
              <w:spacing w:after="0"/>
              <w:rPr>
                <w:sz w:val="24"/>
                <w:szCs w:val="24"/>
                <w:color w:val="auto"/>
              </w:rPr>
            </w:pPr>
          </w:p>
        </w:tc>
        <w:tc>
          <w:tcPr>
            <w:tcW w:w="1240" w:type="dxa"/>
            <w:vAlign w:val="bottom"/>
            <w:tcBorders>
              <w:top w:val="single" w:sz="8" w:color="4A7EBB"/>
            </w:tcBorders>
            <w:vMerge w:val="restart"/>
          </w:tcPr>
          <w:p>
            <w:pPr>
              <w:ind w:left="980"/>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4A7EBB"/>
            </w:tcBorders>
          </w:tcPr>
          <w:p>
            <w:pPr>
              <w:jc w:val="right"/>
              <w:spacing w:after="0"/>
              <w:rPr>
                <w:sz w:val="20"/>
                <w:szCs w:val="20"/>
                <w:color w:val="auto"/>
              </w:rPr>
            </w:pPr>
            <w:r>
              <w:rPr>
                <w:rFonts w:ascii="Arial" w:cs="Arial" w:eastAsia="Arial" w:hAnsi="Arial"/>
                <w:sz w:val="14"/>
                <w:szCs w:val="14"/>
                <w:b w:val="1"/>
                <w:bCs w:val="1"/>
                <w:color w:val="auto"/>
              </w:rPr>
              <w:t>331,988</w:t>
            </w:r>
          </w:p>
        </w:tc>
        <w:tc>
          <w:tcPr>
            <w:tcW w:w="0" w:type="dxa"/>
            <w:vAlign w:val="bottom"/>
          </w:tcPr>
          <w:p>
            <w:pPr>
              <w:spacing w:after="0"/>
              <w:rPr>
                <w:sz w:val="1"/>
                <w:szCs w:val="1"/>
                <w:color w:val="auto"/>
              </w:rPr>
            </w:pPr>
          </w:p>
        </w:tc>
      </w:tr>
      <w:tr>
        <w:trPr>
          <w:trHeight w:val="53"/>
        </w:trPr>
        <w:tc>
          <w:tcPr>
            <w:tcW w:w="3600" w:type="dxa"/>
            <w:vAlign w:val="bottom"/>
            <w:tcBorders>
              <w:bottom w:val="single" w:sz="8" w:color="4A7EBB"/>
            </w:tcBorders>
            <w:vMerge w:val="continue"/>
          </w:tcPr>
          <w:p>
            <w:pPr>
              <w:spacing w:after="0"/>
              <w:rPr>
                <w:sz w:val="4"/>
                <w:szCs w:val="4"/>
                <w:color w:val="auto"/>
              </w:rPr>
            </w:pPr>
          </w:p>
        </w:tc>
        <w:tc>
          <w:tcPr>
            <w:tcW w:w="1620" w:type="dxa"/>
            <w:vAlign w:val="bottom"/>
            <w:tcBorders>
              <w:bottom w:val="single" w:sz="8" w:color="4A7EBB"/>
            </w:tcBorders>
          </w:tcPr>
          <w:p>
            <w:pPr>
              <w:spacing w:after="0"/>
              <w:rPr>
                <w:sz w:val="4"/>
                <w:szCs w:val="4"/>
                <w:color w:val="auto"/>
              </w:rPr>
            </w:pPr>
          </w:p>
        </w:tc>
        <w:tc>
          <w:tcPr>
            <w:tcW w:w="1200" w:type="dxa"/>
            <w:vAlign w:val="bottom"/>
            <w:tcBorders>
              <w:bottom w:val="single" w:sz="8" w:color="4A7EBB"/>
            </w:tcBorders>
          </w:tcPr>
          <w:p>
            <w:pPr>
              <w:spacing w:after="0"/>
              <w:rPr>
                <w:sz w:val="4"/>
                <w:szCs w:val="4"/>
                <w:color w:val="auto"/>
              </w:rPr>
            </w:pPr>
          </w:p>
        </w:tc>
        <w:tc>
          <w:tcPr>
            <w:tcW w:w="220" w:type="dxa"/>
            <w:vAlign w:val="bottom"/>
            <w:tcBorders>
              <w:bottom w:val="single" w:sz="8" w:color="4A7EBB"/>
            </w:tcBorders>
          </w:tcPr>
          <w:p>
            <w:pPr>
              <w:spacing w:after="0"/>
              <w:rPr>
                <w:sz w:val="4"/>
                <w:szCs w:val="4"/>
                <w:color w:val="auto"/>
              </w:rPr>
            </w:pPr>
          </w:p>
        </w:tc>
        <w:tc>
          <w:tcPr>
            <w:tcW w:w="920" w:type="dxa"/>
            <w:vAlign w:val="bottom"/>
            <w:tcBorders>
              <w:bottom w:val="single" w:sz="8" w:color="4A7EBB"/>
            </w:tcBorders>
            <w:vMerge w:val="continue"/>
          </w:tcPr>
          <w:p>
            <w:pPr>
              <w:spacing w:after="0"/>
              <w:rPr>
                <w:sz w:val="4"/>
                <w:szCs w:val="4"/>
                <w:color w:val="auto"/>
              </w:rPr>
            </w:pPr>
          </w:p>
        </w:tc>
        <w:tc>
          <w:tcPr>
            <w:tcW w:w="340" w:type="dxa"/>
            <w:vAlign w:val="bottom"/>
            <w:tcBorders>
              <w:bottom w:val="single" w:sz="8" w:color="4A7EBB"/>
            </w:tcBorders>
          </w:tcPr>
          <w:p>
            <w:pPr>
              <w:spacing w:after="0"/>
              <w:rPr>
                <w:sz w:val="4"/>
                <w:szCs w:val="4"/>
                <w:color w:val="auto"/>
              </w:rPr>
            </w:pPr>
          </w:p>
        </w:tc>
        <w:tc>
          <w:tcPr>
            <w:tcW w:w="1240" w:type="dxa"/>
            <w:vAlign w:val="bottom"/>
            <w:tcBorders>
              <w:bottom w:val="single" w:sz="8" w:color="4A7EBB"/>
            </w:tcBorders>
            <w:vMerge w:val="continue"/>
          </w:tcPr>
          <w:p>
            <w:pPr>
              <w:spacing w:after="0"/>
              <w:rPr>
                <w:sz w:val="4"/>
                <w:szCs w:val="4"/>
                <w:color w:val="auto"/>
              </w:rPr>
            </w:pPr>
          </w:p>
        </w:tc>
        <w:tc>
          <w:tcPr>
            <w:tcW w:w="780" w:type="dxa"/>
            <w:vAlign w:val="bottom"/>
            <w:tcBorders>
              <w:bottom w:val="single" w:sz="8" w:color="4A7EBB"/>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3600" w:type="dxa"/>
            <w:vAlign w:val="bottom"/>
            <w:tcBorders>
              <w:bottom w:val="single" w:sz="8" w:color="F2F2F2"/>
            </w:tcBorders>
            <w:shd w:val="clear" w:color="auto" w:fill="F2F2F2"/>
          </w:tcPr>
          <w:p>
            <w:pPr>
              <w:ind w:left="120"/>
              <w:spacing w:after="0"/>
              <w:rPr>
                <w:sz w:val="20"/>
                <w:szCs w:val="20"/>
                <w:color w:val="auto"/>
              </w:rPr>
            </w:pPr>
            <w:r>
              <w:rPr>
                <w:rFonts w:ascii="Arial" w:cs="Arial" w:eastAsia="Arial" w:hAnsi="Arial"/>
                <w:sz w:val="16"/>
                <w:szCs w:val="16"/>
                <w:b w:val="1"/>
                <w:bCs w:val="1"/>
                <w:color w:val="auto"/>
              </w:rPr>
              <w:t>Andrew Yaeger</w:t>
            </w:r>
          </w:p>
        </w:tc>
        <w:tc>
          <w:tcPr>
            <w:tcW w:w="1620" w:type="dxa"/>
            <w:vAlign w:val="bottom"/>
            <w:tcBorders>
              <w:bottom w:val="single" w:sz="8" w:color="F2F2F2"/>
            </w:tcBorders>
            <w:shd w:val="clear" w:color="auto" w:fill="F2F2F2"/>
          </w:tcPr>
          <w:p>
            <w:pPr>
              <w:jc w:val="right"/>
              <w:ind w:right="27"/>
              <w:spacing w:after="0"/>
              <w:rPr>
                <w:sz w:val="20"/>
                <w:szCs w:val="20"/>
                <w:color w:val="auto"/>
              </w:rPr>
            </w:pPr>
            <w:r>
              <w:rPr>
                <w:rFonts w:ascii="Arial" w:cs="Arial" w:eastAsia="Arial" w:hAnsi="Arial"/>
                <w:sz w:val="14"/>
                <w:szCs w:val="14"/>
                <w:color w:val="auto"/>
              </w:rPr>
              <w:t>85,000</w:t>
            </w:r>
          </w:p>
        </w:tc>
        <w:tc>
          <w:tcPr>
            <w:tcW w:w="120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129,986</w:t>
            </w:r>
          </w:p>
        </w:tc>
        <w:tc>
          <w:tcPr>
            <w:tcW w:w="22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3"/>
                <w:szCs w:val="13"/>
                <w:color w:val="auto"/>
                <w:w w:val="87"/>
              </w:rPr>
              <w:t>(3)</w:t>
            </w:r>
          </w:p>
        </w:tc>
        <w:tc>
          <w:tcPr>
            <w:tcW w:w="920" w:type="dxa"/>
            <w:vAlign w:val="bottom"/>
            <w:tcBorders>
              <w:bottom w:val="single" w:sz="8" w:color="F2F2F2"/>
            </w:tcBorders>
            <w:shd w:val="clear" w:color="auto" w:fill="F2F2F2"/>
          </w:tcPr>
          <w:p>
            <w:pPr>
              <w:ind w:left="6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F2F2F2"/>
            </w:tcBorders>
            <w:shd w:val="clear" w:color="auto" w:fill="F2F2F2"/>
          </w:tcPr>
          <w:p>
            <w:pPr>
              <w:spacing w:after="0"/>
              <w:rPr>
                <w:sz w:val="24"/>
                <w:szCs w:val="24"/>
                <w:color w:val="auto"/>
              </w:rPr>
            </w:pPr>
          </w:p>
        </w:tc>
        <w:tc>
          <w:tcPr>
            <w:tcW w:w="1240" w:type="dxa"/>
            <w:vAlign w:val="bottom"/>
            <w:tcBorders>
              <w:bottom w:val="single" w:sz="8" w:color="F2F2F2"/>
            </w:tcBorders>
            <w:shd w:val="clear" w:color="auto" w:fill="F2F2F2"/>
          </w:tcPr>
          <w:p>
            <w:pPr>
              <w:ind w:left="98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b w:val="1"/>
                <w:bCs w:val="1"/>
                <w:color w:val="auto"/>
              </w:rPr>
              <w:t>214,986</w:t>
            </w:r>
          </w:p>
        </w:tc>
        <w:tc>
          <w:tcPr>
            <w:tcW w:w="0" w:type="dxa"/>
            <w:vAlign w:val="bottom"/>
          </w:tcPr>
          <w:p>
            <w:pPr>
              <w:spacing w:after="0"/>
              <w:rPr>
                <w:sz w:val="1"/>
                <w:szCs w:val="1"/>
                <w:color w:val="auto"/>
              </w:rPr>
            </w:pPr>
          </w:p>
        </w:tc>
      </w:tr>
      <w:tr>
        <w:trPr>
          <w:trHeight w:val="20"/>
        </w:trPr>
        <w:tc>
          <w:tcPr>
            <w:tcW w:w="3600" w:type="dxa"/>
            <w:vAlign w:val="bottom"/>
            <w:shd w:val="clear" w:color="auto" w:fill="4A7EBB"/>
          </w:tcPr>
          <w:p>
            <w:pPr>
              <w:spacing w:after="0" w:line="20" w:lineRule="exact"/>
              <w:rPr>
                <w:sz w:val="1"/>
                <w:szCs w:val="1"/>
                <w:color w:val="auto"/>
              </w:rPr>
            </w:pPr>
          </w:p>
        </w:tc>
        <w:tc>
          <w:tcPr>
            <w:tcW w:w="1620" w:type="dxa"/>
            <w:vAlign w:val="bottom"/>
            <w:shd w:val="clear" w:color="auto" w:fill="4A7EBB"/>
          </w:tcPr>
          <w:p>
            <w:pPr>
              <w:spacing w:after="0" w:line="20" w:lineRule="exact"/>
              <w:rPr>
                <w:sz w:val="1"/>
                <w:szCs w:val="1"/>
                <w:color w:val="auto"/>
              </w:rPr>
            </w:pPr>
          </w:p>
        </w:tc>
        <w:tc>
          <w:tcPr>
            <w:tcW w:w="1200" w:type="dxa"/>
            <w:vAlign w:val="bottom"/>
            <w:shd w:val="clear" w:color="auto" w:fill="4A7EBB"/>
          </w:tcPr>
          <w:p>
            <w:pPr>
              <w:spacing w:after="0" w:line="20" w:lineRule="exact"/>
              <w:rPr>
                <w:sz w:val="1"/>
                <w:szCs w:val="1"/>
                <w:color w:val="auto"/>
              </w:rPr>
            </w:pPr>
          </w:p>
        </w:tc>
        <w:tc>
          <w:tcPr>
            <w:tcW w:w="220" w:type="dxa"/>
            <w:vAlign w:val="bottom"/>
            <w:shd w:val="clear" w:color="auto" w:fill="4A7EBB"/>
          </w:tcPr>
          <w:p>
            <w:pPr>
              <w:spacing w:after="0" w:line="20" w:lineRule="exact"/>
              <w:rPr>
                <w:sz w:val="1"/>
                <w:szCs w:val="1"/>
                <w:color w:val="auto"/>
              </w:rPr>
            </w:pPr>
          </w:p>
        </w:tc>
        <w:tc>
          <w:tcPr>
            <w:tcW w:w="920" w:type="dxa"/>
            <w:vAlign w:val="bottom"/>
            <w:shd w:val="clear" w:color="auto" w:fill="4A7EBB"/>
          </w:tcPr>
          <w:p>
            <w:pPr>
              <w:spacing w:after="0" w:line="20" w:lineRule="exact"/>
              <w:rPr>
                <w:sz w:val="1"/>
                <w:szCs w:val="1"/>
                <w:color w:val="auto"/>
              </w:rPr>
            </w:pPr>
          </w:p>
        </w:tc>
        <w:tc>
          <w:tcPr>
            <w:tcW w:w="340" w:type="dxa"/>
            <w:vAlign w:val="bottom"/>
            <w:shd w:val="clear" w:color="auto" w:fill="4A7EBB"/>
          </w:tcPr>
          <w:p>
            <w:pPr>
              <w:spacing w:after="0" w:line="20" w:lineRule="exact"/>
              <w:rPr>
                <w:sz w:val="1"/>
                <w:szCs w:val="1"/>
                <w:color w:val="auto"/>
              </w:rPr>
            </w:pPr>
          </w:p>
        </w:tc>
        <w:tc>
          <w:tcPr>
            <w:tcW w:w="1240" w:type="dxa"/>
            <w:vAlign w:val="bottom"/>
            <w:shd w:val="clear" w:color="auto" w:fill="4A7EBB"/>
          </w:tcPr>
          <w:p>
            <w:pPr>
              <w:spacing w:after="0" w:line="20" w:lineRule="exact"/>
              <w:rPr>
                <w:sz w:val="1"/>
                <w:szCs w:val="1"/>
                <w:color w:val="auto"/>
              </w:rPr>
            </w:pPr>
          </w:p>
        </w:tc>
        <w:tc>
          <w:tcPr>
            <w:tcW w:w="780" w:type="dxa"/>
            <w:vAlign w:val="bottom"/>
            <w:shd w:val="clear" w:color="auto" w:fill="4A7EB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5895340</wp:posOffset>
            </wp:positionH>
            <wp:positionV relativeFrom="paragraph">
              <wp:posOffset>-2237105</wp:posOffset>
            </wp:positionV>
            <wp:extent cx="8890" cy="223774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8890" cy="2237740"/>
                    </a:xfrm>
                    <a:prstGeom prst="rect">
                      <a:avLst/>
                    </a:prstGeom>
                    <a:noFill/>
                  </pic:spPr>
                </pic:pic>
              </a:graphicData>
            </a:graphic>
          </wp:anchor>
        </w:drawing>
        <w:drawing>
          <wp:anchor simplePos="0" relativeHeight="251657728" behindDoc="1" locked="0" layoutInCell="0" allowOverlap="1">
            <wp:simplePos x="0" y="0"/>
            <wp:positionH relativeFrom="column">
              <wp:posOffset>5835015</wp:posOffset>
            </wp:positionH>
            <wp:positionV relativeFrom="paragraph">
              <wp:posOffset>-2237105</wp:posOffset>
            </wp:positionV>
            <wp:extent cx="8255" cy="223774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8255" cy="2237740"/>
                    </a:xfrm>
                    <a:prstGeom prst="rect">
                      <a:avLst/>
                    </a:prstGeom>
                    <a:noFill/>
                  </pic:spPr>
                </pic:pic>
              </a:graphicData>
            </a:graphic>
          </wp:anchor>
        </w:drawing>
        <w:drawing>
          <wp:anchor simplePos="0" relativeHeight="251657728" behindDoc="1" locked="0" layoutInCell="0" allowOverlap="1">
            <wp:simplePos x="0" y="0"/>
            <wp:positionH relativeFrom="column">
              <wp:posOffset>4832350</wp:posOffset>
            </wp:positionH>
            <wp:positionV relativeFrom="paragraph">
              <wp:posOffset>-2237105</wp:posOffset>
            </wp:positionV>
            <wp:extent cx="8890" cy="223774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890" cy="2237740"/>
                    </a:xfrm>
                    <a:prstGeom prst="rect">
                      <a:avLst/>
                    </a:prstGeom>
                    <a:noFill/>
                  </pic:spPr>
                </pic:pic>
              </a:graphicData>
            </a:graphic>
          </wp:anchor>
        </w:drawing>
        <w:drawing>
          <wp:anchor simplePos="0" relativeHeight="251657728" behindDoc="1" locked="0" layoutInCell="0" allowOverlap="1">
            <wp:simplePos x="0" y="0"/>
            <wp:positionH relativeFrom="column">
              <wp:posOffset>4180840</wp:posOffset>
            </wp:positionH>
            <wp:positionV relativeFrom="paragraph">
              <wp:posOffset>-2237105</wp:posOffset>
            </wp:positionV>
            <wp:extent cx="8890" cy="223774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8890" cy="2237740"/>
                    </a:xfrm>
                    <a:prstGeom prst="rect">
                      <a:avLst/>
                    </a:prstGeom>
                    <a:noFill/>
                  </pic:spPr>
                </pic:pic>
              </a:graphicData>
            </a:graphic>
          </wp:anchor>
        </w:drawing>
        <w:drawing>
          <wp:anchor simplePos="0" relativeHeight="251657728" behindDoc="1" locked="0" layoutInCell="0" allowOverlap="1">
            <wp:simplePos x="0" y="0"/>
            <wp:positionH relativeFrom="column">
              <wp:posOffset>3409315</wp:posOffset>
            </wp:positionH>
            <wp:positionV relativeFrom="paragraph">
              <wp:posOffset>-2237105</wp:posOffset>
            </wp:positionV>
            <wp:extent cx="8890" cy="223774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8890" cy="2237740"/>
                    </a:xfrm>
                    <a:prstGeom prst="rect">
                      <a:avLst/>
                    </a:prstGeom>
                    <a:noFill/>
                  </pic:spPr>
                </pic:pic>
              </a:graphicData>
            </a:graphic>
          </wp:anchor>
        </w:drawing>
        <w:drawing>
          <wp:anchor simplePos="0" relativeHeight="251657728" behindDoc="1" locked="0" layoutInCell="0" allowOverlap="1">
            <wp:simplePos x="0" y="0"/>
            <wp:positionH relativeFrom="column">
              <wp:posOffset>3348990</wp:posOffset>
            </wp:positionH>
            <wp:positionV relativeFrom="paragraph">
              <wp:posOffset>-2237105</wp:posOffset>
            </wp:positionV>
            <wp:extent cx="8255" cy="223774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8255" cy="2237740"/>
                    </a:xfrm>
                    <a:prstGeom prst="rect">
                      <a:avLst/>
                    </a:prstGeom>
                    <a:noFill/>
                  </pic:spPr>
                </pic:pic>
              </a:graphicData>
            </a:graphic>
          </wp:anchor>
        </w:drawing>
        <w:drawing>
          <wp:anchor simplePos="0" relativeHeight="251657728" behindDoc="1" locked="0" layoutInCell="0" allowOverlap="1">
            <wp:simplePos x="0" y="0"/>
            <wp:positionH relativeFrom="column">
              <wp:posOffset>3289300</wp:posOffset>
            </wp:positionH>
            <wp:positionV relativeFrom="paragraph">
              <wp:posOffset>-2237105</wp:posOffset>
            </wp:positionV>
            <wp:extent cx="8255" cy="223774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8255" cy="2237740"/>
                    </a:xfrm>
                    <a:prstGeom prst="rect">
                      <a:avLst/>
                    </a:prstGeom>
                    <a:noFill/>
                  </pic:spPr>
                </pic:pic>
              </a:graphicData>
            </a:graphic>
          </wp:anchor>
        </w:drawing>
        <w:drawing>
          <wp:anchor simplePos="0" relativeHeight="251657728" behindDoc="1" locked="0" layoutInCell="0" allowOverlap="1">
            <wp:simplePos x="0" y="0"/>
            <wp:positionH relativeFrom="column">
              <wp:posOffset>2406015</wp:posOffset>
            </wp:positionH>
            <wp:positionV relativeFrom="paragraph">
              <wp:posOffset>-2237105</wp:posOffset>
            </wp:positionV>
            <wp:extent cx="8255" cy="223774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8255" cy="2237740"/>
                    </a:xfrm>
                    <a:prstGeom prst="rect">
                      <a:avLst/>
                    </a:prstGeom>
                    <a:noFill/>
                  </pic:spPr>
                </pic:pic>
              </a:graphicData>
            </a:graphic>
          </wp:anchor>
        </w:drawing>
        <w:drawing>
          <wp:anchor simplePos="0" relativeHeight="251657728" behindDoc="1" locked="0" layoutInCell="0" allowOverlap="1">
            <wp:simplePos x="0" y="0"/>
            <wp:positionH relativeFrom="column">
              <wp:posOffset>2346325</wp:posOffset>
            </wp:positionH>
            <wp:positionV relativeFrom="paragraph">
              <wp:posOffset>-2237105</wp:posOffset>
            </wp:positionV>
            <wp:extent cx="8255" cy="223774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8255" cy="2237740"/>
                    </a:xfrm>
                    <a:prstGeom prst="rect">
                      <a:avLst/>
                    </a:prstGeom>
                    <a:noFill/>
                  </pic:spPr>
                </pic:pic>
              </a:graphicData>
            </a:graphic>
          </wp:anchor>
        </w:drawing>
      </w:r>
    </w:p>
    <w:p>
      <w:pPr>
        <w:spacing w:after="0" w:line="168" w:lineRule="exact"/>
        <w:rPr>
          <w:sz w:val="20"/>
          <w:szCs w:val="20"/>
          <w:color w:val="auto"/>
        </w:rPr>
      </w:pPr>
    </w:p>
    <w:p>
      <w:pPr>
        <w:jc w:val="both"/>
        <w:ind w:left="340" w:hanging="332"/>
        <w:spacing w:after="0" w:line="266" w:lineRule="auto"/>
        <w:tabs>
          <w:tab w:leader="none" w:pos="34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amount indicated includes the annual cash retainer for directors, annual cash retainers to members of the Audit, Compensation and Nominating and Corporate Governance Committees and annual payments to the Lead Independent Director and chairs of committees.</w:t>
      </w:r>
    </w:p>
    <w:p>
      <w:pPr>
        <w:spacing w:after="0" w:line="144" w:lineRule="exact"/>
        <w:rPr>
          <w:rFonts w:ascii="Arial" w:cs="Arial" w:eastAsia="Arial" w:hAnsi="Arial"/>
          <w:sz w:val="16"/>
          <w:szCs w:val="16"/>
          <w:color w:val="auto"/>
        </w:rPr>
      </w:pPr>
    </w:p>
    <w:p>
      <w:pPr>
        <w:jc w:val="both"/>
        <w:ind w:left="340" w:hanging="332"/>
        <w:spacing w:after="0" w:line="266" w:lineRule="auto"/>
        <w:tabs>
          <w:tab w:leader="none" w:pos="340" w:val="left"/>
        </w:tabs>
        <w:numPr>
          <w:ilvl w:val="0"/>
          <w:numId w:val="97"/>
        </w:numPr>
        <w:rPr>
          <w:rFonts w:ascii="Arial" w:cs="Arial" w:eastAsia="Arial" w:hAnsi="Arial"/>
          <w:sz w:val="16"/>
          <w:szCs w:val="16"/>
          <w:color w:val="auto"/>
        </w:rPr>
      </w:pPr>
      <w:r>
        <w:rPr>
          <w:rFonts w:ascii="Arial" w:cs="Arial" w:eastAsia="Arial" w:hAnsi="Arial"/>
          <w:sz w:val="16"/>
          <w:szCs w:val="16"/>
          <w:color w:val="auto"/>
        </w:rPr>
        <w:t>At January 31, 2026, the directors named in the table above held unvested RSUs as follows: Thomas Brosig, 6,823 RSUs; Dr. Joyce F. Brown, 6,117 RSUs; Victor Herrero, 6,117 RSUs; Robert L. Johnson, 6,117 RSUs; Patti Ongman, 6,117 RSUs; Laura Pomerantz, 6,117 RSUs; Michael Shaffer, 7,294 RSUs; Cheryl Vitali, 6,117 RSUs; Richard White, 8,470 RSUs; and Andrew Yaeger, 6,117 RSUs.</w:t>
      </w:r>
    </w:p>
    <w:p>
      <w:pPr>
        <w:spacing w:after="0" w:line="144" w:lineRule="exact"/>
        <w:rPr>
          <w:rFonts w:ascii="Arial" w:cs="Arial" w:eastAsia="Arial" w:hAnsi="Arial"/>
          <w:sz w:val="16"/>
          <w:szCs w:val="16"/>
          <w:color w:val="auto"/>
        </w:rPr>
      </w:pPr>
    </w:p>
    <w:p>
      <w:pPr>
        <w:jc w:val="both"/>
        <w:ind w:left="340" w:hanging="332"/>
        <w:spacing w:after="0" w:line="250" w:lineRule="auto"/>
        <w:tabs>
          <w:tab w:leader="none" w:pos="340" w:val="left"/>
        </w:tabs>
        <w:numPr>
          <w:ilvl w:val="0"/>
          <w:numId w:val="97"/>
        </w:numPr>
        <w:rPr>
          <w:rFonts w:ascii="Arial" w:cs="Arial" w:eastAsia="Arial" w:hAnsi="Arial"/>
          <w:sz w:val="16"/>
          <w:szCs w:val="16"/>
          <w:color w:val="auto"/>
        </w:rPr>
      </w:pPr>
      <w:r>
        <w:rPr>
          <w:rFonts w:ascii="Arial" w:cs="Arial" w:eastAsia="Arial" w:hAnsi="Arial"/>
          <w:sz w:val="16"/>
          <w:szCs w:val="16"/>
          <w:color w:val="auto"/>
        </w:rPr>
        <w:t>In fiscal 2026, our Compensation Committee granted each of our non-employee directors then serving on the Board (Thomas Brosig, Dr. Joyce F. Brown, Victor Herrero, Robert L. Johnson, Patti Ongman, Laura Pomerantz, Michael Shaffer, Cheryl Vitali, Richard White and Andrew Yaeger) RSUs that enable each of them to receive up to 6,117 shares of our Common Stock, subject to satisfaction of specified conditions. In addition, our Compensation Committee granted an additional 2,353 RSUs to Richard White in recognition of his service as Lead Independent Director, an additional 1,177 RSUs to Michael Shaffer in recognition of his service as Chair of the Audit Committee and an additional 706 RSUs to Thomas J. Brosig in recognition of his service as Chair of the Nominating and Corporate Governance Committee. All of these awards became effective after each director’s election to the Board at the 2025 Annual Meeting and vest on the first anniversary of the date of the 2025 Annual Meeting. The dollar value of these stock awards is based on the closing price per share of our Common Stock on the date of the 2025 Annual Meeting, which constitutes the grant date fair value computed in accordance with ASC 718. For a discussion of valuation assumptions, see Note 12 to our consolidated financial statements included in our Annual Report on Form 10-K for the year ended January 31, 2026.</w:t>
      </w:r>
    </w:p>
    <w:p>
      <w:pPr>
        <w:spacing w:after="0" w:line="159" w:lineRule="exact"/>
        <w:rPr>
          <w:rFonts w:ascii="Arial" w:cs="Arial" w:eastAsia="Arial" w:hAnsi="Arial"/>
          <w:sz w:val="16"/>
          <w:szCs w:val="16"/>
          <w:color w:val="auto"/>
        </w:rPr>
      </w:pPr>
    </w:p>
    <w:p>
      <w:pPr>
        <w:ind w:left="340" w:hanging="332"/>
        <w:spacing w:after="0"/>
        <w:tabs>
          <w:tab w:leader="none" w:pos="340" w:val="left"/>
        </w:tabs>
        <w:numPr>
          <w:ilvl w:val="0"/>
          <w:numId w:val="97"/>
        </w:numPr>
        <w:rPr>
          <w:rFonts w:ascii="Arial" w:cs="Arial" w:eastAsia="Arial" w:hAnsi="Arial"/>
          <w:sz w:val="16"/>
          <w:szCs w:val="16"/>
          <w:color w:val="auto"/>
        </w:rPr>
      </w:pPr>
      <w:r>
        <w:rPr>
          <w:rFonts w:ascii="Arial" w:cs="Arial" w:eastAsia="Arial" w:hAnsi="Arial"/>
          <w:sz w:val="16"/>
          <w:szCs w:val="16"/>
          <w:color w:val="auto"/>
        </w:rPr>
        <w:t>Robert L. Johnson has decided not to stand for reelection at the 2026 Annual Meeting.</w:t>
      </w:r>
    </w:p>
    <w:p>
      <w:pPr>
        <w:spacing w:after="0" w:line="194" w:lineRule="exact"/>
        <w:rPr>
          <w:rFonts w:ascii="Arial" w:cs="Arial" w:eastAsia="Arial" w:hAnsi="Arial"/>
          <w:sz w:val="16"/>
          <w:szCs w:val="16"/>
          <w:color w:val="auto"/>
        </w:rPr>
      </w:pPr>
    </w:p>
    <w:p>
      <w:pPr>
        <w:ind w:left="340" w:hanging="332"/>
        <w:spacing w:after="0"/>
        <w:tabs>
          <w:tab w:leader="none" w:pos="340" w:val="left"/>
        </w:tabs>
        <w:numPr>
          <w:ilvl w:val="0"/>
          <w:numId w:val="97"/>
        </w:numPr>
        <w:rPr>
          <w:rFonts w:ascii="Arial" w:cs="Arial" w:eastAsia="Arial" w:hAnsi="Arial"/>
          <w:sz w:val="16"/>
          <w:szCs w:val="16"/>
          <w:color w:val="auto"/>
        </w:rPr>
      </w:pPr>
      <w:r>
        <w:rPr>
          <w:rFonts w:ascii="Arial" w:cs="Arial" w:eastAsia="Arial" w:hAnsi="Arial"/>
          <w:sz w:val="16"/>
          <w:szCs w:val="16"/>
          <w:color w:val="auto"/>
        </w:rPr>
        <w:t>Laura Pomerantz has decided not to stand for reelection at the 2026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432435</wp:posOffset>
            </wp:positionV>
            <wp:extent cx="6292215"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7560"/>
        <w:spacing w:after="0"/>
        <w:rPr>
          <w:sz w:val="20"/>
          <w:szCs w:val="20"/>
          <w:color w:val="auto"/>
        </w:rPr>
      </w:pPr>
      <w:r>
        <w:rPr>
          <w:rFonts w:ascii="Arial" w:cs="Arial" w:eastAsia="Arial" w:hAnsi="Arial"/>
          <w:sz w:val="16"/>
          <w:szCs w:val="16"/>
          <w:color w:val="auto"/>
        </w:rPr>
        <w:t xml:space="preserve">2026 PROXY STATEMENT </w:t>
      </w:r>
      <w:r>
        <w:rPr>
          <w:rFonts w:ascii="Arial" w:cs="Arial" w:eastAsia="Arial" w:hAnsi="Arial"/>
          <w:sz w:val="19"/>
          <w:szCs w:val="19"/>
          <w:color w:val="808080"/>
        </w:rPr>
        <w:t>/</w:t>
      </w:r>
      <w:r>
        <w:rPr>
          <w:rFonts w:ascii="Arial" w:cs="Arial" w:eastAsia="Arial" w:hAnsi="Arial"/>
          <w:sz w:val="16"/>
          <w:szCs w:val="16"/>
          <w:color w:val="auto"/>
        </w:rPr>
        <w:t xml:space="preserve"> </w:t>
      </w:r>
      <w:r>
        <w:rPr>
          <w:rFonts w:ascii="Arial" w:cs="Arial" w:eastAsia="Arial" w:hAnsi="Arial"/>
          <w:sz w:val="19"/>
          <w:szCs w:val="19"/>
          <w:b w:val="1"/>
          <w:bCs w:val="1"/>
          <w:color w:val="4A7EBB"/>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365125</wp:posOffset>
            </wp:positionV>
            <wp:extent cx="6292215" cy="260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9"/>
          <w:szCs w:val="29"/>
          <w:b w:val="1"/>
          <w:bCs w:val="1"/>
          <w:color w:val="4A7EBB"/>
        </w:rPr>
        <w:t xml:space="preserve">PROPOSAL NO. 1 </w:t>
      </w:r>
      <w:r>
        <w:rPr>
          <w:rFonts w:ascii="Arial" w:cs="Arial" w:eastAsia="Arial" w:hAnsi="Arial"/>
          <w:sz w:val="29"/>
          <w:szCs w:val="29"/>
          <w:b w:val="1"/>
          <w:bCs w:val="1"/>
          <w:color w:val="000000"/>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24130</wp:posOffset>
            </wp:positionV>
            <wp:extent cx="6292215" cy="171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42"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Eleven directors are to be elected at the Annual Meeting. Unless otherwise specified, the enclosed proxy will be voted in favor of the eleven persons named below to serve until the next Annual Meeting of Stockholders and until their respective successors shall have been duly elected and qualified. If any of these nominees becomes unavailable for any reason, or if a vacancy should occur before the election, the shares represented by your proxy will be voted for the person, if any, who is designated by the Board of Directors to replace the nominee or to fill the vacancy on the Board. All of the nominees listed below have consented to be named as such and have indicated their intent to serve if elected. The Board of Directors has no reason to believe that any of the nominees will be unable to serve or that any vacancy on the Board of Directors will occur.</w:t>
      </w:r>
    </w:p>
    <w:p>
      <w:pPr>
        <w:spacing w:after="0" w:line="180" w:lineRule="exact"/>
        <w:rPr>
          <w:sz w:val="20"/>
          <w:szCs w:val="20"/>
          <w:color w:val="auto"/>
        </w:rPr>
      </w:pPr>
    </w:p>
    <w:p>
      <w:pPr>
        <w:jc w:val="both"/>
        <w:ind w:right="20"/>
        <w:spacing w:after="0" w:line="244" w:lineRule="auto"/>
        <w:rPr>
          <w:sz w:val="20"/>
          <w:szCs w:val="20"/>
          <w:color w:val="auto"/>
        </w:rPr>
      </w:pPr>
      <w:r>
        <w:rPr>
          <w:rFonts w:ascii="Arial" w:cs="Arial" w:eastAsia="Arial" w:hAnsi="Arial"/>
          <w:sz w:val="18"/>
          <w:szCs w:val="18"/>
          <w:color w:val="auto"/>
        </w:rPr>
        <w:t>Set forth below is information provided by each director and director nominee with respect to that person’s age, all positions held, principal occupation and business experience for the past five years and the names of other publicly-held companies of which the director currently serves as a director or has served as a director during the past five years. We also provide information regarding each nominee’s specific experience, qualifications, attributes or skills that led our Board to the conclusion that the nominee should serve as a director.</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6297930</wp:posOffset>
            </wp:positionH>
            <wp:positionV relativeFrom="paragraph">
              <wp:posOffset>132080</wp:posOffset>
            </wp:positionV>
            <wp:extent cx="8890" cy="467169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8890" cy="4671695"/>
                    </a:xfrm>
                    <a:prstGeom prst="rect">
                      <a:avLst/>
                    </a:prstGeom>
                    <a:noFill/>
                  </pic:spPr>
                </pic:pic>
              </a:graphicData>
            </a:graphic>
          </wp:anchor>
        </w:drawing>
        <w:drawing>
          <wp:anchor simplePos="0" relativeHeight="251657728" behindDoc="1" locked="0" layoutInCell="0" allowOverlap="1">
            <wp:simplePos x="0" y="0"/>
            <wp:positionH relativeFrom="column">
              <wp:posOffset>3203575</wp:posOffset>
            </wp:positionH>
            <wp:positionV relativeFrom="paragraph">
              <wp:posOffset>132080</wp:posOffset>
            </wp:positionV>
            <wp:extent cx="8255" cy="127698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8255" cy="12769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132080</wp:posOffset>
            </wp:positionV>
            <wp:extent cx="8890" cy="467169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8890" cy="4671695"/>
                    </a:xfrm>
                    <a:prstGeom prst="rect">
                      <a:avLst/>
                    </a:prstGeom>
                    <a:noFill/>
                  </pic:spPr>
                </pic:pic>
              </a:graphicData>
            </a:graphic>
          </wp:anchor>
        </w:drawing>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720" w:type="dxa"/>
            <w:vAlign w:val="bottom"/>
            <w:tcBorders>
              <w:top w:val="single" w:sz="8" w:color="4A7EBB"/>
            </w:tcBorders>
            <w:shd w:val="clear" w:color="auto" w:fill="DBE5F1"/>
          </w:tcPr>
          <w:p>
            <w:pPr>
              <w:ind w:left="120"/>
              <w:spacing w:after="0" w:line="189" w:lineRule="exact"/>
              <w:rPr>
                <w:sz w:val="20"/>
                <w:szCs w:val="20"/>
                <w:color w:val="auto"/>
              </w:rPr>
            </w:pPr>
            <w:r>
              <w:rPr>
                <w:rFonts w:ascii="Arial" w:cs="Arial" w:eastAsia="Arial" w:hAnsi="Arial"/>
                <w:sz w:val="20"/>
                <w:szCs w:val="20"/>
                <w:b w:val="1"/>
                <w:bCs w:val="1"/>
                <w:color w:val="auto"/>
              </w:rPr>
              <w:t>MORRIS GOLDFARB</w:t>
            </w:r>
          </w:p>
        </w:tc>
        <w:tc>
          <w:tcPr>
            <w:tcW w:w="2240" w:type="dxa"/>
            <w:vAlign w:val="bottom"/>
            <w:tcBorders>
              <w:top w:val="single" w:sz="8" w:color="4A7EBB"/>
            </w:tcBorders>
            <w:gridSpan w:val="2"/>
            <w:shd w:val="clear" w:color="auto" w:fill="F2F2F2"/>
          </w:tcPr>
          <w:p>
            <w:pPr>
              <w:ind w:left="100"/>
              <w:spacing w:after="0"/>
              <w:rPr>
                <w:sz w:val="20"/>
                <w:szCs w:val="20"/>
                <w:color w:val="auto"/>
              </w:rPr>
            </w:pPr>
            <w:r>
              <w:rPr>
                <w:rFonts w:ascii="Arial" w:cs="Arial" w:eastAsia="Arial" w:hAnsi="Arial"/>
                <w:sz w:val="16"/>
                <w:szCs w:val="16"/>
                <w:b w:val="1"/>
                <w:bCs w:val="1"/>
                <w:color w:val="auto"/>
              </w:rPr>
              <w:t>Age: 75</w:t>
            </w:r>
          </w:p>
        </w:tc>
        <w:tc>
          <w:tcPr>
            <w:tcW w:w="4960" w:type="dxa"/>
            <w:vAlign w:val="bottom"/>
            <w:tcBorders>
              <w:top w:val="single" w:sz="8" w:color="4A7EBB"/>
            </w:tcBorders>
            <w:gridSpan w:val="4"/>
            <w:shd w:val="clear" w:color="auto" w:fill="F2F2F2"/>
          </w:tcPr>
          <w:p>
            <w:pPr>
              <w:ind w:left="200"/>
              <w:spacing w:after="0"/>
              <w:rPr>
                <w:sz w:val="20"/>
                <w:szCs w:val="20"/>
                <w:color w:val="auto"/>
              </w:rPr>
            </w:pPr>
            <w:r>
              <w:rPr>
                <w:rFonts w:ascii="Arial" w:cs="Arial" w:eastAsia="Arial" w:hAnsi="Arial"/>
                <w:sz w:val="16"/>
                <w:szCs w:val="16"/>
                <w:color w:val="auto"/>
              </w:rPr>
              <w:t>Morris Goldfarb has served as an executive officer of G-III and</w:t>
            </w:r>
          </w:p>
        </w:tc>
        <w:tc>
          <w:tcPr>
            <w:tcW w:w="20" w:type="dxa"/>
            <w:vAlign w:val="bottom"/>
            <w:tcBorders>
              <w:top w:val="single" w:sz="8" w:color="4A7EBB"/>
            </w:tcBorders>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720" w:type="dxa"/>
            <w:vAlign w:val="bottom"/>
            <w:shd w:val="clear" w:color="auto" w:fill="DBE5F1"/>
          </w:tcPr>
          <w:p>
            <w:pPr>
              <w:ind w:left="120"/>
              <w:spacing w:after="0"/>
              <w:rPr>
                <w:sz w:val="20"/>
                <w:szCs w:val="20"/>
                <w:color w:val="auto"/>
              </w:rPr>
            </w:pPr>
            <w:r>
              <w:rPr>
                <w:rFonts w:ascii="Arial" w:cs="Arial" w:eastAsia="Arial" w:hAnsi="Arial"/>
                <w:sz w:val="17"/>
                <w:szCs w:val="17"/>
                <w:color w:val="auto"/>
              </w:rPr>
              <w:t>Chairman of the Board and Chief</w:t>
            </w:r>
          </w:p>
        </w:tc>
        <w:tc>
          <w:tcPr>
            <w:tcW w:w="2240" w:type="dxa"/>
            <w:vAlign w:val="bottom"/>
            <w:gridSpan w:val="2"/>
            <w:vMerge w:val="restart"/>
            <w:shd w:val="clear" w:color="auto" w:fill="F2F2F2"/>
          </w:tcPr>
          <w:p>
            <w:pPr>
              <w:ind w:left="100"/>
              <w:spacing w:after="0"/>
              <w:rPr>
                <w:sz w:val="20"/>
                <w:szCs w:val="20"/>
                <w:color w:val="auto"/>
              </w:rPr>
            </w:pPr>
            <w:r>
              <w:rPr>
                <w:rFonts w:ascii="Arial" w:cs="Arial" w:eastAsia="Arial" w:hAnsi="Arial"/>
                <w:sz w:val="16"/>
                <w:szCs w:val="16"/>
                <w:b w:val="1"/>
                <w:bCs w:val="1"/>
                <w:color w:val="auto"/>
              </w:rPr>
              <w:t>Director since: 1974</w:t>
            </w:r>
          </w:p>
        </w:tc>
        <w:tc>
          <w:tcPr>
            <w:tcW w:w="4060" w:type="dxa"/>
            <w:vAlign w:val="bottom"/>
            <w:gridSpan w:val="3"/>
            <w:shd w:val="clear" w:color="auto" w:fill="F2F2F2"/>
          </w:tcPr>
          <w:p>
            <w:pPr>
              <w:ind w:left="200"/>
              <w:spacing w:after="0"/>
              <w:rPr>
                <w:sz w:val="20"/>
                <w:szCs w:val="20"/>
                <w:color w:val="auto"/>
              </w:rPr>
            </w:pPr>
            <w:r>
              <w:rPr>
                <w:rFonts w:ascii="Arial" w:cs="Arial" w:eastAsia="Arial" w:hAnsi="Arial"/>
                <w:sz w:val="16"/>
                <w:szCs w:val="16"/>
                <w:color w:val="auto"/>
              </w:rPr>
              <w:t>our predecessors since our formation in 1974.</w:t>
            </w:r>
          </w:p>
        </w:tc>
        <w:tc>
          <w:tcPr>
            <w:tcW w:w="900" w:type="dxa"/>
            <w:vAlign w:val="bottom"/>
            <w:shd w:val="clear" w:color="auto" w:fill="F2F2F2"/>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720" w:type="dxa"/>
            <w:vAlign w:val="bottom"/>
            <w:shd w:val="clear" w:color="auto" w:fill="DBE5F1"/>
          </w:tcPr>
          <w:p>
            <w:pPr>
              <w:ind w:left="120"/>
              <w:spacing w:after="0"/>
              <w:rPr>
                <w:sz w:val="20"/>
                <w:szCs w:val="20"/>
                <w:color w:val="auto"/>
              </w:rPr>
            </w:pPr>
            <w:r>
              <w:rPr>
                <w:rFonts w:ascii="Arial" w:cs="Arial" w:eastAsia="Arial" w:hAnsi="Arial"/>
                <w:sz w:val="17"/>
                <w:szCs w:val="17"/>
                <w:color w:val="auto"/>
              </w:rPr>
              <w:t>Executive Officer, G-III</w:t>
            </w:r>
          </w:p>
        </w:tc>
        <w:tc>
          <w:tcPr>
            <w:tcW w:w="2240" w:type="dxa"/>
            <w:vAlign w:val="bottom"/>
            <w:gridSpan w:val="2"/>
            <w:vMerge w:val="continue"/>
            <w:shd w:val="clear" w:color="auto" w:fill="F2F2F2"/>
          </w:tcPr>
          <w:p>
            <w:pPr>
              <w:spacing w:after="0"/>
              <w:rPr>
                <w:sz w:val="19"/>
                <w:szCs w:val="19"/>
                <w:color w:val="auto"/>
              </w:rPr>
            </w:pPr>
          </w:p>
        </w:tc>
        <w:tc>
          <w:tcPr>
            <w:tcW w:w="3200" w:type="dxa"/>
            <w:vAlign w:val="bottom"/>
            <w:gridSpan w:val="2"/>
            <w:vMerge w:val="restart"/>
            <w:shd w:val="clear" w:color="auto" w:fill="F2F2F2"/>
          </w:tcPr>
          <w:p>
            <w:pPr>
              <w:ind w:left="200"/>
              <w:spacing w:after="0"/>
              <w:rPr>
                <w:sz w:val="20"/>
                <w:szCs w:val="20"/>
                <w:color w:val="auto"/>
              </w:rPr>
            </w:pPr>
            <w:r>
              <w:rPr>
                <w:rFonts w:ascii="Arial" w:cs="Arial" w:eastAsia="Arial" w:hAnsi="Arial"/>
                <w:sz w:val="16"/>
                <w:szCs w:val="16"/>
                <w:b w:val="1"/>
                <w:bCs w:val="1"/>
                <w:color w:val="4A7EBB"/>
              </w:rPr>
              <w:t>Qualifications</w:t>
            </w:r>
          </w:p>
        </w:tc>
        <w:tc>
          <w:tcPr>
            <w:tcW w:w="860" w:type="dxa"/>
            <w:vAlign w:val="bottom"/>
            <w:shd w:val="clear" w:color="auto" w:fill="F2F2F2"/>
          </w:tcPr>
          <w:p>
            <w:pPr>
              <w:spacing w:after="0"/>
              <w:rPr>
                <w:sz w:val="19"/>
                <w:szCs w:val="19"/>
                <w:color w:val="auto"/>
              </w:rPr>
            </w:pPr>
          </w:p>
        </w:tc>
        <w:tc>
          <w:tcPr>
            <w:tcW w:w="900" w:type="dxa"/>
            <w:vAlign w:val="bottom"/>
            <w:shd w:val="clear" w:color="auto" w:fill="F2F2F2"/>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720" w:type="dxa"/>
            <w:vAlign w:val="bottom"/>
            <w:shd w:val="clear" w:color="auto" w:fill="DBE5F1"/>
          </w:tcPr>
          <w:p>
            <w:pPr>
              <w:spacing w:after="0"/>
              <w:rPr>
                <w:sz w:val="11"/>
                <w:szCs w:val="11"/>
                <w:color w:val="auto"/>
              </w:rPr>
            </w:pPr>
          </w:p>
        </w:tc>
        <w:tc>
          <w:tcPr>
            <w:tcW w:w="320" w:type="dxa"/>
            <w:vAlign w:val="bottom"/>
            <w:shd w:val="clear" w:color="auto" w:fill="F2F2F2"/>
          </w:tcPr>
          <w:p>
            <w:pPr>
              <w:spacing w:after="0"/>
              <w:rPr>
                <w:sz w:val="11"/>
                <w:szCs w:val="11"/>
                <w:color w:val="auto"/>
              </w:rPr>
            </w:pPr>
          </w:p>
        </w:tc>
        <w:tc>
          <w:tcPr>
            <w:tcW w:w="1920" w:type="dxa"/>
            <w:vAlign w:val="bottom"/>
            <w:shd w:val="clear" w:color="auto" w:fill="F2F2F2"/>
          </w:tcPr>
          <w:p>
            <w:pPr>
              <w:spacing w:after="0"/>
              <w:rPr>
                <w:sz w:val="11"/>
                <w:szCs w:val="11"/>
                <w:color w:val="auto"/>
              </w:rPr>
            </w:pPr>
          </w:p>
        </w:tc>
        <w:tc>
          <w:tcPr>
            <w:tcW w:w="3200" w:type="dxa"/>
            <w:vAlign w:val="bottom"/>
            <w:gridSpan w:val="2"/>
            <w:vMerge w:val="continue"/>
            <w:shd w:val="clear" w:color="auto" w:fill="F2F2F2"/>
          </w:tcPr>
          <w:p>
            <w:pPr>
              <w:spacing w:after="0"/>
              <w:rPr>
                <w:sz w:val="11"/>
                <w:szCs w:val="11"/>
                <w:color w:val="auto"/>
              </w:rPr>
            </w:pPr>
          </w:p>
        </w:tc>
        <w:tc>
          <w:tcPr>
            <w:tcW w:w="860" w:type="dxa"/>
            <w:vAlign w:val="bottom"/>
            <w:shd w:val="clear" w:color="auto" w:fill="F2F2F2"/>
          </w:tcPr>
          <w:p>
            <w:pPr>
              <w:spacing w:after="0"/>
              <w:rPr>
                <w:sz w:val="11"/>
                <w:szCs w:val="11"/>
                <w:color w:val="auto"/>
              </w:rPr>
            </w:pPr>
          </w:p>
        </w:tc>
        <w:tc>
          <w:tcPr>
            <w:tcW w:w="900" w:type="dxa"/>
            <w:vAlign w:val="bottom"/>
            <w:shd w:val="clear" w:color="auto" w:fill="F2F2F2"/>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720" w:type="dxa"/>
            <w:vAlign w:val="bottom"/>
            <w:shd w:val="clear" w:color="auto" w:fill="DBE5F1"/>
          </w:tcPr>
          <w:p>
            <w:pPr>
              <w:spacing w:after="0"/>
              <w:rPr>
                <w:sz w:val="15"/>
                <w:szCs w:val="15"/>
                <w:color w:val="auto"/>
              </w:rPr>
            </w:pPr>
          </w:p>
        </w:tc>
        <w:tc>
          <w:tcPr>
            <w:tcW w:w="2240" w:type="dxa"/>
            <w:vAlign w:val="bottom"/>
            <w:gridSpan w:val="2"/>
            <w:shd w:val="clear" w:color="auto" w:fill="F2F2F2"/>
          </w:tcPr>
          <w:p>
            <w:pPr>
              <w:ind w:left="100"/>
              <w:spacing w:after="0" w:line="175" w:lineRule="exact"/>
              <w:rPr>
                <w:sz w:val="20"/>
                <w:szCs w:val="20"/>
                <w:color w:val="auto"/>
              </w:rPr>
            </w:pPr>
            <w:r>
              <w:rPr>
                <w:rFonts w:ascii="Arial" w:cs="Arial" w:eastAsia="Arial" w:hAnsi="Arial"/>
                <w:sz w:val="16"/>
                <w:szCs w:val="16"/>
                <w:b w:val="1"/>
                <w:bCs w:val="1"/>
                <w:color w:val="auto"/>
              </w:rPr>
              <w:t>Committees:</w:t>
            </w:r>
          </w:p>
        </w:tc>
        <w:tc>
          <w:tcPr>
            <w:tcW w:w="4960" w:type="dxa"/>
            <w:vAlign w:val="bottom"/>
            <w:gridSpan w:val="4"/>
            <w:shd w:val="clear" w:color="auto" w:fill="F2F2F2"/>
          </w:tcPr>
          <w:p>
            <w:pPr>
              <w:ind w:left="200"/>
              <w:spacing w:after="0" w:line="175" w:lineRule="exact"/>
              <w:rPr>
                <w:sz w:val="20"/>
                <w:szCs w:val="20"/>
                <w:color w:val="auto"/>
              </w:rPr>
            </w:pPr>
            <w:r>
              <w:rPr>
                <w:rFonts w:ascii="Arial" w:cs="Arial" w:eastAsia="Arial" w:hAnsi="Arial"/>
                <w:sz w:val="16"/>
                <w:szCs w:val="16"/>
                <w:color w:val="auto"/>
              </w:rPr>
              <w:t>Morris Goldfarb has significant knowledge of all facets of our</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720" w:type="dxa"/>
            <w:vAlign w:val="bottom"/>
            <w:shd w:val="clear" w:color="auto" w:fill="DBE5F1"/>
          </w:tcPr>
          <w:p>
            <w:pPr>
              <w:spacing w:after="0"/>
              <w:rPr>
                <w:sz w:val="18"/>
                <w:szCs w:val="18"/>
                <w:color w:val="auto"/>
              </w:rPr>
            </w:pPr>
          </w:p>
        </w:tc>
        <w:tc>
          <w:tcPr>
            <w:tcW w:w="320" w:type="dxa"/>
            <w:vAlign w:val="bottom"/>
            <w:shd w:val="clear" w:color="auto" w:fill="F2F2F2"/>
          </w:tcPr>
          <w:p>
            <w:pPr>
              <w:ind w:left="160"/>
              <w:spacing w:after="0" w:line="218" w:lineRule="exact"/>
              <w:rPr>
                <w:sz w:val="20"/>
                <w:szCs w:val="20"/>
                <w:color w:val="auto"/>
              </w:rPr>
            </w:pPr>
            <w:r>
              <w:rPr>
                <w:rFonts w:ascii="Arial" w:cs="Arial" w:eastAsia="Arial" w:hAnsi="Arial"/>
                <w:sz w:val="22"/>
                <w:szCs w:val="22"/>
                <w:b w:val="1"/>
                <w:bCs w:val="1"/>
                <w:color w:val="4A7EBB"/>
              </w:rPr>
              <w:t>•</w:t>
            </w:r>
          </w:p>
        </w:tc>
        <w:tc>
          <w:tcPr>
            <w:tcW w:w="1920" w:type="dxa"/>
            <w:vAlign w:val="bottom"/>
            <w:shd w:val="clear" w:color="auto" w:fill="F2F2F2"/>
          </w:tcPr>
          <w:p>
            <w:pPr>
              <w:ind w:left="80"/>
              <w:spacing w:after="0"/>
              <w:rPr>
                <w:sz w:val="20"/>
                <w:szCs w:val="20"/>
                <w:color w:val="auto"/>
              </w:rPr>
            </w:pPr>
            <w:r>
              <w:rPr>
                <w:rFonts w:ascii="Arial" w:cs="Arial" w:eastAsia="Arial" w:hAnsi="Arial"/>
                <w:sz w:val="16"/>
                <w:szCs w:val="16"/>
                <w:color w:val="auto"/>
              </w:rPr>
              <w:t>None</w:t>
            </w:r>
          </w:p>
        </w:tc>
        <w:tc>
          <w:tcPr>
            <w:tcW w:w="4960" w:type="dxa"/>
            <w:vAlign w:val="bottom"/>
            <w:gridSpan w:val="4"/>
            <w:shd w:val="clear" w:color="auto" w:fill="F2F2F2"/>
          </w:tcPr>
          <w:p>
            <w:pPr>
              <w:ind w:left="200"/>
              <w:spacing w:after="0"/>
              <w:rPr>
                <w:sz w:val="20"/>
                <w:szCs w:val="20"/>
                <w:color w:val="auto"/>
              </w:rPr>
            </w:pPr>
            <w:r>
              <w:rPr>
                <w:rFonts w:ascii="Arial" w:cs="Arial" w:eastAsia="Arial" w:hAnsi="Arial"/>
                <w:sz w:val="16"/>
                <w:szCs w:val="16"/>
                <w:color w:val="auto"/>
              </w:rPr>
              <w:t>company.  His  long  history  with  G-III,  combined  with  his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720" w:type="dxa"/>
            <w:vAlign w:val="bottom"/>
            <w:shd w:val="clear" w:color="auto" w:fill="DBE5F1"/>
          </w:tcPr>
          <w:p>
            <w:pPr>
              <w:spacing w:after="0"/>
              <w:rPr>
                <w:sz w:val="15"/>
                <w:szCs w:val="15"/>
                <w:color w:val="auto"/>
              </w:rPr>
            </w:pPr>
          </w:p>
        </w:tc>
        <w:tc>
          <w:tcPr>
            <w:tcW w:w="320" w:type="dxa"/>
            <w:vAlign w:val="bottom"/>
            <w:shd w:val="clear" w:color="auto" w:fill="F2F2F2"/>
          </w:tcPr>
          <w:p>
            <w:pPr>
              <w:spacing w:after="0"/>
              <w:rPr>
                <w:sz w:val="15"/>
                <w:szCs w:val="15"/>
                <w:color w:val="auto"/>
              </w:rPr>
            </w:pPr>
          </w:p>
        </w:tc>
        <w:tc>
          <w:tcPr>
            <w:tcW w:w="1920" w:type="dxa"/>
            <w:vAlign w:val="bottom"/>
            <w:shd w:val="clear" w:color="auto" w:fill="F2F2F2"/>
          </w:tcPr>
          <w:p>
            <w:pPr>
              <w:spacing w:after="0"/>
              <w:rPr>
                <w:sz w:val="15"/>
                <w:szCs w:val="15"/>
                <w:color w:val="auto"/>
              </w:rPr>
            </w:pPr>
          </w:p>
        </w:tc>
        <w:tc>
          <w:tcPr>
            <w:tcW w:w="4960" w:type="dxa"/>
            <w:vAlign w:val="bottom"/>
            <w:gridSpan w:val="4"/>
            <w:shd w:val="clear" w:color="auto" w:fill="F2F2F2"/>
          </w:tcPr>
          <w:p>
            <w:pPr>
              <w:ind w:left="200"/>
              <w:spacing w:after="0" w:line="175" w:lineRule="exact"/>
              <w:rPr>
                <w:sz w:val="20"/>
                <w:szCs w:val="20"/>
                <w:color w:val="auto"/>
              </w:rPr>
            </w:pPr>
            <w:r>
              <w:rPr>
                <w:rFonts w:ascii="Arial" w:cs="Arial" w:eastAsia="Arial" w:hAnsi="Arial"/>
                <w:sz w:val="16"/>
                <w:szCs w:val="16"/>
                <w:color w:val="auto"/>
              </w:rPr>
              <w:t>leadership  skills  and  operating  experience,  makes  him</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720" w:type="dxa"/>
            <w:vAlign w:val="bottom"/>
            <w:shd w:val="clear" w:color="auto" w:fill="DBE5F1"/>
          </w:tcPr>
          <w:p>
            <w:pPr>
              <w:spacing w:after="0"/>
              <w:rPr>
                <w:sz w:val="16"/>
                <w:szCs w:val="16"/>
                <w:color w:val="auto"/>
              </w:rPr>
            </w:pPr>
          </w:p>
        </w:tc>
        <w:tc>
          <w:tcPr>
            <w:tcW w:w="320" w:type="dxa"/>
            <w:vAlign w:val="bottom"/>
            <w:shd w:val="clear" w:color="auto" w:fill="F2F2F2"/>
          </w:tcPr>
          <w:p>
            <w:pPr>
              <w:spacing w:after="0"/>
              <w:rPr>
                <w:sz w:val="16"/>
                <w:szCs w:val="16"/>
                <w:color w:val="auto"/>
              </w:rPr>
            </w:pPr>
          </w:p>
        </w:tc>
        <w:tc>
          <w:tcPr>
            <w:tcW w:w="1920" w:type="dxa"/>
            <w:vAlign w:val="bottom"/>
            <w:shd w:val="clear" w:color="auto" w:fill="F2F2F2"/>
          </w:tcPr>
          <w:p>
            <w:pPr>
              <w:spacing w:after="0"/>
              <w:rPr>
                <w:sz w:val="16"/>
                <w:szCs w:val="16"/>
                <w:color w:val="auto"/>
              </w:rPr>
            </w:pPr>
          </w:p>
        </w:tc>
        <w:tc>
          <w:tcPr>
            <w:tcW w:w="4960" w:type="dxa"/>
            <w:vAlign w:val="bottom"/>
            <w:gridSpan w:val="4"/>
            <w:shd w:val="clear" w:color="auto" w:fill="F2F2F2"/>
          </w:tcPr>
          <w:p>
            <w:pPr>
              <w:ind w:left="200"/>
              <w:spacing w:after="0"/>
              <w:rPr>
                <w:sz w:val="20"/>
                <w:szCs w:val="20"/>
                <w:color w:val="auto"/>
              </w:rPr>
            </w:pPr>
            <w:r>
              <w:rPr>
                <w:rFonts w:ascii="Arial" w:cs="Arial" w:eastAsia="Arial" w:hAnsi="Arial"/>
                <w:sz w:val="16"/>
                <w:szCs w:val="16"/>
                <w:color w:val="auto"/>
              </w:rPr>
              <w:t>particularly well-suited to be our Chairman and serve on our</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720" w:type="dxa"/>
            <w:vAlign w:val="bottom"/>
            <w:tcBorders>
              <w:bottom w:val="single" w:sz="8" w:color="808080"/>
            </w:tcBorders>
            <w:shd w:val="clear" w:color="auto" w:fill="DBE5F1"/>
          </w:tcPr>
          <w:p>
            <w:pPr>
              <w:spacing w:after="0"/>
              <w:rPr>
                <w:sz w:val="17"/>
                <w:szCs w:val="17"/>
                <w:color w:val="auto"/>
              </w:rPr>
            </w:pPr>
          </w:p>
        </w:tc>
        <w:tc>
          <w:tcPr>
            <w:tcW w:w="320" w:type="dxa"/>
            <w:vAlign w:val="bottom"/>
            <w:tcBorders>
              <w:bottom w:val="single" w:sz="8" w:color="808080"/>
            </w:tcBorders>
            <w:shd w:val="clear" w:color="auto" w:fill="F2F2F2"/>
          </w:tcPr>
          <w:p>
            <w:pPr>
              <w:spacing w:after="0"/>
              <w:rPr>
                <w:sz w:val="17"/>
                <w:szCs w:val="17"/>
                <w:color w:val="auto"/>
              </w:rPr>
            </w:pPr>
          </w:p>
        </w:tc>
        <w:tc>
          <w:tcPr>
            <w:tcW w:w="1920" w:type="dxa"/>
            <w:vAlign w:val="bottom"/>
            <w:tcBorders>
              <w:bottom w:val="single" w:sz="8" w:color="808080"/>
            </w:tcBorders>
            <w:shd w:val="clear" w:color="auto" w:fill="F2F2F2"/>
          </w:tcPr>
          <w:p>
            <w:pPr>
              <w:spacing w:after="0"/>
              <w:rPr>
                <w:sz w:val="17"/>
                <w:szCs w:val="17"/>
                <w:color w:val="auto"/>
              </w:rPr>
            </w:pPr>
          </w:p>
        </w:tc>
        <w:tc>
          <w:tcPr>
            <w:tcW w:w="920" w:type="dxa"/>
            <w:vAlign w:val="bottom"/>
            <w:tcBorders>
              <w:bottom w:val="single" w:sz="8" w:color="808080"/>
            </w:tcBorders>
            <w:shd w:val="clear" w:color="auto" w:fill="F2F2F2"/>
          </w:tcPr>
          <w:p>
            <w:pPr>
              <w:ind w:left="200"/>
              <w:spacing w:after="0"/>
              <w:rPr>
                <w:sz w:val="20"/>
                <w:szCs w:val="20"/>
                <w:color w:val="auto"/>
              </w:rPr>
            </w:pPr>
            <w:r>
              <w:rPr>
                <w:rFonts w:ascii="Arial" w:cs="Arial" w:eastAsia="Arial" w:hAnsi="Arial"/>
                <w:sz w:val="16"/>
                <w:szCs w:val="16"/>
                <w:color w:val="auto"/>
              </w:rPr>
              <w:t>Board.</w:t>
            </w:r>
          </w:p>
        </w:tc>
        <w:tc>
          <w:tcPr>
            <w:tcW w:w="2280" w:type="dxa"/>
            <w:vAlign w:val="bottom"/>
            <w:tcBorders>
              <w:bottom w:val="single" w:sz="8" w:color="808080"/>
            </w:tcBorders>
            <w:shd w:val="clear" w:color="auto" w:fill="F2F2F2"/>
          </w:tcPr>
          <w:p>
            <w:pPr>
              <w:spacing w:after="0"/>
              <w:rPr>
                <w:sz w:val="17"/>
                <w:szCs w:val="17"/>
                <w:color w:val="auto"/>
              </w:rPr>
            </w:pPr>
          </w:p>
        </w:tc>
        <w:tc>
          <w:tcPr>
            <w:tcW w:w="860" w:type="dxa"/>
            <w:vAlign w:val="bottom"/>
            <w:tcBorders>
              <w:bottom w:val="single" w:sz="8" w:color="808080"/>
            </w:tcBorders>
            <w:shd w:val="clear" w:color="auto" w:fill="F2F2F2"/>
          </w:tcPr>
          <w:p>
            <w:pPr>
              <w:spacing w:after="0"/>
              <w:rPr>
                <w:sz w:val="17"/>
                <w:szCs w:val="17"/>
                <w:color w:val="auto"/>
              </w:rPr>
            </w:pPr>
          </w:p>
        </w:tc>
        <w:tc>
          <w:tcPr>
            <w:tcW w:w="900" w:type="dxa"/>
            <w:vAlign w:val="bottom"/>
            <w:tcBorders>
              <w:bottom w:val="single" w:sz="8" w:color="808080"/>
            </w:tcBorders>
            <w:shd w:val="clear" w:color="auto" w:fill="F2F2F2"/>
          </w:tcPr>
          <w:p>
            <w:pPr>
              <w:spacing w:after="0"/>
              <w:rPr>
                <w:sz w:val="17"/>
                <w:szCs w:val="17"/>
                <w:color w:val="auto"/>
              </w:rPr>
            </w:pPr>
          </w:p>
        </w:tc>
        <w:tc>
          <w:tcPr>
            <w:tcW w:w="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2720" w:type="dxa"/>
            <w:vAlign w:val="bottom"/>
            <w:tcBorders>
              <w:bottom w:val="single" w:sz="8" w:color="4A7EBB"/>
            </w:tcBorders>
          </w:tcPr>
          <w:p>
            <w:pPr>
              <w:spacing w:after="0"/>
              <w:rPr>
                <w:sz w:val="22"/>
                <w:szCs w:val="22"/>
                <w:color w:val="auto"/>
              </w:rPr>
            </w:pPr>
          </w:p>
        </w:tc>
        <w:tc>
          <w:tcPr>
            <w:tcW w:w="320" w:type="dxa"/>
            <w:vAlign w:val="bottom"/>
            <w:tcBorders>
              <w:bottom w:val="single" w:sz="8" w:color="4A7EBB"/>
            </w:tcBorders>
          </w:tcPr>
          <w:p>
            <w:pPr>
              <w:spacing w:after="0"/>
              <w:rPr>
                <w:sz w:val="22"/>
                <w:szCs w:val="22"/>
                <w:color w:val="auto"/>
              </w:rPr>
            </w:pPr>
          </w:p>
        </w:tc>
        <w:tc>
          <w:tcPr>
            <w:tcW w:w="1920" w:type="dxa"/>
            <w:vAlign w:val="bottom"/>
            <w:tcBorders>
              <w:bottom w:val="single" w:sz="8" w:color="4A7EBB"/>
            </w:tcBorders>
          </w:tcPr>
          <w:p>
            <w:pPr>
              <w:spacing w:after="0"/>
              <w:rPr>
                <w:sz w:val="22"/>
                <w:szCs w:val="22"/>
                <w:color w:val="auto"/>
              </w:rPr>
            </w:pPr>
          </w:p>
        </w:tc>
        <w:tc>
          <w:tcPr>
            <w:tcW w:w="920" w:type="dxa"/>
            <w:vAlign w:val="bottom"/>
            <w:tcBorders>
              <w:bottom w:val="single" w:sz="8" w:color="4A7EBB"/>
            </w:tcBorders>
          </w:tcPr>
          <w:p>
            <w:pPr>
              <w:spacing w:after="0"/>
              <w:rPr>
                <w:sz w:val="22"/>
                <w:szCs w:val="22"/>
                <w:color w:val="auto"/>
              </w:rPr>
            </w:pPr>
          </w:p>
        </w:tc>
        <w:tc>
          <w:tcPr>
            <w:tcW w:w="2280" w:type="dxa"/>
            <w:vAlign w:val="bottom"/>
            <w:tcBorders>
              <w:bottom w:val="single" w:sz="8" w:color="4A7EBB"/>
            </w:tcBorders>
          </w:tcPr>
          <w:p>
            <w:pPr>
              <w:spacing w:after="0"/>
              <w:rPr>
                <w:sz w:val="22"/>
                <w:szCs w:val="22"/>
                <w:color w:val="auto"/>
              </w:rPr>
            </w:pPr>
          </w:p>
        </w:tc>
        <w:tc>
          <w:tcPr>
            <w:tcW w:w="860" w:type="dxa"/>
            <w:vAlign w:val="bottom"/>
            <w:tcBorders>
              <w:bottom w:val="single" w:sz="8" w:color="4A7EBB"/>
            </w:tcBorders>
          </w:tcPr>
          <w:p>
            <w:pPr>
              <w:spacing w:after="0"/>
              <w:rPr>
                <w:sz w:val="22"/>
                <w:szCs w:val="22"/>
                <w:color w:val="auto"/>
              </w:rPr>
            </w:pPr>
          </w:p>
        </w:tc>
        <w:tc>
          <w:tcPr>
            <w:tcW w:w="900" w:type="dxa"/>
            <w:vAlign w:val="bottom"/>
            <w:tcBorders>
              <w:bottom w:val="single" w:sz="8" w:color="4A7EBB"/>
            </w:tcBorders>
          </w:tcPr>
          <w:p>
            <w:pPr>
              <w:spacing w:after="0"/>
              <w:rPr>
                <w:sz w:val="22"/>
                <w:szCs w:val="22"/>
                <w:color w:val="auto"/>
              </w:rPr>
            </w:pPr>
          </w:p>
        </w:tc>
        <w:tc>
          <w:tcPr>
            <w:tcW w:w="20" w:type="dxa"/>
            <w:vAlign w:val="bottom"/>
            <w:tcBorders>
              <w:bottom w:val="single" w:sz="8" w:color="4A7EBB"/>
            </w:tcBorders>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2720" w:type="dxa"/>
            <w:vAlign w:val="bottom"/>
            <w:shd w:val="clear" w:color="auto" w:fill="DBE5F1"/>
          </w:tcPr>
          <w:p>
            <w:pPr>
              <w:ind w:left="120"/>
              <w:spacing w:after="0" w:line="169" w:lineRule="exact"/>
              <w:rPr>
                <w:sz w:val="20"/>
                <w:szCs w:val="20"/>
                <w:color w:val="auto"/>
              </w:rPr>
            </w:pPr>
            <w:r>
              <w:rPr>
                <w:rFonts w:ascii="Arial" w:cs="Arial" w:eastAsia="Arial" w:hAnsi="Arial"/>
                <w:sz w:val="19"/>
                <w:szCs w:val="19"/>
                <w:b w:val="1"/>
                <w:bCs w:val="1"/>
                <w:color w:val="auto"/>
              </w:rPr>
              <w:t>SAMMY AARON</w:t>
            </w:r>
          </w:p>
        </w:tc>
        <w:tc>
          <w:tcPr>
            <w:tcW w:w="2240" w:type="dxa"/>
            <w:vAlign w:val="bottom"/>
            <w:gridSpan w:val="2"/>
            <w:shd w:val="clear" w:color="auto" w:fill="F2F2F2"/>
          </w:tcPr>
          <w:p>
            <w:pPr>
              <w:ind w:left="100"/>
              <w:spacing w:after="0" w:line="169" w:lineRule="exact"/>
              <w:rPr>
                <w:sz w:val="20"/>
                <w:szCs w:val="20"/>
                <w:color w:val="auto"/>
              </w:rPr>
            </w:pPr>
            <w:r>
              <w:rPr>
                <w:rFonts w:ascii="Arial" w:cs="Arial" w:eastAsia="Arial" w:hAnsi="Arial"/>
                <w:sz w:val="16"/>
                <w:szCs w:val="16"/>
                <w:b w:val="1"/>
                <w:bCs w:val="1"/>
                <w:color w:val="auto"/>
              </w:rPr>
              <w:t>Age: 66</w:t>
            </w:r>
          </w:p>
        </w:tc>
        <w:tc>
          <w:tcPr>
            <w:tcW w:w="4960" w:type="dxa"/>
            <w:vAlign w:val="bottom"/>
            <w:gridSpan w:val="4"/>
            <w:shd w:val="clear" w:color="auto" w:fill="F2F2F2"/>
          </w:tcPr>
          <w:p>
            <w:pPr>
              <w:ind w:left="180"/>
              <w:spacing w:after="0" w:line="169" w:lineRule="exact"/>
              <w:rPr>
                <w:sz w:val="20"/>
                <w:szCs w:val="20"/>
                <w:color w:val="auto"/>
              </w:rPr>
            </w:pPr>
            <w:r>
              <w:rPr>
                <w:rFonts w:ascii="Arial" w:cs="Arial" w:eastAsia="Arial" w:hAnsi="Arial"/>
                <w:sz w:val="16"/>
                <w:szCs w:val="16"/>
                <w:color w:val="auto"/>
              </w:rPr>
              <w:t>Sammy Aaron has served as Vice Chairman of G-III since our</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720" w:type="dxa"/>
            <w:vAlign w:val="bottom"/>
            <w:shd w:val="clear" w:color="auto" w:fill="DBE5F1"/>
          </w:tcPr>
          <w:p>
            <w:pPr>
              <w:ind w:left="120"/>
              <w:spacing w:after="0" w:line="189" w:lineRule="exact"/>
              <w:rPr>
                <w:sz w:val="20"/>
                <w:szCs w:val="20"/>
                <w:color w:val="auto"/>
              </w:rPr>
            </w:pPr>
            <w:r>
              <w:rPr>
                <w:rFonts w:ascii="Arial" w:cs="Arial" w:eastAsia="Arial" w:hAnsi="Arial"/>
                <w:sz w:val="17"/>
                <w:szCs w:val="17"/>
                <w:color w:val="auto"/>
              </w:rPr>
              <w:t>Vice Chairman and President,</w:t>
            </w:r>
          </w:p>
        </w:tc>
        <w:tc>
          <w:tcPr>
            <w:tcW w:w="320" w:type="dxa"/>
            <w:vAlign w:val="bottom"/>
            <w:shd w:val="clear" w:color="auto" w:fill="F2F2F2"/>
          </w:tcPr>
          <w:p>
            <w:pPr>
              <w:spacing w:after="0"/>
              <w:rPr>
                <w:sz w:val="16"/>
                <w:szCs w:val="16"/>
                <w:color w:val="auto"/>
              </w:rPr>
            </w:pPr>
          </w:p>
        </w:tc>
        <w:tc>
          <w:tcPr>
            <w:tcW w:w="1920" w:type="dxa"/>
            <w:vAlign w:val="bottom"/>
            <w:shd w:val="clear" w:color="auto" w:fill="F2F2F2"/>
          </w:tcPr>
          <w:p>
            <w:pPr>
              <w:spacing w:after="0"/>
              <w:rPr>
                <w:sz w:val="16"/>
                <w:szCs w:val="16"/>
                <w:color w:val="auto"/>
              </w:rPr>
            </w:pPr>
          </w:p>
        </w:tc>
        <w:tc>
          <w:tcPr>
            <w:tcW w:w="4960" w:type="dxa"/>
            <w:vAlign w:val="bottom"/>
            <w:gridSpan w:val="4"/>
            <w:shd w:val="clear" w:color="auto" w:fill="F2F2F2"/>
          </w:tcPr>
          <w:p>
            <w:pPr>
              <w:ind w:left="180"/>
              <w:spacing w:after="0"/>
              <w:rPr>
                <w:sz w:val="20"/>
                <w:szCs w:val="20"/>
                <w:color w:val="auto"/>
              </w:rPr>
            </w:pPr>
            <w:r>
              <w:rPr>
                <w:rFonts w:ascii="Arial" w:cs="Arial" w:eastAsia="Arial" w:hAnsi="Arial"/>
                <w:sz w:val="16"/>
                <w:szCs w:val="16"/>
                <w:color w:val="auto"/>
              </w:rPr>
              <w:t>acquisition of J. Percy for Marvin Richards Ltd. in July 2005 and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720" w:type="dxa"/>
            <w:vAlign w:val="bottom"/>
            <w:shd w:val="clear" w:color="auto" w:fill="DBE5F1"/>
          </w:tcPr>
          <w:p>
            <w:pPr>
              <w:ind w:left="120"/>
              <w:spacing w:after="0"/>
              <w:rPr>
                <w:sz w:val="20"/>
                <w:szCs w:val="20"/>
                <w:color w:val="auto"/>
              </w:rPr>
            </w:pPr>
            <w:r>
              <w:rPr>
                <w:rFonts w:ascii="Arial" w:cs="Arial" w:eastAsia="Arial" w:hAnsi="Arial"/>
                <w:sz w:val="17"/>
                <w:szCs w:val="17"/>
                <w:color w:val="auto"/>
              </w:rPr>
              <w:t>G-III</w:t>
            </w:r>
          </w:p>
        </w:tc>
        <w:tc>
          <w:tcPr>
            <w:tcW w:w="2240" w:type="dxa"/>
            <w:vAlign w:val="bottom"/>
            <w:gridSpan w:val="2"/>
            <w:shd w:val="clear" w:color="auto" w:fill="F2F2F2"/>
          </w:tcPr>
          <w:p>
            <w:pPr>
              <w:ind w:left="100"/>
              <w:spacing w:after="0"/>
              <w:rPr>
                <w:sz w:val="20"/>
                <w:szCs w:val="20"/>
                <w:color w:val="auto"/>
              </w:rPr>
            </w:pPr>
            <w:r>
              <w:rPr>
                <w:rFonts w:ascii="Arial" w:cs="Arial" w:eastAsia="Arial" w:hAnsi="Arial"/>
                <w:sz w:val="16"/>
                <w:szCs w:val="16"/>
                <w:b w:val="1"/>
                <w:bCs w:val="1"/>
                <w:color w:val="auto"/>
              </w:rPr>
              <w:t>Director since: 2005</w:t>
            </w:r>
          </w:p>
        </w:tc>
        <w:tc>
          <w:tcPr>
            <w:tcW w:w="3200" w:type="dxa"/>
            <w:vAlign w:val="bottom"/>
            <w:gridSpan w:val="2"/>
            <w:shd w:val="clear" w:color="auto" w:fill="F2F2F2"/>
          </w:tcPr>
          <w:p>
            <w:pPr>
              <w:ind w:left="180"/>
              <w:spacing w:after="0"/>
              <w:rPr>
                <w:sz w:val="20"/>
                <w:szCs w:val="20"/>
                <w:color w:val="auto"/>
              </w:rPr>
            </w:pPr>
            <w:r>
              <w:rPr>
                <w:rFonts w:ascii="Arial" w:cs="Arial" w:eastAsia="Arial" w:hAnsi="Arial"/>
                <w:sz w:val="16"/>
                <w:szCs w:val="16"/>
                <w:color w:val="auto"/>
              </w:rPr>
              <w:t>President since September 2016.</w:t>
            </w:r>
          </w:p>
        </w:tc>
        <w:tc>
          <w:tcPr>
            <w:tcW w:w="860" w:type="dxa"/>
            <w:vAlign w:val="bottom"/>
            <w:shd w:val="clear" w:color="auto" w:fill="F2F2F2"/>
          </w:tcPr>
          <w:p>
            <w:pPr>
              <w:spacing w:after="0"/>
              <w:rPr>
                <w:sz w:val="21"/>
                <w:szCs w:val="21"/>
                <w:color w:val="auto"/>
              </w:rPr>
            </w:pPr>
          </w:p>
        </w:tc>
        <w:tc>
          <w:tcPr>
            <w:tcW w:w="900" w:type="dxa"/>
            <w:vAlign w:val="bottom"/>
            <w:shd w:val="clear" w:color="auto" w:fill="F2F2F2"/>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9"/>
        </w:trPr>
        <w:tc>
          <w:tcPr>
            <w:tcW w:w="2720" w:type="dxa"/>
            <w:vAlign w:val="bottom"/>
            <w:shd w:val="clear" w:color="auto" w:fill="DBE5F1"/>
          </w:tcPr>
          <w:p>
            <w:pPr>
              <w:spacing w:after="0"/>
              <w:rPr>
                <w:sz w:val="24"/>
                <w:szCs w:val="24"/>
                <w:color w:val="auto"/>
              </w:rPr>
            </w:pPr>
          </w:p>
        </w:tc>
        <w:tc>
          <w:tcPr>
            <w:tcW w:w="2240" w:type="dxa"/>
            <w:vAlign w:val="bottom"/>
            <w:gridSpan w:val="2"/>
            <w:shd w:val="clear" w:color="auto" w:fill="F2F2F2"/>
          </w:tcPr>
          <w:p>
            <w:pPr>
              <w:ind w:left="100"/>
              <w:spacing w:after="0"/>
              <w:rPr>
                <w:sz w:val="20"/>
                <w:szCs w:val="20"/>
                <w:color w:val="auto"/>
              </w:rPr>
            </w:pPr>
            <w:r>
              <w:rPr>
                <w:rFonts w:ascii="Arial" w:cs="Arial" w:eastAsia="Arial" w:hAnsi="Arial"/>
                <w:sz w:val="16"/>
                <w:szCs w:val="16"/>
                <w:b w:val="1"/>
                <w:bCs w:val="1"/>
                <w:color w:val="auto"/>
              </w:rPr>
              <w:t>Committees:</w:t>
            </w:r>
          </w:p>
        </w:tc>
        <w:tc>
          <w:tcPr>
            <w:tcW w:w="3200" w:type="dxa"/>
            <w:vAlign w:val="bottom"/>
            <w:gridSpan w:val="2"/>
            <w:shd w:val="clear" w:color="auto" w:fill="F2F2F2"/>
          </w:tcPr>
          <w:p>
            <w:pPr>
              <w:ind w:left="180"/>
              <w:spacing w:after="0"/>
              <w:rPr>
                <w:sz w:val="20"/>
                <w:szCs w:val="20"/>
                <w:color w:val="auto"/>
              </w:rPr>
            </w:pPr>
            <w:r>
              <w:rPr>
                <w:rFonts w:ascii="Arial" w:cs="Arial" w:eastAsia="Arial" w:hAnsi="Arial"/>
                <w:sz w:val="16"/>
                <w:szCs w:val="16"/>
                <w:b w:val="1"/>
                <w:bCs w:val="1"/>
                <w:color w:val="4A7EBB"/>
              </w:rPr>
              <w:t>Qualifications</w:t>
            </w:r>
          </w:p>
        </w:tc>
        <w:tc>
          <w:tcPr>
            <w:tcW w:w="860" w:type="dxa"/>
            <w:vAlign w:val="bottom"/>
            <w:shd w:val="clear" w:color="auto" w:fill="F2F2F2"/>
          </w:tcPr>
          <w:p>
            <w:pPr>
              <w:spacing w:after="0"/>
              <w:rPr>
                <w:sz w:val="24"/>
                <w:szCs w:val="24"/>
                <w:color w:val="auto"/>
              </w:rPr>
            </w:pPr>
          </w:p>
        </w:tc>
        <w:tc>
          <w:tcPr>
            <w:tcW w:w="900" w:type="dxa"/>
            <w:vAlign w:val="bottom"/>
            <w:shd w:val="clear" w:color="auto" w:fill="F2F2F2"/>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720" w:type="dxa"/>
            <w:vAlign w:val="bottom"/>
            <w:shd w:val="clear" w:color="auto" w:fill="DBE5F1"/>
          </w:tcPr>
          <w:p>
            <w:pPr>
              <w:spacing w:after="0"/>
              <w:rPr>
                <w:sz w:val="18"/>
                <w:szCs w:val="18"/>
                <w:color w:val="auto"/>
              </w:rPr>
            </w:pPr>
          </w:p>
        </w:tc>
        <w:tc>
          <w:tcPr>
            <w:tcW w:w="320" w:type="dxa"/>
            <w:vAlign w:val="bottom"/>
            <w:shd w:val="clear" w:color="auto" w:fill="F2F2F2"/>
          </w:tcPr>
          <w:p>
            <w:pPr>
              <w:ind w:left="160"/>
              <w:spacing w:after="0" w:line="218" w:lineRule="exact"/>
              <w:rPr>
                <w:sz w:val="20"/>
                <w:szCs w:val="20"/>
                <w:color w:val="auto"/>
              </w:rPr>
            </w:pPr>
            <w:r>
              <w:rPr>
                <w:rFonts w:ascii="Arial" w:cs="Arial" w:eastAsia="Arial" w:hAnsi="Arial"/>
                <w:sz w:val="22"/>
                <w:szCs w:val="22"/>
                <w:b w:val="1"/>
                <w:bCs w:val="1"/>
                <w:color w:val="4A7EBB"/>
              </w:rPr>
              <w:t>•</w:t>
            </w:r>
          </w:p>
        </w:tc>
        <w:tc>
          <w:tcPr>
            <w:tcW w:w="1920" w:type="dxa"/>
            <w:vAlign w:val="bottom"/>
            <w:shd w:val="clear" w:color="auto" w:fill="F2F2F2"/>
          </w:tcPr>
          <w:p>
            <w:pPr>
              <w:ind w:left="80"/>
              <w:spacing w:after="0"/>
              <w:rPr>
                <w:sz w:val="20"/>
                <w:szCs w:val="20"/>
                <w:color w:val="auto"/>
              </w:rPr>
            </w:pPr>
            <w:r>
              <w:rPr>
                <w:rFonts w:ascii="Arial" w:cs="Arial" w:eastAsia="Arial" w:hAnsi="Arial"/>
                <w:sz w:val="16"/>
                <w:szCs w:val="16"/>
                <w:color w:val="auto"/>
              </w:rPr>
              <w:t>None</w:t>
            </w:r>
          </w:p>
        </w:tc>
        <w:tc>
          <w:tcPr>
            <w:tcW w:w="4960" w:type="dxa"/>
            <w:vAlign w:val="bottom"/>
            <w:gridSpan w:val="4"/>
            <w:shd w:val="clear" w:color="auto" w:fill="F2F2F2"/>
          </w:tcPr>
          <w:p>
            <w:pPr>
              <w:ind w:left="180"/>
              <w:spacing w:after="0"/>
              <w:rPr>
                <w:sz w:val="20"/>
                <w:szCs w:val="20"/>
                <w:color w:val="auto"/>
              </w:rPr>
            </w:pPr>
            <w:r>
              <w:rPr>
                <w:rFonts w:ascii="Arial" w:cs="Arial" w:eastAsia="Arial" w:hAnsi="Arial"/>
                <w:sz w:val="16"/>
                <w:szCs w:val="16"/>
                <w:color w:val="auto"/>
              </w:rPr>
              <w:t>Sammy Aaron has over 35 years of experience and expertise in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720" w:type="dxa"/>
            <w:vAlign w:val="bottom"/>
            <w:shd w:val="clear" w:color="auto" w:fill="DBE5F1"/>
          </w:tcPr>
          <w:p>
            <w:pPr>
              <w:spacing w:after="0"/>
              <w:rPr>
                <w:sz w:val="15"/>
                <w:szCs w:val="15"/>
                <w:color w:val="auto"/>
              </w:rPr>
            </w:pPr>
          </w:p>
        </w:tc>
        <w:tc>
          <w:tcPr>
            <w:tcW w:w="320" w:type="dxa"/>
            <w:vAlign w:val="bottom"/>
            <w:shd w:val="clear" w:color="auto" w:fill="F2F2F2"/>
          </w:tcPr>
          <w:p>
            <w:pPr>
              <w:spacing w:after="0"/>
              <w:rPr>
                <w:sz w:val="15"/>
                <w:szCs w:val="15"/>
                <w:color w:val="auto"/>
              </w:rPr>
            </w:pPr>
          </w:p>
        </w:tc>
        <w:tc>
          <w:tcPr>
            <w:tcW w:w="1920" w:type="dxa"/>
            <w:vAlign w:val="bottom"/>
            <w:shd w:val="clear" w:color="auto" w:fill="F2F2F2"/>
          </w:tcPr>
          <w:p>
            <w:pPr>
              <w:spacing w:after="0"/>
              <w:rPr>
                <w:sz w:val="15"/>
                <w:szCs w:val="15"/>
                <w:color w:val="auto"/>
              </w:rPr>
            </w:pPr>
          </w:p>
        </w:tc>
        <w:tc>
          <w:tcPr>
            <w:tcW w:w="4960" w:type="dxa"/>
            <w:vAlign w:val="bottom"/>
            <w:gridSpan w:val="4"/>
            <w:shd w:val="clear" w:color="auto" w:fill="F2F2F2"/>
          </w:tcPr>
          <w:p>
            <w:pPr>
              <w:ind w:left="180"/>
              <w:spacing w:after="0" w:line="175" w:lineRule="exact"/>
              <w:rPr>
                <w:sz w:val="20"/>
                <w:szCs w:val="20"/>
                <w:color w:val="auto"/>
              </w:rPr>
            </w:pPr>
            <w:r>
              <w:rPr>
                <w:rFonts w:ascii="Arial" w:cs="Arial" w:eastAsia="Arial" w:hAnsi="Arial"/>
                <w:sz w:val="16"/>
                <w:szCs w:val="16"/>
                <w:color w:val="auto"/>
              </w:rPr>
              <w:t>the apparel industry, as well as a broad working knowledge of</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720" w:type="dxa"/>
            <w:vAlign w:val="bottom"/>
            <w:shd w:val="clear" w:color="auto" w:fill="DBE5F1"/>
          </w:tcPr>
          <w:p>
            <w:pPr>
              <w:spacing w:after="0"/>
              <w:rPr>
                <w:sz w:val="16"/>
                <w:szCs w:val="16"/>
                <w:color w:val="auto"/>
              </w:rPr>
            </w:pPr>
          </w:p>
        </w:tc>
        <w:tc>
          <w:tcPr>
            <w:tcW w:w="320" w:type="dxa"/>
            <w:vAlign w:val="bottom"/>
            <w:shd w:val="clear" w:color="auto" w:fill="F2F2F2"/>
          </w:tcPr>
          <w:p>
            <w:pPr>
              <w:spacing w:after="0"/>
              <w:rPr>
                <w:sz w:val="16"/>
                <w:szCs w:val="16"/>
                <w:color w:val="auto"/>
              </w:rPr>
            </w:pPr>
          </w:p>
        </w:tc>
        <w:tc>
          <w:tcPr>
            <w:tcW w:w="1920" w:type="dxa"/>
            <w:vAlign w:val="bottom"/>
            <w:shd w:val="clear" w:color="auto" w:fill="F2F2F2"/>
          </w:tcPr>
          <w:p>
            <w:pPr>
              <w:spacing w:after="0"/>
              <w:rPr>
                <w:sz w:val="16"/>
                <w:szCs w:val="16"/>
                <w:color w:val="auto"/>
              </w:rPr>
            </w:pPr>
          </w:p>
        </w:tc>
        <w:tc>
          <w:tcPr>
            <w:tcW w:w="4960" w:type="dxa"/>
            <w:vAlign w:val="bottom"/>
            <w:gridSpan w:val="4"/>
            <w:shd w:val="clear" w:color="auto" w:fill="F2F2F2"/>
          </w:tcPr>
          <w:p>
            <w:pPr>
              <w:ind w:left="180"/>
              <w:spacing w:after="0"/>
              <w:rPr>
                <w:sz w:val="20"/>
                <w:szCs w:val="20"/>
                <w:color w:val="auto"/>
              </w:rPr>
            </w:pPr>
            <w:r>
              <w:rPr>
                <w:rFonts w:ascii="Arial" w:cs="Arial" w:eastAsia="Arial" w:hAnsi="Arial"/>
                <w:sz w:val="16"/>
                <w:szCs w:val="16"/>
                <w:color w:val="auto"/>
              </w:rPr>
              <w:t>our company, enabling him to make significant contributions to</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720" w:type="dxa"/>
            <w:vAlign w:val="bottom"/>
            <w:tcBorders>
              <w:bottom w:val="single" w:sz="8" w:color="808080"/>
            </w:tcBorders>
            <w:shd w:val="clear" w:color="auto" w:fill="DBE5F1"/>
          </w:tcPr>
          <w:p>
            <w:pPr>
              <w:spacing w:after="0"/>
              <w:rPr>
                <w:sz w:val="17"/>
                <w:szCs w:val="17"/>
                <w:color w:val="auto"/>
              </w:rPr>
            </w:pPr>
          </w:p>
        </w:tc>
        <w:tc>
          <w:tcPr>
            <w:tcW w:w="320" w:type="dxa"/>
            <w:vAlign w:val="bottom"/>
            <w:tcBorders>
              <w:bottom w:val="single" w:sz="8" w:color="808080"/>
            </w:tcBorders>
            <w:shd w:val="clear" w:color="auto" w:fill="F2F2F2"/>
          </w:tcPr>
          <w:p>
            <w:pPr>
              <w:spacing w:after="0"/>
              <w:rPr>
                <w:sz w:val="17"/>
                <w:szCs w:val="17"/>
                <w:color w:val="auto"/>
              </w:rPr>
            </w:pPr>
          </w:p>
        </w:tc>
        <w:tc>
          <w:tcPr>
            <w:tcW w:w="1920" w:type="dxa"/>
            <w:vAlign w:val="bottom"/>
            <w:tcBorders>
              <w:bottom w:val="single" w:sz="8" w:color="808080"/>
            </w:tcBorders>
            <w:shd w:val="clear" w:color="auto" w:fill="F2F2F2"/>
          </w:tcPr>
          <w:p>
            <w:pPr>
              <w:spacing w:after="0"/>
              <w:rPr>
                <w:sz w:val="17"/>
                <w:szCs w:val="17"/>
                <w:color w:val="auto"/>
              </w:rPr>
            </w:pPr>
          </w:p>
        </w:tc>
        <w:tc>
          <w:tcPr>
            <w:tcW w:w="3200" w:type="dxa"/>
            <w:vAlign w:val="bottom"/>
            <w:tcBorders>
              <w:bottom w:val="single" w:sz="8" w:color="808080"/>
            </w:tcBorders>
            <w:gridSpan w:val="2"/>
            <w:shd w:val="clear" w:color="auto" w:fill="F2F2F2"/>
          </w:tcPr>
          <w:p>
            <w:pPr>
              <w:ind w:left="180"/>
              <w:spacing w:after="0"/>
              <w:rPr>
                <w:sz w:val="20"/>
                <w:szCs w:val="20"/>
                <w:color w:val="auto"/>
              </w:rPr>
            </w:pPr>
            <w:r>
              <w:rPr>
                <w:rFonts w:ascii="Arial" w:cs="Arial" w:eastAsia="Arial" w:hAnsi="Arial"/>
                <w:sz w:val="16"/>
                <w:szCs w:val="16"/>
                <w:color w:val="auto"/>
              </w:rPr>
              <w:t>our Board.</w:t>
            </w:r>
          </w:p>
        </w:tc>
        <w:tc>
          <w:tcPr>
            <w:tcW w:w="860" w:type="dxa"/>
            <w:vAlign w:val="bottom"/>
            <w:tcBorders>
              <w:bottom w:val="single" w:sz="8" w:color="808080"/>
            </w:tcBorders>
            <w:shd w:val="clear" w:color="auto" w:fill="F2F2F2"/>
          </w:tcPr>
          <w:p>
            <w:pPr>
              <w:spacing w:after="0"/>
              <w:rPr>
                <w:sz w:val="17"/>
                <w:szCs w:val="17"/>
                <w:color w:val="auto"/>
              </w:rPr>
            </w:pPr>
          </w:p>
        </w:tc>
        <w:tc>
          <w:tcPr>
            <w:tcW w:w="900" w:type="dxa"/>
            <w:vAlign w:val="bottom"/>
            <w:tcBorders>
              <w:bottom w:val="single" w:sz="8" w:color="808080"/>
            </w:tcBorders>
            <w:shd w:val="clear" w:color="auto" w:fill="F2F2F2"/>
          </w:tcPr>
          <w:p>
            <w:pPr>
              <w:spacing w:after="0"/>
              <w:rPr>
                <w:sz w:val="17"/>
                <w:szCs w:val="17"/>
                <w:color w:val="auto"/>
              </w:rPr>
            </w:pPr>
          </w:p>
        </w:tc>
        <w:tc>
          <w:tcPr>
            <w:tcW w:w="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720" w:type="dxa"/>
            <w:vAlign w:val="bottom"/>
            <w:tcBorders>
              <w:bottom w:val="single" w:sz="8" w:color="4A7EBB"/>
            </w:tcBorders>
          </w:tcPr>
          <w:p>
            <w:pPr>
              <w:spacing w:after="0"/>
              <w:rPr>
                <w:sz w:val="17"/>
                <w:szCs w:val="17"/>
                <w:color w:val="auto"/>
              </w:rPr>
            </w:pPr>
          </w:p>
        </w:tc>
        <w:tc>
          <w:tcPr>
            <w:tcW w:w="320" w:type="dxa"/>
            <w:vAlign w:val="bottom"/>
            <w:tcBorders>
              <w:bottom w:val="single" w:sz="8" w:color="4A7EBB"/>
            </w:tcBorders>
          </w:tcPr>
          <w:p>
            <w:pPr>
              <w:spacing w:after="0"/>
              <w:rPr>
                <w:sz w:val="17"/>
                <w:szCs w:val="17"/>
                <w:color w:val="auto"/>
              </w:rPr>
            </w:pPr>
          </w:p>
        </w:tc>
        <w:tc>
          <w:tcPr>
            <w:tcW w:w="1920" w:type="dxa"/>
            <w:vAlign w:val="bottom"/>
            <w:tcBorders>
              <w:bottom w:val="single" w:sz="8" w:color="4A7EBB"/>
            </w:tcBorders>
          </w:tcPr>
          <w:p>
            <w:pPr>
              <w:spacing w:after="0"/>
              <w:rPr>
                <w:sz w:val="17"/>
                <w:szCs w:val="17"/>
                <w:color w:val="auto"/>
              </w:rPr>
            </w:pPr>
          </w:p>
        </w:tc>
        <w:tc>
          <w:tcPr>
            <w:tcW w:w="920" w:type="dxa"/>
            <w:vAlign w:val="bottom"/>
            <w:tcBorders>
              <w:bottom w:val="single" w:sz="8" w:color="4A7EBB"/>
            </w:tcBorders>
          </w:tcPr>
          <w:p>
            <w:pPr>
              <w:spacing w:after="0"/>
              <w:rPr>
                <w:sz w:val="17"/>
                <w:szCs w:val="17"/>
                <w:color w:val="auto"/>
              </w:rPr>
            </w:pPr>
          </w:p>
        </w:tc>
        <w:tc>
          <w:tcPr>
            <w:tcW w:w="2280" w:type="dxa"/>
            <w:vAlign w:val="bottom"/>
            <w:tcBorders>
              <w:bottom w:val="single" w:sz="8" w:color="4A7EBB"/>
            </w:tcBorders>
          </w:tcPr>
          <w:p>
            <w:pPr>
              <w:spacing w:after="0"/>
              <w:rPr>
                <w:sz w:val="17"/>
                <w:szCs w:val="17"/>
                <w:color w:val="auto"/>
              </w:rPr>
            </w:pPr>
          </w:p>
        </w:tc>
        <w:tc>
          <w:tcPr>
            <w:tcW w:w="860" w:type="dxa"/>
            <w:vAlign w:val="bottom"/>
            <w:tcBorders>
              <w:bottom w:val="single" w:sz="8" w:color="4A7EBB"/>
            </w:tcBorders>
          </w:tcPr>
          <w:p>
            <w:pPr>
              <w:spacing w:after="0"/>
              <w:rPr>
                <w:sz w:val="17"/>
                <w:szCs w:val="17"/>
                <w:color w:val="auto"/>
              </w:rPr>
            </w:pPr>
          </w:p>
        </w:tc>
        <w:tc>
          <w:tcPr>
            <w:tcW w:w="900" w:type="dxa"/>
            <w:vAlign w:val="bottom"/>
            <w:tcBorders>
              <w:bottom w:val="single" w:sz="8" w:color="4A7EBB"/>
            </w:tcBorders>
          </w:tcPr>
          <w:p>
            <w:pPr>
              <w:spacing w:after="0"/>
              <w:rPr>
                <w:sz w:val="17"/>
                <w:szCs w:val="17"/>
                <w:color w:val="auto"/>
              </w:rPr>
            </w:pPr>
          </w:p>
        </w:tc>
        <w:tc>
          <w:tcPr>
            <w:tcW w:w="20" w:type="dxa"/>
            <w:vAlign w:val="bottom"/>
            <w:tcBorders>
              <w:bottom w:val="single" w:sz="8" w:color="4A7EBB"/>
            </w:tcBorders>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720" w:type="dxa"/>
            <w:vAlign w:val="bottom"/>
            <w:shd w:val="clear" w:color="auto" w:fill="DBE5F1"/>
          </w:tcPr>
          <w:p>
            <w:pPr>
              <w:ind w:left="120"/>
              <w:spacing w:after="0" w:line="169" w:lineRule="exact"/>
              <w:rPr>
                <w:sz w:val="20"/>
                <w:szCs w:val="20"/>
                <w:color w:val="auto"/>
              </w:rPr>
            </w:pPr>
            <w:r>
              <w:rPr>
                <w:rFonts w:ascii="Arial" w:cs="Arial" w:eastAsia="Arial" w:hAnsi="Arial"/>
                <w:sz w:val="18"/>
                <w:szCs w:val="18"/>
                <w:b w:val="1"/>
                <w:bCs w:val="1"/>
                <w:color w:val="auto"/>
              </w:rPr>
              <w:t>THOMAS J. BROSIG</w:t>
            </w:r>
          </w:p>
        </w:tc>
        <w:tc>
          <w:tcPr>
            <w:tcW w:w="2240" w:type="dxa"/>
            <w:vAlign w:val="bottom"/>
            <w:gridSpan w:val="2"/>
            <w:shd w:val="clear" w:color="auto" w:fill="F2F2F2"/>
          </w:tcPr>
          <w:p>
            <w:pPr>
              <w:ind w:left="100"/>
              <w:spacing w:after="0" w:line="168" w:lineRule="exact"/>
              <w:rPr>
                <w:sz w:val="20"/>
                <w:szCs w:val="20"/>
                <w:color w:val="auto"/>
              </w:rPr>
            </w:pPr>
            <w:r>
              <w:rPr>
                <w:rFonts w:ascii="Arial" w:cs="Arial" w:eastAsia="Arial" w:hAnsi="Arial"/>
                <w:sz w:val="16"/>
                <w:szCs w:val="16"/>
                <w:b w:val="1"/>
                <w:bCs w:val="1"/>
                <w:color w:val="auto"/>
              </w:rPr>
              <w:t>Age: 76</w:t>
            </w:r>
          </w:p>
        </w:tc>
        <w:tc>
          <w:tcPr>
            <w:tcW w:w="4960" w:type="dxa"/>
            <w:vAlign w:val="bottom"/>
            <w:gridSpan w:val="4"/>
            <w:shd w:val="clear" w:color="auto" w:fill="F2F2F2"/>
          </w:tcPr>
          <w:p>
            <w:pPr>
              <w:ind w:left="180"/>
              <w:spacing w:after="0" w:line="168" w:lineRule="exact"/>
              <w:rPr>
                <w:sz w:val="20"/>
                <w:szCs w:val="20"/>
                <w:color w:val="auto"/>
              </w:rPr>
            </w:pPr>
            <w:r>
              <w:rPr>
                <w:rFonts w:ascii="Arial" w:cs="Arial" w:eastAsia="Arial" w:hAnsi="Arial"/>
                <w:sz w:val="16"/>
                <w:szCs w:val="16"/>
                <w:color w:val="auto"/>
              </w:rPr>
              <w:t>Thomas J. Brosig is currently an owner and Chief Financial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720" w:type="dxa"/>
            <w:vAlign w:val="bottom"/>
            <w:shd w:val="clear" w:color="auto" w:fill="DBE5F1"/>
          </w:tcPr>
          <w:p>
            <w:pPr>
              <w:ind w:left="120"/>
              <w:spacing w:after="0" w:line="189" w:lineRule="exact"/>
              <w:rPr>
                <w:sz w:val="20"/>
                <w:szCs w:val="20"/>
                <w:color w:val="auto"/>
              </w:rPr>
            </w:pPr>
            <w:r>
              <w:rPr>
                <w:rFonts w:ascii="Arial" w:cs="Arial" w:eastAsia="Arial" w:hAnsi="Arial"/>
                <w:sz w:val="17"/>
                <w:szCs w:val="17"/>
                <w:color w:val="auto"/>
              </w:rPr>
              <w:t>Owner and Chief Financial</w:t>
            </w:r>
          </w:p>
        </w:tc>
        <w:tc>
          <w:tcPr>
            <w:tcW w:w="320" w:type="dxa"/>
            <w:vAlign w:val="bottom"/>
            <w:shd w:val="clear" w:color="auto" w:fill="F2F2F2"/>
          </w:tcPr>
          <w:p>
            <w:pPr>
              <w:spacing w:after="0"/>
              <w:rPr>
                <w:sz w:val="16"/>
                <w:szCs w:val="16"/>
                <w:color w:val="auto"/>
              </w:rPr>
            </w:pPr>
          </w:p>
        </w:tc>
        <w:tc>
          <w:tcPr>
            <w:tcW w:w="1920" w:type="dxa"/>
            <w:vAlign w:val="bottom"/>
            <w:shd w:val="clear" w:color="auto" w:fill="F2F2F2"/>
          </w:tcPr>
          <w:p>
            <w:pPr>
              <w:spacing w:after="0"/>
              <w:rPr>
                <w:sz w:val="16"/>
                <w:szCs w:val="16"/>
                <w:color w:val="auto"/>
              </w:rPr>
            </w:pPr>
          </w:p>
        </w:tc>
        <w:tc>
          <w:tcPr>
            <w:tcW w:w="4960" w:type="dxa"/>
            <w:vAlign w:val="bottom"/>
            <w:gridSpan w:val="4"/>
            <w:shd w:val="clear" w:color="auto" w:fill="F2F2F2"/>
          </w:tcPr>
          <w:p>
            <w:pPr>
              <w:ind w:left="180"/>
              <w:spacing w:after="0"/>
              <w:rPr>
                <w:sz w:val="20"/>
                <w:szCs w:val="20"/>
                <w:color w:val="auto"/>
              </w:rPr>
            </w:pPr>
            <w:r>
              <w:rPr>
                <w:rFonts w:ascii="Arial" w:cs="Arial" w:eastAsia="Arial" w:hAnsi="Arial"/>
                <w:sz w:val="16"/>
                <w:szCs w:val="16"/>
                <w:color w:val="auto"/>
              </w:rPr>
              <w:t>Officer of McMurphy Homes, LLC, a residential home building</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20" w:type="dxa"/>
            <w:vAlign w:val="bottom"/>
            <w:shd w:val="clear" w:color="auto" w:fill="DBE5F1"/>
          </w:tcPr>
          <w:p>
            <w:pPr>
              <w:ind w:left="120"/>
              <w:spacing w:after="0" w:line="189" w:lineRule="exact"/>
              <w:rPr>
                <w:sz w:val="20"/>
                <w:szCs w:val="20"/>
                <w:color w:val="auto"/>
              </w:rPr>
            </w:pPr>
            <w:r>
              <w:rPr>
                <w:rFonts w:ascii="Arial" w:cs="Arial" w:eastAsia="Arial" w:hAnsi="Arial"/>
                <w:sz w:val="17"/>
                <w:szCs w:val="17"/>
                <w:color w:val="auto"/>
              </w:rPr>
              <w:t>Officer, McMurphy Homes, LLC</w:t>
            </w:r>
          </w:p>
        </w:tc>
        <w:tc>
          <w:tcPr>
            <w:tcW w:w="2240" w:type="dxa"/>
            <w:vAlign w:val="bottom"/>
            <w:gridSpan w:val="2"/>
            <w:shd w:val="clear" w:color="auto" w:fill="F2F2F2"/>
          </w:tcPr>
          <w:p>
            <w:pPr>
              <w:ind w:left="100"/>
              <w:spacing w:after="0"/>
              <w:rPr>
                <w:sz w:val="20"/>
                <w:szCs w:val="20"/>
                <w:color w:val="auto"/>
              </w:rPr>
            </w:pPr>
            <w:r>
              <w:rPr>
                <w:rFonts w:ascii="Arial" w:cs="Arial" w:eastAsia="Arial" w:hAnsi="Arial"/>
                <w:sz w:val="16"/>
                <w:szCs w:val="16"/>
                <w:b w:val="1"/>
                <w:bCs w:val="1"/>
                <w:color w:val="auto"/>
              </w:rPr>
              <w:t>Director since: 1992</w:t>
            </w:r>
          </w:p>
        </w:tc>
        <w:tc>
          <w:tcPr>
            <w:tcW w:w="4960" w:type="dxa"/>
            <w:vAlign w:val="bottom"/>
            <w:gridSpan w:val="4"/>
            <w:shd w:val="clear" w:color="auto" w:fill="F2F2F2"/>
          </w:tcPr>
          <w:p>
            <w:pPr>
              <w:ind w:left="180"/>
              <w:spacing w:after="0"/>
              <w:rPr>
                <w:sz w:val="20"/>
                <w:szCs w:val="20"/>
                <w:color w:val="auto"/>
              </w:rPr>
            </w:pPr>
            <w:r>
              <w:rPr>
                <w:rFonts w:ascii="Arial" w:cs="Arial" w:eastAsia="Arial" w:hAnsi="Arial"/>
                <w:sz w:val="16"/>
                <w:szCs w:val="16"/>
                <w:color w:val="auto"/>
              </w:rPr>
              <w:t>contractor in Mississippi. From January 2017 until June 2020,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20" w:type="dxa"/>
            <w:vAlign w:val="bottom"/>
            <w:shd w:val="clear" w:color="auto" w:fill="DBE5F1"/>
          </w:tcPr>
          <w:p>
            <w:pPr>
              <w:spacing w:after="0"/>
              <w:rPr>
                <w:sz w:val="16"/>
                <w:szCs w:val="16"/>
                <w:color w:val="auto"/>
              </w:rPr>
            </w:pPr>
          </w:p>
        </w:tc>
        <w:tc>
          <w:tcPr>
            <w:tcW w:w="320" w:type="dxa"/>
            <w:vAlign w:val="bottom"/>
            <w:shd w:val="clear" w:color="auto" w:fill="F2F2F2"/>
          </w:tcPr>
          <w:p>
            <w:pPr>
              <w:spacing w:after="0"/>
              <w:rPr>
                <w:sz w:val="16"/>
                <w:szCs w:val="16"/>
                <w:color w:val="auto"/>
              </w:rPr>
            </w:pPr>
          </w:p>
        </w:tc>
        <w:tc>
          <w:tcPr>
            <w:tcW w:w="1920" w:type="dxa"/>
            <w:vAlign w:val="bottom"/>
            <w:shd w:val="clear" w:color="auto" w:fill="F2F2F2"/>
          </w:tcPr>
          <w:p>
            <w:pPr>
              <w:spacing w:after="0"/>
              <w:rPr>
                <w:sz w:val="16"/>
                <w:szCs w:val="16"/>
                <w:color w:val="auto"/>
              </w:rPr>
            </w:pPr>
          </w:p>
        </w:tc>
        <w:tc>
          <w:tcPr>
            <w:tcW w:w="4960" w:type="dxa"/>
            <w:vAlign w:val="bottom"/>
            <w:gridSpan w:val="4"/>
            <w:shd w:val="clear" w:color="auto" w:fill="F2F2F2"/>
          </w:tcPr>
          <w:p>
            <w:pPr>
              <w:ind w:left="180"/>
              <w:spacing w:after="0"/>
              <w:rPr>
                <w:sz w:val="20"/>
                <w:szCs w:val="20"/>
                <w:color w:val="auto"/>
              </w:rPr>
            </w:pPr>
            <w:r>
              <w:rPr>
                <w:rFonts w:ascii="Arial" w:cs="Arial" w:eastAsia="Arial" w:hAnsi="Arial"/>
                <w:sz w:val="16"/>
                <w:szCs w:val="16"/>
                <w:color w:val="auto"/>
              </w:rPr>
              <w:t>Thomas J. Brosig was President of Nikki Beach Worldwide and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720" w:type="dxa"/>
            <w:vAlign w:val="bottom"/>
            <w:shd w:val="clear" w:color="auto" w:fill="DBE5F1"/>
          </w:tcPr>
          <w:p>
            <w:pPr>
              <w:ind w:left="440"/>
              <w:spacing w:after="0"/>
              <w:rPr>
                <w:sz w:val="20"/>
                <w:szCs w:val="20"/>
                <w:color w:val="auto"/>
              </w:rPr>
            </w:pPr>
            <w:r>
              <w:rPr>
                <w:rFonts w:ascii="Arial" w:cs="Arial" w:eastAsia="Arial" w:hAnsi="Arial"/>
                <w:sz w:val="16"/>
                <w:szCs w:val="16"/>
                <w:color w:val="auto"/>
              </w:rPr>
              <w:t>Independent</w:t>
            </w:r>
          </w:p>
        </w:tc>
        <w:tc>
          <w:tcPr>
            <w:tcW w:w="2240" w:type="dxa"/>
            <w:vAlign w:val="bottom"/>
            <w:gridSpan w:val="2"/>
            <w:shd w:val="clear" w:color="auto" w:fill="F2F2F2"/>
          </w:tcPr>
          <w:p>
            <w:pPr>
              <w:ind w:left="100"/>
              <w:spacing w:after="0"/>
              <w:rPr>
                <w:sz w:val="20"/>
                <w:szCs w:val="20"/>
                <w:color w:val="auto"/>
              </w:rPr>
            </w:pPr>
            <w:r>
              <w:rPr>
                <w:rFonts w:ascii="Arial" w:cs="Arial" w:eastAsia="Arial" w:hAnsi="Arial"/>
                <w:sz w:val="16"/>
                <w:szCs w:val="16"/>
                <w:b w:val="1"/>
                <w:bCs w:val="1"/>
                <w:color w:val="auto"/>
              </w:rPr>
              <w:t>Committees:</w:t>
            </w:r>
          </w:p>
        </w:tc>
        <w:tc>
          <w:tcPr>
            <w:tcW w:w="4960" w:type="dxa"/>
            <w:vAlign w:val="bottom"/>
            <w:gridSpan w:val="4"/>
            <w:shd w:val="clear" w:color="auto" w:fill="F2F2F2"/>
          </w:tcPr>
          <w:p>
            <w:pPr>
              <w:ind w:left="180"/>
              <w:spacing w:after="0"/>
              <w:rPr>
                <w:sz w:val="20"/>
                <w:szCs w:val="20"/>
                <w:color w:val="auto"/>
              </w:rPr>
            </w:pPr>
            <w:r>
              <w:rPr>
                <w:rFonts w:ascii="Arial" w:cs="Arial" w:eastAsia="Arial" w:hAnsi="Arial"/>
                <w:sz w:val="16"/>
                <w:szCs w:val="16"/>
                <w:color w:val="auto"/>
              </w:rPr>
              <w:t>President and Chief Executive Officer of Penrod’s Restaurant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720" w:type="dxa"/>
            <w:vAlign w:val="bottom"/>
            <w:shd w:val="clear" w:color="auto" w:fill="DBE5F1"/>
          </w:tcPr>
          <w:p>
            <w:pPr>
              <w:spacing w:after="0"/>
              <w:rPr>
                <w:sz w:val="17"/>
                <w:szCs w:val="17"/>
                <w:color w:val="auto"/>
              </w:rPr>
            </w:pPr>
          </w:p>
        </w:tc>
        <w:tc>
          <w:tcPr>
            <w:tcW w:w="320" w:type="dxa"/>
            <w:vAlign w:val="bottom"/>
            <w:shd w:val="clear" w:color="auto" w:fill="F2F2F2"/>
          </w:tcPr>
          <w:p>
            <w:pPr>
              <w:ind w:left="160"/>
              <w:spacing w:after="0" w:line="203" w:lineRule="exact"/>
              <w:rPr>
                <w:sz w:val="20"/>
                <w:szCs w:val="20"/>
                <w:color w:val="auto"/>
              </w:rPr>
            </w:pPr>
            <w:r>
              <w:rPr>
                <w:rFonts w:ascii="Arial" w:cs="Arial" w:eastAsia="Arial" w:hAnsi="Arial"/>
                <w:sz w:val="22"/>
                <w:szCs w:val="22"/>
                <w:b w:val="1"/>
                <w:bCs w:val="1"/>
                <w:color w:val="4A7EBB"/>
              </w:rPr>
              <w:t>•</w:t>
            </w:r>
          </w:p>
        </w:tc>
        <w:tc>
          <w:tcPr>
            <w:tcW w:w="1920" w:type="dxa"/>
            <w:vAlign w:val="bottom"/>
            <w:shd w:val="clear" w:color="auto" w:fill="F2F2F2"/>
          </w:tcPr>
          <w:p>
            <w:pPr>
              <w:ind w:left="80"/>
              <w:spacing w:after="0"/>
              <w:rPr>
                <w:sz w:val="20"/>
                <w:szCs w:val="20"/>
                <w:color w:val="auto"/>
              </w:rPr>
            </w:pPr>
            <w:r>
              <w:rPr>
                <w:rFonts w:ascii="Arial" w:cs="Arial" w:eastAsia="Arial" w:hAnsi="Arial"/>
                <w:sz w:val="16"/>
                <w:szCs w:val="16"/>
                <w:color w:val="auto"/>
              </w:rPr>
              <w:t>Compensation</w:t>
            </w:r>
          </w:p>
        </w:tc>
        <w:tc>
          <w:tcPr>
            <w:tcW w:w="4960" w:type="dxa"/>
            <w:vAlign w:val="bottom"/>
            <w:gridSpan w:val="4"/>
            <w:shd w:val="clear" w:color="auto" w:fill="F2F2F2"/>
          </w:tcPr>
          <w:p>
            <w:pPr>
              <w:ind w:left="180"/>
              <w:spacing w:after="0"/>
              <w:rPr>
                <w:sz w:val="20"/>
                <w:szCs w:val="20"/>
                <w:color w:val="auto"/>
              </w:rPr>
            </w:pPr>
            <w:r>
              <w:rPr>
                <w:rFonts w:ascii="Arial" w:cs="Arial" w:eastAsia="Arial" w:hAnsi="Arial"/>
                <w:sz w:val="16"/>
                <w:szCs w:val="16"/>
                <w:color w:val="auto"/>
              </w:rPr>
              <w:t>Group. From 2013 to 2016, Thomas J. Brosig was a strategic</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720" w:type="dxa"/>
            <w:vAlign w:val="bottom"/>
            <w:shd w:val="clear" w:color="auto" w:fill="DBE5F1"/>
          </w:tcPr>
          <w:p>
            <w:pPr>
              <w:spacing w:after="0"/>
              <w:rPr>
                <w:sz w:val="15"/>
                <w:szCs w:val="15"/>
                <w:color w:val="auto"/>
              </w:rPr>
            </w:pPr>
          </w:p>
        </w:tc>
        <w:tc>
          <w:tcPr>
            <w:tcW w:w="320" w:type="dxa"/>
            <w:vAlign w:val="bottom"/>
            <w:vMerge w:val="restart"/>
            <w:shd w:val="clear" w:color="auto" w:fill="F2F2F2"/>
          </w:tcPr>
          <w:p>
            <w:pPr>
              <w:ind w:left="160"/>
              <w:spacing w:after="0"/>
              <w:rPr>
                <w:sz w:val="20"/>
                <w:szCs w:val="20"/>
                <w:color w:val="auto"/>
              </w:rPr>
            </w:pPr>
            <w:r>
              <w:rPr>
                <w:rFonts w:ascii="Arial" w:cs="Arial" w:eastAsia="Arial" w:hAnsi="Arial"/>
                <w:sz w:val="22"/>
                <w:szCs w:val="22"/>
                <w:b w:val="1"/>
                <w:bCs w:val="1"/>
                <w:color w:val="4A7EBB"/>
              </w:rPr>
              <w:t>•</w:t>
            </w:r>
          </w:p>
        </w:tc>
        <w:tc>
          <w:tcPr>
            <w:tcW w:w="1920" w:type="dxa"/>
            <w:vAlign w:val="bottom"/>
            <w:vMerge w:val="restart"/>
            <w:shd w:val="clear" w:color="auto" w:fill="F2F2F2"/>
          </w:tcPr>
          <w:p>
            <w:pPr>
              <w:ind w:left="80"/>
              <w:spacing w:after="0"/>
              <w:rPr>
                <w:sz w:val="20"/>
                <w:szCs w:val="20"/>
                <w:color w:val="auto"/>
              </w:rPr>
            </w:pPr>
            <w:r>
              <w:rPr>
                <w:rFonts w:ascii="Arial" w:cs="Arial" w:eastAsia="Arial" w:hAnsi="Arial"/>
                <w:sz w:val="16"/>
                <w:szCs w:val="16"/>
                <w:color w:val="auto"/>
              </w:rPr>
              <w:t>Nominating and</w:t>
            </w:r>
          </w:p>
        </w:tc>
        <w:tc>
          <w:tcPr>
            <w:tcW w:w="920" w:type="dxa"/>
            <w:vAlign w:val="bottom"/>
            <w:shd w:val="clear" w:color="auto" w:fill="F2F2F2"/>
          </w:tcPr>
          <w:p>
            <w:pPr>
              <w:ind w:left="180"/>
              <w:spacing w:after="0" w:line="175" w:lineRule="exact"/>
              <w:rPr>
                <w:sz w:val="20"/>
                <w:szCs w:val="20"/>
                <w:color w:val="auto"/>
              </w:rPr>
            </w:pPr>
            <w:r>
              <w:rPr>
                <w:rFonts w:ascii="Arial" w:cs="Arial" w:eastAsia="Arial" w:hAnsi="Arial"/>
                <w:sz w:val="16"/>
                <w:szCs w:val="16"/>
                <w:color w:val="auto"/>
              </w:rPr>
              <w:t>business</w:t>
            </w:r>
          </w:p>
        </w:tc>
        <w:tc>
          <w:tcPr>
            <w:tcW w:w="2280" w:type="dxa"/>
            <w:vAlign w:val="bottom"/>
            <w:shd w:val="clear" w:color="auto" w:fill="F2F2F2"/>
          </w:tcPr>
          <w:p>
            <w:pPr>
              <w:jc w:val="center"/>
              <w:spacing w:after="0" w:line="175" w:lineRule="exact"/>
              <w:rPr>
                <w:sz w:val="20"/>
                <w:szCs w:val="20"/>
                <w:color w:val="auto"/>
              </w:rPr>
            </w:pPr>
            <w:r>
              <w:rPr>
                <w:rFonts w:ascii="Arial" w:cs="Arial" w:eastAsia="Arial" w:hAnsi="Arial"/>
                <w:sz w:val="16"/>
                <w:szCs w:val="16"/>
                <w:color w:val="auto"/>
              </w:rPr>
              <w:t>consultant. Thomas J. Brosig</w:t>
            </w:r>
          </w:p>
        </w:tc>
        <w:tc>
          <w:tcPr>
            <w:tcW w:w="860" w:type="dxa"/>
            <w:vAlign w:val="bottom"/>
            <w:shd w:val="clear" w:color="auto" w:fill="F2F2F2"/>
          </w:tcPr>
          <w:p>
            <w:pPr>
              <w:ind w:left="80"/>
              <w:spacing w:after="0" w:line="175" w:lineRule="exact"/>
              <w:rPr>
                <w:sz w:val="20"/>
                <w:szCs w:val="20"/>
                <w:color w:val="auto"/>
              </w:rPr>
            </w:pPr>
            <w:r>
              <w:rPr>
                <w:rFonts w:ascii="Arial" w:cs="Arial" w:eastAsia="Arial" w:hAnsi="Arial"/>
                <w:sz w:val="16"/>
                <w:szCs w:val="16"/>
                <w:color w:val="auto"/>
              </w:rPr>
              <w:t>was Chief</w:t>
            </w:r>
          </w:p>
        </w:tc>
        <w:tc>
          <w:tcPr>
            <w:tcW w:w="900" w:type="dxa"/>
            <w:vAlign w:val="bottom"/>
            <w:shd w:val="clear" w:color="auto" w:fill="F2F2F2"/>
          </w:tcPr>
          <w:p>
            <w:pPr>
              <w:jc w:val="right"/>
              <w:ind w:right="19"/>
              <w:spacing w:after="0" w:line="175" w:lineRule="exact"/>
              <w:rPr>
                <w:sz w:val="20"/>
                <w:szCs w:val="20"/>
                <w:color w:val="auto"/>
              </w:rPr>
            </w:pPr>
            <w:r>
              <w:rPr>
                <w:rFonts w:ascii="Arial" w:cs="Arial" w:eastAsia="Arial" w:hAnsi="Arial"/>
                <w:sz w:val="16"/>
                <w:szCs w:val="16"/>
                <w:color w:val="auto"/>
              </w:rPr>
              <w:t>Executive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720" w:type="dxa"/>
            <w:vAlign w:val="bottom"/>
            <w:shd w:val="clear" w:color="auto" w:fill="DBE5F1"/>
          </w:tcPr>
          <w:p>
            <w:pPr>
              <w:spacing w:after="0"/>
              <w:rPr>
                <w:sz w:val="8"/>
                <w:szCs w:val="8"/>
                <w:color w:val="auto"/>
              </w:rPr>
            </w:pPr>
          </w:p>
        </w:tc>
        <w:tc>
          <w:tcPr>
            <w:tcW w:w="320" w:type="dxa"/>
            <w:vAlign w:val="bottom"/>
            <w:vMerge w:val="continue"/>
            <w:shd w:val="clear" w:color="auto" w:fill="F2F2F2"/>
          </w:tcPr>
          <w:p>
            <w:pPr>
              <w:spacing w:after="0"/>
              <w:rPr>
                <w:sz w:val="8"/>
                <w:szCs w:val="8"/>
                <w:color w:val="auto"/>
              </w:rPr>
            </w:pPr>
          </w:p>
        </w:tc>
        <w:tc>
          <w:tcPr>
            <w:tcW w:w="1920" w:type="dxa"/>
            <w:vAlign w:val="bottom"/>
            <w:vMerge w:val="continue"/>
            <w:shd w:val="clear" w:color="auto" w:fill="F2F2F2"/>
          </w:tcPr>
          <w:p>
            <w:pPr>
              <w:spacing w:after="0"/>
              <w:rPr>
                <w:sz w:val="8"/>
                <w:szCs w:val="8"/>
                <w:color w:val="auto"/>
              </w:rPr>
            </w:pPr>
          </w:p>
        </w:tc>
        <w:tc>
          <w:tcPr>
            <w:tcW w:w="920" w:type="dxa"/>
            <w:vAlign w:val="bottom"/>
            <w:vMerge w:val="restart"/>
            <w:shd w:val="clear" w:color="auto" w:fill="F2F2F2"/>
          </w:tcPr>
          <w:p>
            <w:pPr>
              <w:ind w:left="180"/>
              <w:spacing w:after="0"/>
              <w:rPr>
                <w:sz w:val="20"/>
                <w:szCs w:val="20"/>
                <w:color w:val="auto"/>
              </w:rPr>
            </w:pPr>
            <w:r>
              <w:rPr>
                <w:rFonts w:ascii="Arial" w:cs="Arial" w:eastAsia="Arial" w:hAnsi="Arial"/>
                <w:sz w:val="16"/>
                <w:szCs w:val="16"/>
                <w:color w:val="auto"/>
              </w:rPr>
              <w:t>Officer  of</w:t>
            </w:r>
          </w:p>
        </w:tc>
        <w:tc>
          <w:tcPr>
            <w:tcW w:w="2280" w:type="dxa"/>
            <w:vAlign w:val="bottom"/>
            <w:vMerge w:val="restart"/>
            <w:shd w:val="clear" w:color="auto" w:fill="F2F2F2"/>
          </w:tcPr>
          <w:p>
            <w:pPr>
              <w:jc w:val="center"/>
              <w:spacing w:after="0"/>
              <w:rPr>
                <w:sz w:val="20"/>
                <w:szCs w:val="20"/>
                <w:color w:val="auto"/>
              </w:rPr>
            </w:pPr>
            <w:r>
              <w:rPr>
                <w:rFonts w:ascii="Arial" w:cs="Arial" w:eastAsia="Arial" w:hAnsi="Arial"/>
                <w:sz w:val="16"/>
                <w:szCs w:val="16"/>
                <w:color w:val="auto"/>
              </w:rPr>
              <w:t>MVB  Holdings  LLC  from</w:t>
            </w:r>
          </w:p>
        </w:tc>
        <w:tc>
          <w:tcPr>
            <w:tcW w:w="860" w:type="dxa"/>
            <w:vAlign w:val="bottom"/>
            <w:vMerge w:val="restart"/>
            <w:shd w:val="clear" w:color="auto" w:fill="F2F2F2"/>
          </w:tcPr>
          <w:p>
            <w:pPr>
              <w:spacing w:after="0"/>
              <w:rPr>
                <w:sz w:val="20"/>
                <w:szCs w:val="20"/>
                <w:color w:val="auto"/>
              </w:rPr>
            </w:pPr>
            <w:r>
              <w:rPr>
                <w:rFonts w:ascii="Arial" w:cs="Arial" w:eastAsia="Arial" w:hAnsi="Arial"/>
                <w:sz w:val="16"/>
                <w:szCs w:val="16"/>
                <w:color w:val="auto"/>
              </w:rPr>
              <w:t>December</w:t>
            </w:r>
          </w:p>
        </w:tc>
        <w:tc>
          <w:tcPr>
            <w:tcW w:w="900" w:type="dxa"/>
            <w:vAlign w:val="bottom"/>
            <w:vMerge w:val="restart"/>
            <w:shd w:val="clear" w:color="auto" w:fill="F2F2F2"/>
          </w:tcPr>
          <w:p>
            <w:pPr>
              <w:jc w:val="right"/>
              <w:ind w:right="19"/>
              <w:spacing w:after="0"/>
              <w:rPr>
                <w:sz w:val="20"/>
                <w:szCs w:val="20"/>
                <w:color w:val="auto"/>
              </w:rPr>
            </w:pPr>
            <w:r>
              <w:rPr>
                <w:rFonts w:ascii="Arial" w:cs="Arial" w:eastAsia="Arial" w:hAnsi="Arial"/>
                <w:sz w:val="16"/>
                <w:szCs w:val="16"/>
                <w:color w:val="auto"/>
              </w:rPr>
              <w:t>2011  until</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720" w:type="dxa"/>
            <w:vAlign w:val="bottom"/>
            <w:shd w:val="clear" w:color="auto" w:fill="DBE5F1"/>
          </w:tcPr>
          <w:p>
            <w:pPr>
              <w:spacing w:after="0"/>
              <w:rPr>
                <w:sz w:val="8"/>
                <w:szCs w:val="8"/>
                <w:color w:val="auto"/>
              </w:rPr>
            </w:pPr>
          </w:p>
        </w:tc>
        <w:tc>
          <w:tcPr>
            <w:tcW w:w="320" w:type="dxa"/>
            <w:vAlign w:val="bottom"/>
            <w:shd w:val="clear" w:color="auto" w:fill="F2F2F2"/>
          </w:tcPr>
          <w:p>
            <w:pPr>
              <w:spacing w:after="0"/>
              <w:rPr>
                <w:sz w:val="8"/>
                <w:szCs w:val="8"/>
                <w:color w:val="auto"/>
              </w:rPr>
            </w:pPr>
          </w:p>
        </w:tc>
        <w:tc>
          <w:tcPr>
            <w:tcW w:w="1920" w:type="dxa"/>
            <w:vAlign w:val="bottom"/>
            <w:vMerge w:val="restart"/>
            <w:shd w:val="clear" w:color="auto" w:fill="F2F2F2"/>
          </w:tcPr>
          <w:p>
            <w:pPr>
              <w:ind w:left="80"/>
              <w:spacing w:after="0"/>
              <w:rPr>
                <w:sz w:val="20"/>
                <w:szCs w:val="20"/>
                <w:color w:val="auto"/>
              </w:rPr>
            </w:pPr>
            <w:r>
              <w:rPr>
                <w:rFonts w:ascii="Arial" w:cs="Arial" w:eastAsia="Arial" w:hAnsi="Arial"/>
                <w:sz w:val="16"/>
                <w:szCs w:val="16"/>
                <w:color w:val="auto"/>
              </w:rPr>
              <w:t>Corporate Governance</w:t>
            </w:r>
          </w:p>
        </w:tc>
        <w:tc>
          <w:tcPr>
            <w:tcW w:w="920" w:type="dxa"/>
            <w:vAlign w:val="bottom"/>
            <w:vMerge w:val="continue"/>
            <w:shd w:val="clear" w:color="auto" w:fill="F2F2F2"/>
          </w:tcPr>
          <w:p>
            <w:pPr>
              <w:spacing w:after="0"/>
              <w:rPr>
                <w:sz w:val="8"/>
                <w:szCs w:val="8"/>
                <w:color w:val="auto"/>
              </w:rPr>
            </w:pPr>
          </w:p>
        </w:tc>
        <w:tc>
          <w:tcPr>
            <w:tcW w:w="2280" w:type="dxa"/>
            <w:vAlign w:val="bottom"/>
            <w:vMerge w:val="continue"/>
            <w:shd w:val="clear" w:color="auto" w:fill="F2F2F2"/>
          </w:tcPr>
          <w:p>
            <w:pPr>
              <w:spacing w:after="0"/>
              <w:rPr>
                <w:sz w:val="8"/>
                <w:szCs w:val="8"/>
                <w:color w:val="auto"/>
              </w:rPr>
            </w:pPr>
          </w:p>
        </w:tc>
        <w:tc>
          <w:tcPr>
            <w:tcW w:w="860" w:type="dxa"/>
            <w:vAlign w:val="bottom"/>
            <w:vMerge w:val="continue"/>
            <w:shd w:val="clear" w:color="auto" w:fill="F2F2F2"/>
          </w:tcPr>
          <w:p>
            <w:pPr>
              <w:spacing w:after="0"/>
              <w:rPr>
                <w:sz w:val="8"/>
                <w:szCs w:val="8"/>
                <w:color w:val="auto"/>
              </w:rPr>
            </w:pPr>
          </w:p>
        </w:tc>
        <w:tc>
          <w:tcPr>
            <w:tcW w:w="900" w:type="dxa"/>
            <w:vAlign w:val="bottom"/>
            <w:vMerge w:val="continue"/>
            <w:shd w:val="clear" w:color="auto" w:fill="F2F2F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2720" w:type="dxa"/>
            <w:vAlign w:val="bottom"/>
            <w:shd w:val="clear" w:color="auto" w:fill="DBE5F1"/>
          </w:tcPr>
          <w:p>
            <w:pPr>
              <w:spacing w:after="0"/>
              <w:rPr>
                <w:sz w:val="10"/>
                <w:szCs w:val="10"/>
                <w:color w:val="auto"/>
              </w:rPr>
            </w:pPr>
          </w:p>
        </w:tc>
        <w:tc>
          <w:tcPr>
            <w:tcW w:w="320" w:type="dxa"/>
            <w:vAlign w:val="bottom"/>
            <w:shd w:val="clear" w:color="auto" w:fill="F2F2F2"/>
          </w:tcPr>
          <w:p>
            <w:pPr>
              <w:spacing w:after="0"/>
              <w:rPr>
                <w:sz w:val="10"/>
                <w:szCs w:val="10"/>
                <w:color w:val="auto"/>
              </w:rPr>
            </w:pPr>
          </w:p>
        </w:tc>
        <w:tc>
          <w:tcPr>
            <w:tcW w:w="1920" w:type="dxa"/>
            <w:vAlign w:val="bottom"/>
            <w:vMerge w:val="continue"/>
            <w:shd w:val="clear" w:color="auto" w:fill="F2F2F2"/>
          </w:tcPr>
          <w:p>
            <w:pPr>
              <w:spacing w:after="0"/>
              <w:rPr>
                <w:sz w:val="10"/>
                <w:szCs w:val="10"/>
                <w:color w:val="auto"/>
              </w:rPr>
            </w:pPr>
          </w:p>
        </w:tc>
        <w:tc>
          <w:tcPr>
            <w:tcW w:w="4960" w:type="dxa"/>
            <w:vAlign w:val="bottom"/>
            <w:gridSpan w:val="4"/>
            <w:vMerge w:val="restart"/>
            <w:shd w:val="clear" w:color="auto" w:fill="F2F2F2"/>
          </w:tcPr>
          <w:p>
            <w:pPr>
              <w:ind w:left="180"/>
              <w:spacing w:after="0"/>
              <w:rPr>
                <w:sz w:val="20"/>
                <w:szCs w:val="20"/>
                <w:color w:val="auto"/>
              </w:rPr>
            </w:pPr>
            <w:r>
              <w:rPr>
                <w:rFonts w:ascii="Arial" w:cs="Arial" w:eastAsia="Arial" w:hAnsi="Arial"/>
                <w:sz w:val="16"/>
                <w:szCs w:val="16"/>
                <w:color w:val="auto"/>
              </w:rPr>
              <w:t>November 2012. Thomas J. Brosig was a consultant in the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2720" w:type="dxa"/>
            <w:vAlign w:val="bottom"/>
            <w:shd w:val="clear" w:color="auto" w:fill="DBE5F1"/>
          </w:tcPr>
          <w:p>
            <w:pPr>
              <w:spacing w:after="0"/>
              <w:rPr>
                <w:sz w:val="5"/>
                <w:szCs w:val="5"/>
                <w:color w:val="auto"/>
              </w:rPr>
            </w:pPr>
          </w:p>
        </w:tc>
        <w:tc>
          <w:tcPr>
            <w:tcW w:w="320" w:type="dxa"/>
            <w:vAlign w:val="bottom"/>
            <w:shd w:val="clear" w:color="auto" w:fill="F2F2F2"/>
          </w:tcPr>
          <w:p>
            <w:pPr>
              <w:spacing w:after="0"/>
              <w:rPr>
                <w:sz w:val="5"/>
                <w:szCs w:val="5"/>
                <w:color w:val="auto"/>
              </w:rPr>
            </w:pPr>
          </w:p>
        </w:tc>
        <w:tc>
          <w:tcPr>
            <w:tcW w:w="1920" w:type="dxa"/>
            <w:vAlign w:val="bottom"/>
            <w:shd w:val="clear" w:color="auto" w:fill="F2F2F2"/>
          </w:tcPr>
          <w:p>
            <w:pPr>
              <w:spacing w:after="0"/>
              <w:rPr>
                <w:sz w:val="5"/>
                <w:szCs w:val="5"/>
                <w:color w:val="auto"/>
              </w:rPr>
            </w:pPr>
          </w:p>
        </w:tc>
        <w:tc>
          <w:tcPr>
            <w:tcW w:w="4960" w:type="dxa"/>
            <w:vAlign w:val="bottom"/>
            <w:gridSpan w:val="4"/>
            <w:vMerge w:val="continue"/>
            <w:shd w:val="clear" w:color="auto" w:fill="F2F2F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720" w:type="dxa"/>
            <w:vAlign w:val="bottom"/>
            <w:shd w:val="clear" w:color="auto" w:fill="DBE5F1"/>
          </w:tcPr>
          <w:p>
            <w:pPr>
              <w:spacing w:after="0"/>
              <w:rPr>
                <w:sz w:val="16"/>
                <w:szCs w:val="16"/>
                <w:color w:val="auto"/>
              </w:rPr>
            </w:pPr>
          </w:p>
        </w:tc>
        <w:tc>
          <w:tcPr>
            <w:tcW w:w="320" w:type="dxa"/>
            <w:vAlign w:val="bottom"/>
            <w:shd w:val="clear" w:color="auto" w:fill="F2F2F2"/>
          </w:tcPr>
          <w:p>
            <w:pPr>
              <w:spacing w:after="0"/>
              <w:rPr>
                <w:sz w:val="16"/>
                <w:szCs w:val="16"/>
                <w:color w:val="auto"/>
              </w:rPr>
            </w:pPr>
          </w:p>
        </w:tc>
        <w:tc>
          <w:tcPr>
            <w:tcW w:w="1920" w:type="dxa"/>
            <w:vAlign w:val="bottom"/>
            <w:shd w:val="clear" w:color="auto" w:fill="F2F2F2"/>
          </w:tcPr>
          <w:p>
            <w:pPr>
              <w:spacing w:after="0"/>
              <w:rPr>
                <w:sz w:val="16"/>
                <w:szCs w:val="16"/>
                <w:color w:val="auto"/>
              </w:rPr>
            </w:pPr>
          </w:p>
        </w:tc>
        <w:tc>
          <w:tcPr>
            <w:tcW w:w="4960" w:type="dxa"/>
            <w:vAlign w:val="bottom"/>
            <w:gridSpan w:val="4"/>
            <w:shd w:val="clear" w:color="auto" w:fill="F2F2F2"/>
          </w:tcPr>
          <w:p>
            <w:pPr>
              <w:ind w:left="180"/>
              <w:spacing w:after="0"/>
              <w:rPr>
                <w:sz w:val="20"/>
                <w:szCs w:val="20"/>
                <w:color w:val="auto"/>
              </w:rPr>
            </w:pPr>
            <w:r>
              <w:rPr>
                <w:rFonts w:ascii="Arial" w:cs="Arial" w:eastAsia="Arial" w:hAnsi="Arial"/>
                <w:sz w:val="16"/>
                <w:szCs w:val="16"/>
                <w:color w:val="auto"/>
              </w:rPr>
              <w:t>gaming and hospitality industries from 2003 to 2011. From</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20" w:type="dxa"/>
            <w:vAlign w:val="bottom"/>
            <w:shd w:val="clear" w:color="auto" w:fill="DBE5F1"/>
          </w:tcPr>
          <w:p>
            <w:pPr>
              <w:spacing w:after="0"/>
              <w:rPr>
                <w:sz w:val="16"/>
                <w:szCs w:val="16"/>
                <w:color w:val="auto"/>
              </w:rPr>
            </w:pPr>
          </w:p>
        </w:tc>
        <w:tc>
          <w:tcPr>
            <w:tcW w:w="320" w:type="dxa"/>
            <w:vAlign w:val="bottom"/>
            <w:shd w:val="clear" w:color="auto" w:fill="F2F2F2"/>
          </w:tcPr>
          <w:p>
            <w:pPr>
              <w:spacing w:after="0"/>
              <w:rPr>
                <w:sz w:val="16"/>
                <w:szCs w:val="16"/>
                <w:color w:val="auto"/>
              </w:rPr>
            </w:pPr>
          </w:p>
        </w:tc>
        <w:tc>
          <w:tcPr>
            <w:tcW w:w="1920" w:type="dxa"/>
            <w:vAlign w:val="bottom"/>
            <w:shd w:val="clear" w:color="auto" w:fill="F2F2F2"/>
          </w:tcPr>
          <w:p>
            <w:pPr>
              <w:spacing w:after="0"/>
              <w:rPr>
                <w:sz w:val="16"/>
                <w:szCs w:val="16"/>
                <w:color w:val="auto"/>
              </w:rPr>
            </w:pPr>
          </w:p>
        </w:tc>
        <w:tc>
          <w:tcPr>
            <w:tcW w:w="4960" w:type="dxa"/>
            <w:vAlign w:val="bottom"/>
            <w:gridSpan w:val="4"/>
            <w:shd w:val="clear" w:color="auto" w:fill="F2F2F2"/>
          </w:tcPr>
          <w:p>
            <w:pPr>
              <w:ind w:left="180"/>
              <w:spacing w:after="0"/>
              <w:rPr>
                <w:sz w:val="20"/>
                <w:szCs w:val="20"/>
                <w:color w:val="auto"/>
              </w:rPr>
            </w:pPr>
            <w:r>
              <w:rPr>
                <w:rFonts w:ascii="Arial" w:cs="Arial" w:eastAsia="Arial" w:hAnsi="Arial"/>
                <w:sz w:val="16"/>
                <w:szCs w:val="16"/>
                <w:color w:val="auto"/>
              </w:rPr>
              <w:t>January 1999 through February 2003, he served as Senior Vice-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20" w:type="dxa"/>
            <w:vAlign w:val="bottom"/>
            <w:shd w:val="clear" w:color="auto" w:fill="DBE5F1"/>
          </w:tcPr>
          <w:p>
            <w:pPr>
              <w:spacing w:after="0"/>
              <w:rPr>
                <w:sz w:val="16"/>
                <w:szCs w:val="16"/>
                <w:color w:val="auto"/>
              </w:rPr>
            </w:pPr>
          </w:p>
        </w:tc>
        <w:tc>
          <w:tcPr>
            <w:tcW w:w="320" w:type="dxa"/>
            <w:vAlign w:val="bottom"/>
            <w:shd w:val="clear" w:color="auto" w:fill="F2F2F2"/>
          </w:tcPr>
          <w:p>
            <w:pPr>
              <w:spacing w:after="0"/>
              <w:rPr>
                <w:sz w:val="16"/>
                <w:szCs w:val="16"/>
                <w:color w:val="auto"/>
              </w:rPr>
            </w:pPr>
          </w:p>
        </w:tc>
        <w:tc>
          <w:tcPr>
            <w:tcW w:w="1920" w:type="dxa"/>
            <w:vAlign w:val="bottom"/>
            <w:shd w:val="clear" w:color="auto" w:fill="F2F2F2"/>
          </w:tcPr>
          <w:p>
            <w:pPr>
              <w:spacing w:after="0"/>
              <w:rPr>
                <w:sz w:val="16"/>
                <w:szCs w:val="16"/>
                <w:color w:val="auto"/>
              </w:rPr>
            </w:pPr>
          </w:p>
        </w:tc>
        <w:tc>
          <w:tcPr>
            <w:tcW w:w="4960" w:type="dxa"/>
            <w:vAlign w:val="bottom"/>
            <w:gridSpan w:val="4"/>
            <w:shd w:val="clear" w:color="auto" w:fill="F2F2F2"/>
          </w:tcPr>
          <w:p>
            <w:pPr>
              <w:ind w:left="180"/>
              <w:spacing w:after="0"/>
              <w:rPr>
                <w:sz w:val="20"/>
                <w:szCs w:val="20"/>
                <w:color w:val="auto"/>
              </w:rPr>
            </w:pPr>
            <w:r>
              <w:rPr>
                <w:rFonts w:ascii="Arial" w:cs="Arial" w:eastAsia="Arial" w:hAnsi="Arial"/>
                <w:sz w:val="16"/>
                <w:szCs w:val="16"/>
                <w:color w:val="auto"/>
              </w:rPr>
              <w:t>President for Park Place Entertainment. He served as a director</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720" w:type="dxa"/>
            <w:vAlign w:val="bottom"/>
            <w:shd w:val="clear" w:color="auto" w:fill="DBE5F1"/>
          </w:tcPr>
          <w:p>
            <w:pPr>
              <w:spacing w:after="0"/>
              <w:rPr>
                <w:sz w:val="18"/>
                <w:szCs w:val="18"/>
                <w:color w:val="auto"/>
              </w:rPr>
            </w:pPr>
          </w:p>
        </w:tc>
        <w:tc>
          <w:tcPr>
            <w:tcW w:w="320" w:type="dxa"/>
            <w:vAlign w:val="bottom"/>
            <w:shd w:val="clear" w:color="auto" w:fill="F2F2F2"/>
          </w:tcPr>
          <w:p>
            <w:pPr>
              <w:spacing w:after="0"/>
              <w:rPr>
                <w:sz w:val="18"/>
                <w:szCs w:val="18"/>
                <w:color w:val="auto"/>
              </w:rPr>
            </w:pPr>
          </w:p>
        </w:tc>
        <w:tc>
          <w:tcPr>
            <w:tcW w:w="1920" w:type="dxa"/>
            <w:vAlign w:val="bottom"/>
            <w:shd w:val="clear" w:color="auto" w:fill="F2F2F2"/>
          </w:tcPr>
          <w:p>
            <w:pPr>
              <w:spacing w:after="0"/>
              <w:rPr>
                <w:sz w:val="18"/>
                <w:szCs w:val="18"/>
                <w:color w:val="auto"/>
              </w:rPr>
            </w:pPr>
          </w:p>
        </w:tc>
        <w:tc>
          <w:tcPr>
            <w:tcW w:w="3200" w:type="dxa"/>
            <w:vAlign w:val="bottom"/>
            <w:gridSpan w:val="2"/>
            <w:shd w:val="clear" w:color="auto" w:fill="F2F2F2"/>
          </w:tcPr>
          <w:p>
            <w:pPr>
              <w:ind w:left="180"/>
              <w:spacing w:after="0"/>
              <w:rPr>
                <w:sz w:val="20"/>
                <w:szCs w:val="20"/>
                <w:color w:val="auto"/>
              </w:rPr>
            </w:pPr>
            <w:r>
              <w:rPr>
                <w:rFonts w:ascii="Arial" w:cs="Arial" w:eastAsia="Arial" w:hAnsi="Arial"/>
                <w:sz w:val="16"/>
                <w:szCs w:val="16"/>
                <w:color w:val="auto"/>
              </w:rPr>
              <w:t>of Griffon Corporation from 2015 to 2023.</w:t>
            </w:r>
          </w:p>
        </w:tc>
        <w:tc>
          <w:tcPr>
            <w:tcW w:w="860" w:type="dxa"/>
            <w:vAlign w:val="bottom"/>
            <w:shd w:val="clear" w:color="auto" w:fill="F2F2F2"/>
          </w:tcPr>
          <w:p>
            <w:pPr>
              <w:spacing w:after="0"/>
              <w:rPr>
                <w:sz w:val="18"/>
                <w:szCs w:val="18"/>
                <w:color w:val="auto"/>
              </w:rPr>
            </w:pPr>
          </w:p>
        </w:tc>
        <w:tc>
          <w:tcPr>
            <w:tcW w:w="900" w:type="dxa"/>
            <w:vAlign w:val="bottom"/>
            <w:shd w:val="clear" w:color="auto" w:fill="F2F2F2"/>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2"/>
        </w:trPr>
        <w:tc>
          <w:tcPr>
            <w:tcW w:w="2720" w:type="dxa"/>
            <w:vAlign w:val="bottom"/>
            <w:shd w:val="clear" w:color="auto" w:fill="DBE5F1"/>
          </w:tcPr>
          <w:p>
            <w:pPr>
              <w:spacing w:after="0"/>
              <w:rPr>
                <w:sz w:val="24"/>
                <w:szCs w:val="24"/>
                <w:color w:val="auto"/>
              </w:rPr>
            </w:pPr>
          </w:p>
        </w:tc>
        <w:tc>
          <w:tcPr>
            <w:tcW w:w="320" w:type="dxa"/>
            <w:vAlign w:val="bottom"/>
            <w:shd w:val="clear" w:color="auto" w:fill="F2F2F2"/>
          </w:tcPr>
          <w:p>
            <w:pPr>
              <w:spacing w:after="0"/>
              <w:rPr>
                <w:sz w:val="24"/>
                <w:szCs w:val="24"/>
                <w:color w:val="auto"/>
              </w:rPr>
            </w:pPr>
          </w:p>
        </w:tc>
        <w:tc>
          <w:tcPr>
            <w:tcW w:w="1920" w:type="dxa"/>
            <w:vAlign w:val="bottom"/>
            <w:shd w:val="clear" w:color="auto" w:fill="F2F2F2"/>
          </w:tcPr>
          <w:p>
            <w:pPr>
              <w:spacing w:after="0"/>
              <w:rPr>
                <w:sz w:val="24"/>
                <w:szCs w:val="24"/>
                <w:color w:val="auto"/>
              </w:rPr>
            </w:pPr>
          </w:p>
        </w:tc>
        <w:tc>
          <w:tcPr>
            <w:tcW w:w="3200" w:type="dxa"/>
            <w:vAlign w:val="bottom"/>
            <w:gridSpan w:val="2"/>
            <w:shd w:val="clear" w:color="auto" w:fill="F2F2F2"/>
          </w:tcPr>
          <w:p>
            <w:pPr>
              <w:ind w:left="180"/>
              <w:spacing w:after="0"/>
              <w:rPr>
                <w:sz w:val="20"/>
                <w:szCs w:val="20"/>
                <w:color w:val="auto"/>
              </w:rPr>
            </w:pPr>
            <w:r>
              <w:rPr>
                <w:rFonts w:ascii="Arial" w:cs="Arial" w:eastAsia="Arial" w:hAnsi="Arial"/>
                <w:sz w:val="16"/>
                <w:szCs w:val="16"/>
                <w:b w:val="1"/>
                <w:bCs w:val="1"/>
                <w:color w:val="4A7EBB"/>
              </w:rPr>
              <w:t>Qualifications</w:t>
            </w:r>
          </w:p>
        </w:tc>
        <w:tc>
          <w:tcPr>
            <w:tcW w:w="860" w:type="dxa"/>
            <w:vAlign w:val="bottom"/>
            <w:shd w:val="clear" w:color="auto" w:fill="F2F2F2"/>
          </w:tcPr>
          <w:p>
            <w:pPr>
              <w:spacing w:after="0"/>
              <w:rPr>
                <w:sz w:val="24"/>
                <w:szCs w:val="24"/>
                <w:color w:val="auto"/>
              </w:rPr>
            </w:pPr>
          </w:p>
        </w:tc>
        <w:tc>
          <w:tcPr>
            <w:tcW w:w="900" w:type="dxa"/>
            <w:vAlign w:val="bottom"/>
            <w:shd w:val="clear" w:color="auto" w:fill="F2F2F2"/>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720" w:type="dxa"/>
            <w:vAlign w:val="bottom"/>
            <w:shd w:val="clear" w:color="auto" w:fill="DBE5F1"/>
          </w:tcPr>
          <w:p>
            <w:pPr>
              <w:spacing w:after="0"/>
              <w:rPr>
                <w:sz w:val="16"/>
                <w:szCs w:val="16"/>
                <w:color w:val="auto"/>
              </w:rPr>
            </w:pPr>
          </w:p>
        </w:tc>
        <w:tc>
          <w:tcPr>
            <w:tcW w:w="320" w:type="dxa"/>
            <w:vAlign w:val="bottom"/>
            <w:shd w:val="clear" w:color="auto" w:fill="F2F2F2"/>
          </w:tcPr>
          <w:p>
            <w:pPr>
              <w:spacing w:after="0"/>
              <w:rPr>
                <w:sz w:val="16"/>
                <w:szCs w:val="16"/>
                <w:color w:val="auto"/>
              </w:rPr>
            </w:pPr>
          </w:p>
        </w:tc>
        <w:tc>
          <w:tcPr>
            <w:tcW w:w="1920" w:type="dxa"/>
            <w:vAlign w:val="bottom"/>
            <w:shd w:val="clear" w:color="auto" w:fill="F2F2F2"/>
          </w:tcPr>
          <w:p>
            <w:pPr>
              <w:spacing w:after="0"/>
              <w:rPr>
                <w:sz w:val="16"/>
                <w:szCs w:val="16"/>
                <w:color w:val="auto"/>
              </w:rPr>
            </w:pPr>
          </w:p>
        </w:tc>
        <w:tc>
          <w:tcPr>
            <w:tcW w:w="4960" w:type="dxa"/>
            <w:vAlign w:val="bottom"/>
            <w:gridSpan w:val="4"/>
            <w:shd w:val="clear" w:color="auto" w:fill="F2F2F2"/>
          </w:tcPr>
          <w:p>
            <w:pPr>
              <w:ind w:left="180"/>
              <w:spacing w:after="0"/>
              <w:rPr>
                <w:sz w:val="20"/>
                <w:szCs w:val="20"/>
                <w:color w:val="auto"/>
              </w:rPr>
            </w:pPr>
            <w:r>
              <w:rPr>
                <w:rFonts w:ascii="Arial" w:cs="Arial" w:eastAsia="Arial" w:hAnsi="Arial"/>
                <w:sz w:val="16"/>
                <w:szCs w:val="16"/>
                <w:color w:val="auto"/>
              </w:rPr>
              <w:t>Thomas J. Brosig is an experienced business executive whose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20" w:type="dxa"/>
            <w:vAlign w:val="bottom"/>
            <w:shd w:val="clear" w:color="auto" w:fill="DBE5F1"/>
          </w:tcPr>
          <w:p>
            <w:pPr>
              <w:spacing w:after="0"/>
              <w:rPr>
                <w:sz w:val="16"/>
                <w:szCs w:val="16"/>
                <w:color w:val="auto"/>
              </w:rPr>
            </w:pPr>
          </w:p>
        </w:tc>
        <w:tc>
          <w:tcPr>
            <w:tcW w:w="320" w:type="dxa"/>
            <w:vAlign w:val="bottom"/>
            <w:shd w:val="clear" w:color="auto" w:fill="F2F2F2"/>
          </w:tcPr>
          <w:p>
            <w:pPr>
              <w:spacing w:after="0"/>
              <w:rPr>
                <w:sz w:val="16"/>
                <w:szCs w:val="16"/>
                <w:color w:val="auto"/>
              </w:rPr>
            </w:pPr>
          </w:p>
        </w:tc>
        <w:tc>
          <w:tcPr>
            <w:tcW w:w="1920" w:type="dxa"/>
            <w:vAlign w:val="bottom"/>
            <w:shd w:val="clear" w:color="auto" w:fill="F2F2F2"/>
          </w:tcPr>
          <w:p>
            <w:pPr>
              <w:spacing w:after="0"/>
              <w:rPr>
                <w:sz w:val="16"/>
                <w:szCs w:val="16"/>
                <w:color w:val="auto"/>
              </w:rPr>
            </w:pPr>
          </w:p>
        </w:tc>
        <w:tc>
          <w:tcPr>
            <w:tcW w:w="4960" w:type="dxa"/>
            <w:vAlign w:val="bottom"/>
            <w:gridSpan w:val="4"/>
            <w:shd w:val="clear" w:color="auto" w:fill="F2F2F2"/>
          </w:tcPr>
          <w:p>
            <w:pPr>
              <w:ind w:left="180"/>
              <w:spacing w:after="0"/>
              <w:rPr>
                <w:sz w:val="20"/>
                <w:szCs w:val="20"/>
                <w:color w:val="auto"/>
              </w:rPr>
            </w:pPr>
            <w:r>
              <w:rPr>
                <w:rFonts w:ascii="Arial" w:cs="Arial" w:eastAsia="Arial" w:hAnsi="Arial"/>
                <w:sz w:val="16"/>
                <w:szCs w:val="16"/>
                <w:color w:val="auto"/>
              </w:rPr>
              <w:t>leadership roles in the past at other public companies provide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720" w:type="dxa"/>
            <w:vAlign w:val="bottom"/>
            <w:tcBorders>
              <w:bottom w:val="single" w:sz="8" w:color="808080"/>
            </w:tcBorders>
            <w:shd w:val="clear" w:color="auto" w:fill="DBE5F1"/>
          </w:tcPr>
          <w:p>
            <w:pPr>
              <w:spacing w:after="0"/>
              <w:rPr>
                <w:sz w:val="17"/>
                <w:szCs w:val="17"/>
                <w:color w:val="auto"/>
              </w:rPr>
            </w:pPr>
          </w:p>
        </w:tc>
        <w:tc>
          <w:tcPr>
            <w:tcW w:w="320" w:type="dxa"/>
            <w:vAlign w:val="bottom"/>
            <w:tcBorders>
              <w:bottom w:val="single" w:sz="8" w:color="808080"/>
            </w:tcBorders>
            <w:shd w:val="clear" w:color="auto" w:fill="F2F2F2"/>
          </w:tcPr>
          <w:p>
            <w:pPr>
              <w:spacing w:after="0"/>
              <w:rPr>
                <w:sz w:val="17"/>
                <w:szCs w:val="17"/>
                <w:color w:val="auto"/>
              </w:rPr>
            </w:pPr>
          </w:p>
        </w:tc>
        <w:tc>
          <w:tcPr>
            <w:tcW w:w="1920" w:type="dxa"/>
            <w:vAlign w:val="bottom"/>
            <w:tcBorders>
              <w:bottom w:val="single" w:sz="8" w:color="808080"/>
            </w:tcBorders>
            <w:shd w:val="clear" w:color="auto" w:fill="F2F2F2"/>
          </w:tcPr>
          <w:p>
            <w:pPr>
              <w:spacing w:after="0"/>
              <w:rPr>
                <w:sz w:val="17"/>
                <w:szCs w:val="17"/>
                <w:color w:val="auto"/>
              </w:rPr>
            </w:pPr>
          </w:p>
        </w:tc>
        <w:tc>
          <w:tcPr>
            <w:tcW w:w="4960" w:type="dxa"/>
            <w:vAlign w:val="bottom"/>
            <w:tcBorders>
              <w:bottom w:val="single" w:sz="8" w:color="808080"/>
            </w:tcBorders>
            <w:gridSpan w:val="4"/>
            <w:shd w:val="clear" w:color="auto" w:fill="F2F2F2"/>
          </w:tcPr>
          <w:p>
            <w:pPr>
              <w:ind w:left="180"/>
              <w:spacing w:after="0"/>
              <w:rPr>
                <w:sz w:val="20"/>
                <w:szCs w:val="20"/>
                <w:color w:val="auto"/>
              </w:rPr>
            </w:pPr>
            <w:r>
              <w:rPr>
                <w:rFonts w:ascii="Arial" w:cs="Arial" w:eastAsia="Arial" w:hAnsi="Arial"/>
                <w:sz w:val="16"/>
                <w:szCs w:val="16"/>
                <w:color w:val="auto"/>
              </w:rPr>
              <w:t>him with insight and perspective as a member of our Board.</w:t>
            </w:r>
          </w:p>
        </w:tc>
        <w:tc>
          <w:tcPr>
            <w:tcW w:w="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-3402330</wp:posOffset>
            </wp:positionV>
            <wp:extent cx="6292215" cy="390017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292215" cy="390017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-3402330</wp:posOffset>
            </wp:positionV>
            <wp:extent cx="6292215" cy="390017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292215" cy="3900170"/>
                    </a:xfrm>
                    <a:prstGeom prst="rect">
                      <a:avLst/>
                    </a:prstGeom>
                    <a:noFill/>
                  </pic:spPr>
                </pic:pic>
              </a:graphicData>
            </a:graphic>
          </wp:anchor>
        </w:drawing>
      </w:r>
    </w:p>
    <w:p>
      <w:pPr>
        <w:sectPr>
          <w:pgSz w:w="11900" w:h="16838" w:orient="portrait"/>
          <w:cols w:equalWidth="0" w:num="1">
            <w:col w:w="9940"/>
          </w:cols>
          <w:pgMar w:left="980" w:top="513" w:right="979" w:bottom="1440" w:gutter="0" w:footer="0" w:header="0"/>
        </w:sectPr>
      </w:pPr>
    </w:p>
    <w:p>
      <w:pPr>
        <w:spacing w:after="0" w:line="200" w:lineRule="exact"/>
        <w:rPr>
          <w:sz w:val="20"/>
          <w:szCs w:val="20"/>
          <w:color w:val="auto"/>
        </w:rPr>
      </w:pPr>
    </w:p>
    <w:p>
      <w:pPr>
        <w:spacing w:after="0" w:line="386" w:lineRule="exact"/>
        <w:rPr>
          <w:sz w:val="20"/>
          <w:szCs w:val="20"/>
          <w:color w:val="auto"/>
        </w:rPr>
      </w:pPr>
    </w:p>
    <w:p>
      <w:pPr>
        <w:ind w:left="280" w:hanging="271"/>
        <w:spacing w:after="0"/>
        <w:tabs>
          <w:tab w:leader="none" w:pos="280" w:val="left"/>
        </w:tabs>
        <w:numPr>
          <w:ilvl w:val="0"/>
          <w:numId w:val="98"/>
        </w:numPr>
        <w:rPr>
          <w:rFonts w:ascii="Arial" w:cs="Arial" w:eastAsia="Arial" w:hAnsi="Arial"/>
          <w:sz w:val="20"/>
          <w:szCs w:val="20"/>
          <w:b w:val="1"/>
          <w:bCs w:val="1"/>
          <w:color w:val="4A7EBB"/>
        </w:rPr>
      </w:pPr>
      <w:r>
        <w:rPr>
          <w:rFonts w:ascii="Arial" w:cs="Arial" w:eastAsia="Arial" w:hAnsi="Arial"/>
          <w:sz w:val="20"/>
          <w:szCs w:val="20"/>
          <w:color w:val="80808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356235</wp:posOffset>
            </wp:positionV>
            <wp:extent cx="6292215" cy="254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40"/>
          </w:cols>
          <w:pgMar w:left="980" w:top="513" w:right="97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720" w:type="dxa"/>
            <w:vAlign w:val="bottom"/>
            <w:tcBorders>
              <w:bottom w:val="single" w:sz="8" w:color="4A7EBB"/>
            </w:tcBorders>
          </w:tcPr>
          <w:p>
            <w:pPr>
              <w:spacing w:after="0"/>
              <w:rPr>
                <w:sz w:val="20"/>
                <w:szCs w:val="20"/>
                <w:color w:val="auto"/>
              </w:rPr>
            </w:pPr>
          </w:p>
        </w:tc>
        <w:tc>
          <w:tcPr>
            <w:tcW w:w="320" w:type="dxa"/>
            <w:vAlign w:val="bottom"/>
            <w:tcBorders>
              <w:bottom w:val="single" w:sz="8" w:color="4A7EBB"/>
            </w:tcBorders>
          </w:tcPr>
          <w:p>
            <w:pPr>
              <w:spacing w:after="0"/>
              <w:rPr>
                <w:sz w:val="20"/>
                <w:szCs w:val="20"/>
                <w:color w:val="auto"/>
              </w:rPr>
            </w:pPr>
          </w:p>
        </w:tc>
        <w:tc>
          <w:tcPr>
            <w:tcW w:w="1920" w:type="dxa"/>
            <w:vAlign w:val="bottom"/>
            <w:tcBorders>
              <w:bottom w:val="single" w:sz="8" w:color="4A7EBB"/>
            </w:tcBorders>
          </w:tcPr>
          <w:p>
            <w:pPr>
              <w:spacing w:after="0"/>
              <w:rPr>
                <w:sz w:val="20"/>
                <w:szCs w:val="20"/>
                <w:color w:val="auto"/>
              </w:rPr>
            </w:pPr>
          </w:p>
        </w:tc>
        <w:tc>
          <w:tcPr>
            <w:tcW w:w="4960" w:type="dxa"/>
            <w:vAlign w:val="bottom"/>
            <w:tcBorders>
              <w:bottom w:val="single" w:sz="8" w:color="4A7EBB"/>
            </w:tcBorders>
          </w:tcPr>
          <w:p>
            <w:pPr>
              <w:jc w:val="right"/>
              <w:spacing w:after="0"/>
              <w:rPr>
                <w:sz w:val="20"/>
                <w:szCs w:val="20"/>
                <w:color w:val="auto"/>
              </w:rPr>
            </w:pPr>
            <w:r>
              <w:rPr>
                <w:rFonts w:ascii="Arial" w:cs="Arial" w:eastAsia="Arial" w:hAnsi="Arial"/>
                <w:sz w:val="18"/>
                <w:szCs w:val="18"/>
                <w:color w:val="4A7EBB"/>
              </w:rPr>
              <w:t xml:space="preserve">Proposal No. 1 </w:t>
            </w:r>
            <w:r>
              <w:rPr>
                <w:rFonts w:ascii="Arial" w:cs="Arial" w:eastAsia="Arial" w:hAnsi="Arial"/>
                <w:sz w:val="18"/>
                <w:szCs w:val="18"/>
                <w:color w:val="000000"/>
              </w:rPr>
              <w:t>Election of Directors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720" w:type="dxa"/>
            <w:vAlign w:val="bottom"/>
          </w:tcPr>
          <w:p>
            <w:pPr>
              <w:spacing w:after="0"/>
              <w:rPr>
                <w:sz w:val="18"/>
                <w:szCs w:val="18"/>
                <w:color w:val="auto"/>
              </w:rPr>
            </w:pPr>
          </w:p>
        </w:tc>
        <w:tc>
          <w:tcPr>
            <w:tcW w:w="2240" w:type="dxa"/>
            <w:vAlign w:val="bottom"/>
            <w:gridSpan w:val="2"/>
          </w:tcPr>
          <w:p>
            <w:pPr>
              <w:spacing w:after="0"/>
              <w:rPr>
                <w:sz w:val="18"/>
                <w:szCs w:val="18"/>
                <w:color w:val="auto"/>
              </w:rPr>
            </w:pPr>
          </w:p>
        </w:tc>
        <w:tc>
          <w:tcPr>
            <w:tcW w:w="49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2720" w:type="dxa"/>
            <w:vAlign w:val="bottom"/>
            <w:tcBorders>
              <w:top w:val="single" w:sz="8" w:color="808080"/>
              <w:bottom w:val="single" w:sz="8" w:color="4A7EBB"/>
            </w:tcBorders>
          </w:tcPr>
          <w:p>
            <w:pPr>
              <w:spacing w:after="0"/>
              <w:rPr>
                <w:sz w:val="24"/>
                <w:szCs w:val="24"/>
                <w:color w:val="auto"/>
              </w:rPr>
            </w:pPr>
          </w:p>
        </w:tc>
        <w:tc>
          <w:tcPr>
            <w:tcW w:w="2240" w:type="dxa"/>
            <w:vAlign w:val="bottom"/>
            <w:tcBorders>
              <w:top w:val="single" w:sz="8" w:color="808080"/>
              <w:bottom w:val="single" w:sz="8" w:color="4A7EBB"/>
            </w:tcBorders>
            <w:gridSpan w:val="2"/>
          </w:tcPr>
          <w:p>
            <w:pPr>
              <w:spacing w:after="0"/>
              <w:rPr>
                <w:sz w:val="24"/>
                <w:szCs w:val="24"/>
                <w:color w:val="auto"/>
              </w:rPr>
            </w:pPr>
          </w:p>
        </w:tc>
        <w:tc>
          <w:tcPr>
            <w:tcW w:w="4960" w:type="dxa"/>
            <w:vAlign w:val="bottom"/>
            <w:tcBorders>
              <w:top w:val="single" w:sz="8" w:color="808080"/>
              <w:bottom w:val="single" w:sz="8" w:color="4A7EBB"/>
            </w:tcBorders>
          </w:tcPr>
          <w:p>
            <w:pPr>
              <w:spacing w:after="0"/>
              <w:rPr>
                <w:sz w:val="24"/>
                <w:szCs w:val="24"/>
                <w:color w:val="auto"/>
              </w:rPr>
            </w:pPr>
          </w:p>
        </w:tc>
        <w:tc>
          <w:tcPr>
            <w:tcW w:w="20" w:type="dxa"/>
            <w:vAlign w:val="bottom"/>
            <w:tcBorders>
              <w:bottom w:val="single" w:sz="8" w:color="4A7EBB"/>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720" w:type="dxa"/>
            <w:vAlign w:val="bottom"/>
            <w:shd w:val="clear" w:color="auto" w:fill="DBE5F1"/>
          </w:tcPr>
          <w:p>
            <w:pPr>
              <w:ind w:left="120"/>
              <w:spacing w:after="0" w:line="169" w:lineRule="exact"/>
              <w:rPr>
                <w:sz w:val="20"/>
                <w:szCs w:val="20"/>
                <w:color w:val="auto"/>
              </w:rPr>
            </w:pPr>
            <w:r>
              <w:rPr>
                <w:rFonts w:ascii="Arial" w:cs="Arial" w:eastAsia="Arial" w:hAnsi="Arial"/>
                <w:sz w:val="19"/>
                <w:szCs w:val="19"/>
                <w:b w:val="1"/>
                <w:bCs w:val="1"/>
                <w:color w:val="auto"/>
              </w:rPr>
              <w:t>DR. JOYCE F. BROWN</w:t>
            </w:r>
          </w:p>
        </w:tc>
        <w:tc>
          <w:tcPr>
            <w:tcW w:w="2240" w:type="dxa"/>
            <w:vAlign w:val="bottom"/>
            <w:gridSpan w:val="2"/>
            <w:shd w:val="clear" w:color="auto" w:fill="F2F2F2"/>
          </w:tcPr>
          <w:p>
            <w:pPr>
              <w:ind w:left="100"/>
              <w:spacing w:after="0" w:line="169" w:lineRule="exact"/>
              <w:rPr>
                <w:sz w:val="20"/>
                <w:szCs w:val="20"/>
                <w:color w:val="auto"/>
              </w:rPr>
            </w:pPr>
            <w:r>
              <w:rPr>
                <w:rFonts w:ascii="Arial" w:cs="Arial" w:eastAsia="Arial" w:hAnsi="Arial"/>
                <w:sz w:val="16"/>
                <w:szCs w:val="16"/>
                <w:b w:val="1"/>
                <w:bCs w:val="1"/>
                <w:color w:val="auto"/>
              </w:rPr>
              <w:t>Age: 79</w:t>
            </w:r>
          </w:p>
        </w:tc>
        <w:tc>
          <w:tcPr>
            <w:tcW w:w="4960" w:type="dxa"/>
            <w:vAlign w:val="bottom"/>
            <w:shd w:val="clear" w:color="auto" w:fill="F2F2F2"/>
          </w:tcPr>
          <w:p>
            <w:pPr>
              <w:ind w:left="180"/>
              <w:spacing w:after="0" w:line="169" w:lineRule="exact"/>
              <w:rPr>
                <w:sz w:val="20"/>
                <w:szCs w:val="20"/>
                <w:color w:val="auto"/>
              </w:rPr>
            </w:pPr>
            <w:r>
              <w:rPr>
                <w:rFonts w:ascii="Arial" w:cs="Arial" w:eastAsia="Arial" w:hAnsi="Arial"/>
                <w:sz w:val="16"/>
                <w:szCs w:val="16"/>
                <w:color w:val="auto"/>
              </w:rPr>
              <w:t>Dr. Joyce F. Brown has been President of Fashion Institute of</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720" w:type="dxa"/>
            <w:vAlign w:val="bottom"/>
            <w:shd w:val="clear" w:color="auto" w:fill="DBE5F1"/>
          </w:tcPr>
          <w:p>
            <w:pPr>
              <w:ind w:left="120"/>
              <w:spacing w:after="0"/>
              <w:rPr>
                <w:sz w:val="20"/>
                <w:szCs w:val="20"/>
                <w:color w:val="auto"/>
              </w:rPr>
            </w:pPr>
            <w:r>
              <w:rPr>
                <w:rFonts w:ascii="Arial" w:cs="Arial" w:eastAsia="Arial" w:hAnsi="Arial"/>
                <w:sz w:val="16"/>
                <w:szCs w:val="16"/>
                <w:color w:val="auto"/>
              </w:rPr>
              <w:t>President, Fashion Institute of</w:t>
            </w:r>
          </w:p>
        </w:tc>
        <w:tc>
          <w:tcPr>
            <w:tcW w:w="320" w:type="dxa"/>
            <w:vAlign w:val="bottom"/>
            <w:shd w:val="clear" w:color="auto" w:fill="F2F2F2"/>
          </w:tcPr>
          <w:p>
            <w:pPr>
              <w:spacing w:after="0"/>
              <w:rPr>
                <w:sz w:val="16"/>
                <w:szCs w:val="16"/>
                <w:color w:val="auto"/>
              </w:rPr>
            </w:pPr>
          </w:p>
        </w:tc>
        <w:tc>
          <w:tcPr>
            <w:tcW w:w="1920" w:type="dxa"/>
            <w:vAlign w:val="bottom"/>
            <w:shd w:val="clear" w:color="auto" w:fill="F2F2F2"/>
          </w:tcPr>
          <w:p>
            <w:pPr>
              <w:spacing w:after="0"/>
              <w:rPr>
                <w:sz w:val="16"/>
                <w:szCs w:val="16"/>
                <w:color w:val="auto"/>
              </w:rPr>
            </w:pPr>
          </w:p>
        </w:tc>
        <w:tc>
          <w:tcPr>
            <w:tcW w:w="4960" w:type="dxa"/>
            <w:vAlign w:val="bottom"/>
            <w:shd w:val="clear" w:color="auto" w:fill="F2F2F2"/>
          </w:tcPr>
          <w:p>
            <w:pPr>
              <w:ind w:left="180"/>
              <w:spacing w:after="0"/>
              <w:rPr>
                <w:sz w:val="20"/>
                <w:szCs w:val="20"/>
                <w:color w:val="auto"/>
              </w:rPr>
            </w:pPr>
            <w:r>
              <w:rPr>
                <w:rFonts w:ascii="Arial" w:cs="Arial" w:eastAsia="Arial" w:hAnsi="Arial"/>
                <w:sz w:val="16"/>
                <w:szCs w:val="16"/>
                <w:color w:val="auto"/>
              </w:rPr>
              <w:t>Technology (FIT) since 1998. She has over 40 years’ experience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20" w:type="dxa"/>
            <w:vAlign w:val="bottom"/>
            <w:shd w:val="clear" w:color="auto" w:fill="DBE5F1"/>
          </w:tcPr>
          <w:p>
            <w:pPr>
              <w:ind w:left="120"/>
              <w:spacing w:after="0"/>
              <w:rPr>
                <w:sz w:val="20"/>
                <w:szCs w:val="20"/>
                <w:color w:val="auto"/>
              </w:rPr>
            </w:pPr>
            <w:r>
              <w:rPr>
                <w:rFonts w:ascii="Arial" w:cs="Arial" w:eastAsia="Arial" w:hAnsi="Arial"/>
                <w:sz w:val="16"/>
                <w:szCs w:val="16"/>
                <w:color w:val="auto"/>
              </w:rPr>
              <w:t>Technology</w:t>
            </w:r>
          </w:p>
        </w:tc>
        <w:tc>
          <w:tcPr>
            <w:tcW w:w="2240" w:type="dxa"/>
            <w:vAlign w:val="bottom"/>
            <w:gridSpan w:val="2"/>
            <w:shd w:val="clear" w:color="auto" w:fill="F2F2F2"/>
          </w:tcPr>
          <w:p>
            <w:pPr>
              <w:ind w:left="100"/>
              <w:spacing w:after="0"/>
              <w:rPr>
                <w:sz w:val="20"/>
                <w:szCs w:val="20"/>
                <w:color w:val="auto"/>
              </w:rPr>
            </w:pPr>
            <w:r>
              <w:rPr>
                <w:rFonts w:ascii="Arial" w:cs="Arial" w:eastAsia="Arial" w:hAnsi="Arial"/>
                <w:sz w:val="16"/>
                <w:szCs w:val="16"/>
                <w:b w:val="1"/>
                <w:bCs w:val="1"/>
                <w:color w:val="auto"/>
              </w:rPr>
              <w:t>Director since: 2023</w:t>
            </w:r>
          </w:p>
        </w:tc>
        <w:tc>
          <w:tcPr>
            <w:tcW w:w="4960" w:type="dxa"/>
            <w:vAlign w:val="bottom"/>
            <w:shd w:val="clear" w:color="auto" w:fill="F2F2F2"/>
          </w:tcPr>
          <w:p>
            <w:pPr>
              <w:ind w:left="180"/>
              <w:spacing w:after="0"/>
              <w:rPr>
                <w:sz w:val="20"/>
                <w:szCs w:val="20"/>
                <w:color w:val="auto"/>
              </w:rPr>
            </w:pPr>
            <w:r>
              <w:rPr>
                <w:rFonts w:ascii="Arial" w:cs="Arial" w:eastAsia="Arial" w:hAnsi="Arial"/>
                <w:sz w:val="16"/>
                <w:szCs w:val="16"/>
                <w:color w:val="auto"/>
              </w:rPr>
              <w:t>in public higher education. Before her position at FIT, she held a</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720" w:type="dxa"/>
            <w:vAlign w:val="bottom"/>
            <w:shd w:val="clear" w:color="auto" w:fill="DBE5F1"/>
          </w:tcPr>
          <w:p>
            <w:pPr>
              <w:spacing w:after="0"/>
              <w:rPr>
                <w:sz w:val="16"/>
                <w:szCs w:val="16"/>
                <w:color w:val="auto"/>
              </w:rPr>
            </w:pPr>
          </w:p>
        </w:tc>
        <w:tc>
          <w:tcPr>
            <w:tcW w:w="320" w:type="dxa"/>
            <w:vAlign w:val="bottom"/>
            <w:shd w:val="clear" w:color="auto" w:fill="F2F2F2"/>
          </w:tcPr>
          <w:p>
            <w:pPr>
              <w:spacing w:after="0"/>
              <w:rPr>
                <w:sz w:val="16"/>
                <w:szCs w:val="16"/>
                <w:color w:val="auto"/>
              </w:rPr>
            </w:pPr>
          </w:p>
        </w:tc>
        <w:tc>
          <w:tcPr>
            <w:tcW w:w="1920" w:type="dxa"/>
            <w:vAlign w:val="bottom"/>
            <w:shd w:val="clear" w:color="auto" w:fill="F2F2F2"/>
          </w:tcPr>
          <w:p>
            <w:pPr>
              <w:spacing w:after="0"/>
              <w:rPr>
                <w:sz w:val="16"/>
                <w:szCs w:val="16"/>
                <w:color w:val="auto"/>
              </w:rPr>
            </w:pPr>
          </w:p>
        </w:tc>
        <w:tc>
          <w:tcPr>
            <w:tcW w:w="4960" w:type="dxa"/>
            <w:vAlign w:val="bottom"/>
            <w:shd w:val="clear" w:color="auto" w:fill="F2F2F2"/>
          </w:tcPr>
          <w:p>
            <w:pPr>
              <w:ind w:left="180"/>
              <w:spacing w:after="0"/>
              <w:rPr>
                <w:sz w:val="20"/>
                <w:szCs w:val="20"/>
                <w:color w:val="auto"/>
              </w:rPr>
            </w:pPr>
            <w:r>
              <w:rPr>
                <w:rFonts w:ascii="Arial" w:cs="Arial" w:eastAsia="Arial" w:hAnsi="Arial"/>
                <w:sz w:val="16"/>
                <w:szCs w:val="16"/>
                <w:color w:val="auto"/>
              </w:rPr>
              <w:t>number of senior administrative posts at City University of New</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720" w:type="dxa"/>
            <w:vAlign w:val="bottom"/>
            <w:shd w:val="clear" w:color="auto" w:fill="DBE5F1"/>
          </w:tcPr>
          <w:p>
            <w:pPr>
              <w:ind w:left="400"/>
              <w:spacing w:after="0"/>
              <w:rPr>
                <w:sz w:val="20"/>
                <w:szCs w:val="20"/>
                <w:color w:val="auto"/>
              </w:rPr>
            </w:pPr>
            <w:r>
              <w:rPr>
                <w:rFonts w:ascii="Arial" w:cs="Arial" w:eastAsia="Arial" w:hAnsi="Arial"/>
                <w:sz w:val="16"/>
                <w:szCs w:val="16"/>
                <w:color w:val="auto"/>
              </w:rPr>
              <w:t>Independent</w:t>
            </w:r>
          </w:p>
        </w:tc>
        <w:tc>
          <w:tcPr>
            <w:tcW w:w="2240" w:type="dxa"/>
            <w:vAlign w:val="bottom"/>
            <w:gridSpan w:val="2"/>
            <w:shd w:val="clear" w:color="auto" w:fill="F2F2F2"/>
          </w:tcPr>
          <w:p>
            <w:pPr>
              <w:ind w:left="100"/>
              <w:spacing w:after="0"/>
              <w:rPr>
                <w:sz w:val="20"/>
                <w:szCs w:val="20"/>
                <w:color w:val="auto"/>
              </w:rPr>
            </w:pPr>
            <w:r>
              <w:rPr>
                <w:rFonts w:ascii="Arial" w:cs="Arial" w:eastAsia="Arial" w:hAnsi="Arial"/>
                <w:sz w:val="16"/>
                <w:szCs w:val="16"/>
                <w:b w:val="1"/>
                <w:bCs w:val="1"/>
                <w:color w:val="auto"/>
              </w:rPr>
              <w:t>Committees:</w:t>
            </w:r>
          </w:p>
        </w:tc>
        <w:tc>
          <w:tcPr>
            <w:tcW w:w="4960" w:type="dxa"/>
            <w:vAlign w:val="bottom"/>
            <w:shd w:val="clear" w:color="auto" w:fill="F2F2F2"/>
          </w:tcPr>
          <w:p>
            <w:pPr>
              <w:ind w:left="180"/>
              <w:spacing w:after="0"/>
              <w:rPr>
                <w:sz w:val="20"/>
                <w:szCs w:val="20"/>
                <w:color w:val="auto"/>
              </w:rPr>
            </w:pPr>
            <w:r>
              <w:rPr>
                <w:rFonts w:ascii="Arial" w:cs="Arial" w:eastAsia="Arial" w:hAnsi="Arial"/>
                <w:sz w:val="16"/>
                <w:szCs w:val="16"/>
                <w:color w:val="auto"/>
              </w:rPr>
              <w:t>York  (CUNY),  including  acting  president  of  Bernard  Baruch</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720" w:type="dxa"/>
            <w:vAlign w:val="bottom"/>
            <w:shd w:val="clear" w:color="auto" w:fill="DBE5F1"/>
          </w:tcPr>
          <w:p>
            <w:pPr>
              <w:spacing w:after="0"/>
              <w:rPr>
                <w:sz w:val="16"/>
                <w:szCs w:val="16"/>
                <w:color w:val="auto"/>
              </w:rPr>
            </w:pPr>
          </w:p>
        </w:tc>
        <w:tc>
          <w:tcPr>
            <w:tcW w:w="320" w:type="dxa"/>
            <w:vAlign w:val="bottom"/>
            <w:shd w:val="clear" w:color="auto" w:fill="F2F2F2"/>
          </w:tcPr>
          <w:p>
            <w:pPr>
              <w:ind w:left="160"/>
              <w:spacing w:after="0" w:line="189" w:lineRule="exact"/>
              <w:rPr>
                <w:sz w:val="20"/>
                <w:szCs w:val="20"/>
                <w:color w:val="auto"/>
              </w:rPr>
            </w:pPr>
            <w:r>
              <w:rPr>
                <w:rFonts w:ascii="Arial" w:cs="Arial" w:eastAsia="Arial" w:hAnsi="Arial"/>
                <w:sz w:val="21"/>
                <w:szCs w:val="21"/>
                <w:b w:val="1"/>
                <w:bCs w:val="1"/>
                <w:color w:val="4A7EBB"/>
              </w:rPr>
              <w:t>•</w:t>
            </w:r>
          </w:p>
        </w:tc>
        <w:tc>
          <w:tcPr>
            <w:tcW w:w="1920" w:type="dxa"/>
            <w:vAlign w:val="bottom"/>
            <w:shd w:val="clear" w:color="auto" w:fill="F2F2F2"/>
          </w:tcPr>
          <w:p>
            <w:pPr>
              <w:ind w:left="80"/>
              <w:spacing w:after="0"/>
              <w:rPr>
                <w:sz w:val="20"/>
                <w:szCs w:val="20"/>
                <w:color w:val="auto"/>
              </w:rPr>
            </w:pPr>
            <w:r>
              <w:rPr>
                <w:rFonts w:ascii="Arial" w:cs="Arial" w:eastAsia="Arial" w:hAnsi="Arial"/>
                <w:sz w:val="16"/>
                <w:szCs w:val="16"/>
                <w:color w:val="auto"/>
              </w:rPr>
              <w:t>Nominating and</w:t>
            </w:r>
          </w:p>
        </w:tc>
        <w:tc>
          <w:tcPr>
            <w:tcW w:w="4960" w:type="dxa"/>
            <w:vAlign w:val="bottom"/>
            <w:shd w:val="clear" w:color="auto" w:fill="F2F2F2"/>
          </w:tcPr>
          <w:p>
            <w:pPr>
              <w:ind w:left="180"/>
              <w:spacing w:after="0"/>
              <w:rPr>
                <w:sz w:val="20"/>
                <w:szCs w:val="20"/>
                <w:color w:val="auto"/>
              </w:rPr>
            </w:pPr>
            <w:r>
              <w:rPr>
                <w:rFonts w:ascii="Arial" w:cs="Arial" w:eastAsia="Arial" w:hAnsi="Arial"/>
                <w:sz w:val="16"/>
                <w:szCs w:val="16"/>
                <w:color w:val="auto"/>
              </w:rPr>
              <w:t>College and vice chancellor of the university. She was professor</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20" w:type="dxa"/>
            <w:vAlign w:val="bottom"/>
            <w:shd w:val="clear" w:color="auto" w:fill="DBE5F1"/>
          </w:tcPr>
          <w:p>
            <w:pPr>
              <w:spacing w:after="0"/>
              <w:rPr>
                <w:sz w:val="16"/>
                <w:szCs w:val="16"/>
                <w:color w:val="auto"/>
              </w:rPr>
            </w:pPr>
          </w:p>
        </w:tc>
        <w:tc>
          <w:tcPr>
            <w:tcW w:w="320" w:type="dxa"/>
            <w:vAlign w:val="bottom"/>
            <w:shd w:val="clear" w:color="auto" w:fill="F2F2F2"/>
          </w:tcPr>
          <w:p>
            <w:pPr>
              <w:spacing w:after="0"/>
              <w:rPr>
                <w:sz w:val="16"/>
                <w:szCs w:val="16"/>
                <w:color w:val="auto"/>
              </w:rPr>
            </w:pPr>
          </w:p>
        </w:tc>
        <w:tc>
          <w:tcPr>
            <w:tcW w:w="1920" w:type="dxa"/>
            <w:vAlign w:val="bottom"/>
            <w:shd w:val="clear" w:color="auto" w:fill="F2F2F2"/>
          </w:tcPr>
          <w:p>
            <w:pPr>
              <w:ind w:left="80"/>
              <w:spacing w:after="0"/>
              <w:rPr>
                <w:sz w:val="20"/>
                <w:szCs w:val="20"/>
                <w:color w:val="auto"/>
              </w:rPr>
            </w:pPr>
            <w:r>
              <w:rPr>
                <w:rFonts w:ascii="Arial" w:cs="Arial" w:eastAsia="Arial" w:hAnsi="Arial"/>
                <w:sz w:val="16"/>
                <w:szCs w:val="16"/>
                <w:color w:val="auto"/>
              </w:rPr>
              <w:t>Corporate Governance</w:t>
            </w:r>
          </w:p>
        </w:tc>
        <w:tc>
          <w:tcPr>
            <w:tcW w:w="4960" w:type="dxa"/>
            <w:vAlign w:val="bottom"/>
            <w:shd w:val="clear" w:color="auto" w:fill="F2F2F2"/>
          </w:tcPr>
          <w:p>
            <w:pPr>
              <w:ind w:left="180"/>
              <w:spacing w:after="0"/>
              <w:rPr>
                <w:sz w:val="20"/>
                <w:szCs w:val="20"/>
                <w:color w:val="auto"/>
              </w:rPr>
            </w:pPr>
            <w:r>
              <w:rPr>
                <w:rFonts w:ascii="Arial" w:cs="Arial" w:eastAsia="Arial" w:hAnsi="Arial"/>
                <w:sz w:val="16"/>
                <w:szCs w:val="16"/>
                <w:color w:val="auto"/>
              </w:rPr>
              <w:t>of counseling psychology at the Graduate School and University</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720" w:type="dxa"/>
            <w:vAlign w:val="bottom"/>
            <w:shd w:val="clear" w:color="auto" w:fill="DBE5F1"/>
          </w:tcPr>
          <w:p>
            <w:pPr>
              <w:spacing w:after="0"/>
              <w:rPr>
                <w:sz w:val="15"/>
                <w:szCs w:val="15"/>
                <w:color w:val="auto"/>
              </w:rPr>
            </w:pPr>
          </w:p>
        </w:tc>
        <w:tc>
          <w:tcPr>
            <w:tcW w:w="320" w:type="dxa"/>
            <w:vAlign w:val="bottom"/>
            <w:shd w:val="clear" w:color="auto" w:fill="F2F2F2"/>
          </w:tcPr>
          <w:p>
            <w:pPr>
              <w:spacing w:after="0"/>
              <w:rPr>
                <w:sz w:val="15"/>
                <w:szCs w:val="15"/>
                <w:color w:val="auto"/>
              </w:rPr>
            </w:pPr>
          </w:p>
        </w:tc>
        <w:tc>
          <w:tcPr>
            <w:tcW w:w="1920" w:type="dxa"/>
            <w:vAlign w:val="bottom"/>
            <w:shd w:val="clear" w:color="auto" w:fill="F2F2F2"/>
          </w:tcPr>
          <w:p>
            <w:pPr>
              <w:spacing w:after="0"/>
              <w:rPr>
                <w:sz w:val="15"/>
                <w:szCs w:val="15"/>
                <w:color w:val="auto"/>
              </w:rPr>
            </w:pPr>
          </w:p>
        </w:tc>
        <w:tc>
          <w:tcPr>
            <w:tcW w:w="4960" w:type="dxa"/>
            <w:vAlign w:val="bottom"/>
            <w:shd w:val="clear" w:color="auto" w:fill="F2F2F2"/>
          </w:tcPr>
          <w:p>
            <w:pPr>
              <w:ind w:left="180"/>
              <w:spacing w:after="0" w:line="175" w:lineRule="exact"/>
              <w:rPr>
                <w:sz w:val="20"/>
                <w:szCs w:val="20"/>
                <w:color w:val="auto"/>
              </w:rPr>
            </w:pPr>
            <w:r>
              <w:rPr>
                <w:rFonts w:ascii="Arial" w:cs="Arial" w:eastAsia="Arial" w:hAnsi="Arial"/>
                <w:sz w:val="16"/>
                <w:szCs w:val="16"/>
                <w:color w:val="auto"/>
              </w:rPr>
              <w:t>Center of CUNY, where she is currently a professor emerita. Dr.</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720" w:type="dxa"/>
            <w:vAlign w:val="bottom"/>
            <w:shd w:val="clear" w:color="auto" w:fill="DBE5F1"/>
          </w:tcPr>
          <w:p>
            <w:pPr>
              <w:spacing w:after="0"/>
              <w:rPr>
                <w:sz w:val="16"/>
                <w:szCs w:val="16"/>
                <w:color w:val="auto"/>
              </w:rPr>
            </w:pPr>
          </w:p>
        </w:tc>
        <w:tc>
          <w:tcPr>
            <w:tcW w:w="320" w:type="dxa"/>
            <w:vAlign w:val="bottom"/>
            <w:shd w:val="clear" w:color="auto" w:fill="F2F2F2"/>
          </w:tcPr>
          <w:p>
            <w:pPr>
              <w:spacing w:after="0"/>
              <w:rPr>
                <w:sz w:val="16"/>
                <w:szCs w:val="16"/>
                <w:color w:val="auto"/>
              </w:rPr>
            </w:pPr>
          </w:p>
        </w:tc>
        <w:tc>
          <w:tcPr>
            <w:tcW w:w="1920" w:type="dxa"/>
            <w:vAlign w:val="bottom"/>
            <w:shd w:val="clear" w:color="auto" w:fill="F2F2F2"/>
          </w:tcPr>
          <w:p>
            <w:pPr>
              <w:spacing w:after="0"/>
              <w:rPr>
                <w:sz w:val="16"/>
                <w:szCs w:val="16"/>
                <w:color w:val="auto"/>
              </w:rPr>
            </w:pPr>
          </w:p>
        </w:tc>
        <w:tc>
          <w:tcPr>
            <w:tcW w:w="4960" w:type="dxa"/>
            <w:vAlign w:val="bottom"/>
            <w:shd w:val="clear" w:color="auto" w:fill="F2F2F2"/>
          </w:tcPr>
          <w:p>
            <w:pPr>
              <w:ind w:left="180"/>
              <w:spacing w:after="0"/>
              <w:rPr>
                <w:sz w:val="20"/>
                <w:szCs w:val="20"/>
                <w:color w:val="auto"/>
              </w:rPr>
            </w:pPr>
            <w:r>
              <w:rPr>
                <w:rFonts w:ascii="Arial" w:cs="Arial" w:eastAsia="Arial" w:hAnsi="Arial"/>
                <w:sz w:val="16"/>
                <w:szCs w:val="16"/>
                <w:color w:val="auto"/>
              </w:rPr>
              <w:t>Brown also served as a New York City deputy mayor for public</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720" w:type="dxa"/>
            <w:vAlign w:val="bottom"/>
            <w:shd w:val="clear" w:color="auto" w:fill="DBE5F1"/>
          </w:tcPr>
          <w:p>
            <w:pPr>
              <w:spacing w:after="0"/>
              <w:rPr>
                <w:sz w:val="18"/>
                <w:szCs w:val="18"/>
                <w:color w:val="auto"/>
              </w:rPr>
            </w:pPr>
          </w:p>
        </w:tc>
        <w:tc>
          <w:tcPr>
            <w:tcW w:w="320" w:type="dxa"/>
            <w:vAlign w:val="bottom"/>
            <w:shd w:val="clear" w:color="auto" w:fill="F2F2F2"/>
          </w:tcPr>
          <w:p>
            <w:pPr>
              <w:spacing w:after="0"/>
              <w:rPr>
                <w:sz w:val="18"/>
                <w:szCs w:val="18"/>
                <w:color w:val="auto"/>
              </w:rPr>
            </w:pPr>
          </w:p>
        </w:tc>
        <w:tc>
          <w:tcPr>
            <w:tcW w:w="1920" w:type="dxa"/>
            <w:vAlign w:val="bottom"/>
            <w:shd w:val="clear" w:color="auto" w:fill="F2F2F2"/>
          </w:tcPr>
          <w:p>
            <w:pPr>
              <w:spacing w:after="0"/>
              <w:rPr>
                <w:sz w:val="18"/>
                <w:szCs w:val="18"/>
                <w:color w:val="auto"/>
              </w:rPr>
            </w:pPr>
          </w:p>
        </w:tc>
        <w:tc>
          <w:tcPr>
            <w:tcW w:w="4960" w:type="dxa"/>
            <w:vAlign w:val="bottom"/>
            <w:shd w:val="clear" w:color="auto" w:fill="F2F2F2"/>
          </w:tcPr>
          <w:p>
            <w:pPr>
              <w:ind w:left="180"/>
              <w:spacing w:after="0"/>
              <w:rPr>
                <w:sz w:val="20"/>
                <w:szCs w:val="20"/>
                <w:color w:val="auto"/>
              </w:rPr>
            </w:pPr>
            <w:r>
              <w:rPr>
                <w:rFonts w:ascii="Arial" w:cs="Arial" w:eastAsia="Arial" w:hAnsi="Arial"/>
                <w:sz w:val="16"/>
                <w:szCs w:val="16"/>
                <w:color w:val="auto"/>
              </w:rPr>
              <w:t>and community affairs during the David Dinkins administration.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2"/>
        </w:trPr>
        <w:tc>
          <w:tcPr>
            <w:tcW w:w="2720" w:type="dxa"/>
            <w:vAlign w:val="bottom"/>
            <w:shd w:val="clear" w:color="auto" w:fill="DBE5F1"/>
          </w:tcPr>
          <w:p>
            <w:pPr>
              <w:spacing w:after="0"/>
              <w:rPr>
                <w:sz w:val="24"/>
                <w:szCs w:val="24"/>
                <w:color w:val="auto"/>
              </w:rPr>
            </w:pPr>
          </w:p>
        </w:tc>
        <w:tc>
          <w:tcPr>
            <w:tcW w:w="320" w:type="dxa"/>
            <w:vAlign w:val="bottom"/>
            <w:shd w:val="clear" w:color="auto" w:fill="F2F2F2"/>
          </w:tcPr>
          <w:p>
            <w:pPr>
              <w:spacing w:after="0"/>
              <w:rPr>
                <w:sz w:val="24"/>
                <w:szCs w:val="24"/>
                <w:color w:val="auto"/>
              </w:rPr>
            </w:pPr>
          </w:p>
        </w:tc>
        <w:tc>
          <w:tcPr>
            <w:tcW w:w="1920" w:type="dxa"/>
            <w:vAlign w:val="bottom"/>
            <w:shd w:val="clear" w:color="auto" w:fill="F2F2F2"/>
          </w:tcPr>
          <w:p>
            <w:pPr>
              <w:spacing w:after="0"/>
              <w:rPr>
                <w:sz w:val="24"/>
                <w:szCs w:val="24"/>
                <w:color w:val="auto"/>
              </w:rPr>
            </w:pPr>
          </w:p>
        </w:tc>
        <w:tc>
          <w:tcPr>
            <w:tcW w:w="4960" w:type="dxa"/>
            <w:vAlign w:val="bottom"/>
            <w:shd w:val="clear" w:color="auto" w:fill="F2F2F2"/>
          </w:tcPr>
          <w:p>
            <w:pPr>
              <w:ind w:left="180"/>
              <w:spacing w:after="0"/>
              <w:rPr>
                <w:sz w:val="20"/>
                <w:szCs w:val="20"/>
                <w:color w:val="auto"/>
              </w:rPr>
            </w:pPr>
            <w:r>
              <w:rPr>
                <w:rFonts w:ascii="Arial" w:cs="Arial" w:eastAsia="Arial" w:hAnsi="Arial"/>
                <w:sz w:val="16"/>
                <w:szCs w:val="16"/>
                <w:color w:val="auto"/>
              </w:rPr>
              <w:t>Dr. Brown also serves as president of The FIT Foundation, an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720" w:type="dxa"/>
            <w:vAlign w:val="bottom"/>
            <w:shd w:val="clear" w:color="auto" w:fill="DBE5F1"/>
          </w:tcPr>
          <w:p>
            <w:pPr>
              <w:spacing w:after="0"/>
              <w:rPr>
                <w:sz w:val="16"/>
                <w:szCs w:val="16"/>
                <w:color w:val="auto"/>
              </w:rPr>
            </w:pPr>
          </w:p>
        </w:tc>
        <w:tc>
          <w:tcPr>
            <w:tcW w:w="320" w:type="dxa"/>
            <w:vAlign w:val="bottom"/>
            <w:shd w:val="clear" w:color="auto" w:fill="F2F2F2"/>
          </w:tcPr>
          <w:p>
            <w:pPr>
              <w:spacing w:after="0"/>
              <w:rPr>
                <w:sz w:val="16"/>
                <w:szCs w:val="16"/>
                <w:color w:val="auto"/>
              </w:rPr>
            </w:pPr>
          </w:p>
        </w:tc>
        <w:tc>
          <w:tcPr>
            <w:tcW w:w="1920" w:type="dxa"/>
            <w:vAlign w:val="bottom"/>
            <w:shd w:val="clear" w:color="auto" w:fill="F2F2F2"/>
          </w:tcPr>
          <w:p>
            <w:pPr>
              <w:spacing w:after="0"/>
              <w:rPr>
                <w:sz w:val="16"/>
                <w:szCs w:val="16"/>
                <w:color w:val="auto"/>
              </w:rPr>
            </w:pPr>
          </w:p>
        </w:tc>
        <w:tc>
          <w:tcPr>
            <w:tcW w:w="4960" w:type="dxa"/>
            <w:vAlign w:val="bottom"/>
            <w:shd w:val="clear" w:color="auto" w:fill="F2F2F2"/>
          </w:tcPr>
          <w:p>
            <w:pPr>
              <w:ind w:left="180"/>
              <w:spacing w:after="0"/>
              <w:rPr>
                <w:sz w:val="20"/>
                <w:szCs w:val="20"/>
                <w:color w:val="auto"/>
              </w:rPr>
            </w:pPr>
            <w:r>
              <w:rPr>
                <w:rFonts w:ascii="Arial" w:cs="Arial" w:eastAsia="Arial" w:hAnsi="Arial"/>
                <w:sz w:val="16"/>
                <w:szCs w:val="16"/>
                <w:color w:val="auto"/>
              </w:rPr>
              <w:t>advisory and support body to FIT. She served as a director of</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720" w:type="dxa"/>
            <w:vAlign w:val="bottom"/>
            <w:shd w:val="clear" w:color="auto" w:fill="DBE5F1"/>
          </w:tcPr>
          <w:p>
            <w:pPr>
              <w:spacing w:after="0"/>
              <w:rPr>
                <w:sz w:val="18"/>
                <w:szCs w:val="18"/>
                <w:color w:val="auto"/>
              </w:rPr>
            </w:pPr>
          </w:p>
        </w:tc>
        <w:tc>
          <w:tcPr>
            <w:tcW w:w="320" w:type="dxa"/>
            <w:vAlign w:val="bottom"/>
            <w:shd w:val="clear" w:color="auto" w:fill="F2F2F2"/>
          </w:tcPr>
          <w:p>
            <w:pPr>
              <w:spacing w:after="0"/>
              <w:rPr>
                <w:sz w:val="18"/>
                <w:szCs w:val="18"/>
                <w:color w:val="auto"/>
              </w:rPr>
            </w:pPr>
          </w:p>
        </w:tc>
        <w:tc>
          <w:tcPr>
            <w:tcW w:w="1920" w:type="dxa"/>
            <w:vAlign w:val="bottom"/>
            <w:shd w:val="clear" w:color="auto" w:fill="F2F2F2"/>
          </w:tcPr>
          <w:p>
            <w:pPr>
              <w:spacing w:after="0"/>
              <w:rPr>
                <w:sz w:val="18"/>
                <w:szCs w:val="18"/>
                <w:color w:val="auto"/>
              </w:rPr>
            </w:pPr>
          </w:p>
        </w:tc>
        <w:tc>
          <w:tcPr>
            <w:tcW w:w="4960" w:type="dxa"/>
            <w:vAlign w:val="bottom"/>
            <w:shd w:val="clear" w:color="auto" w:fill="F2F2F2"/>
          </w:tcPr>
          <w:p>
            <w:pPr>
              <w:ind w:left="180"/>
              <w:spacing w:after="0"/>
              <w:rPr>
                <w:sz w:val="20"/>
                <w:szCs w:val="20"/>
                <w:color w:val="auto"/>
              </w:rPr>
            </w:pPr>
            <w:r>
              <w:rPr>
                <w:rFonts w:ascii="Arial" w:cs="Arial" w:eastAsia="Arial" w:hAnsi="Arial"/>
                <w:sz w:val="16"/>
                <w:szCs w:val="16"/>
                <w:color w:val="auto"/>
              </w:rPr>
              <w:t>Ralph Lauren Corporation from 2001 to 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2"/>
        </w:trPr>
        <w:tc>
          <w:tcPr>
            <w:tcW w:w="2720" w:type="dxa"/>
            <w:vAlign w:val="bottom"/>
            <w:shd w:val="clear" w:color="auto" w:fill="DBE5F1"/>
          </w:tcPr>
          <w:p>
            <w:pPr>
              <w:spacing w:after="0"/>
              <w:rPr>
                <w:sz w:val="24"/>
                <w:szCs w:val="24"/>
                <w:color w:val="auto"/>
              </w:rPr>
            </w:pPr>
          </w:p>
        </w:tc>
        <w:tc>
          <w:tcPr>
            <w:tcW w:w="320" w:type="dxa"/>
            <w:vAlign w:val="bottom"/>
            <w:shd w:val="clear" w:color="auto" w:fill="F2F2F2"/>
          </w:tcPr>
          <w:p>
            <w:pPr>
              <w:spacing w:after="0"/>
              <w:rPr>
                <w:sz w:val="24"/>
                <w:szCs w:val="24"/>
                <w:color w:val="auto"/>
              </w:rPr>
            </w:pPr>
          </w:p>
        </w:tc>
        <w:tc>
          <w:tcPr>
            <w:tcW w:w="1920" w:type="dxa"/>
            <w:vAlign w:val="bottom"/>
            <w:shd w:val="clear" w:color="auto" w:fill="F2F2F2"/>
          </w:tcPr>
          <w:p>
            <w:pPr>
              <w:spacing w:after="0"/>
              <w:rPr>
                <w:sz w:val="24"/>
                <w:szCs w:val="24"/>
                <w:color w:val="auto"/>
              </w:rPr>
            </w:pPr>
          </w:p>
        </w:tc>
        <w:tc>
          <w:tcPr>
            <w:tcW w:w="4960" w:type="dxa"/>
            <w:vAlign w:val="bottom"/>
            <w:shd w:val="clear" w:color="auto" w:fill="F2F2F2"/>
          </w:tcPr>
          <w:p>
            <w:pPr>
              <w:ind w:left="180"/>
              <w:spacing w:after="0"/>
              <w:rPr>
                <w:sz w:val="20"/>
                <w:szCs w:val="20"/>
                <w:color w:val="auto"/>
              </w:rPr>
            </w:pPr>
            <w:r>
              <w:rPr>
                <w:rFonts w:ascii="Arial" w:cs="Arial" w:eastAsia="Arial" w:hAnsi="Arial"/>
                <w:sz w:val="16"/>
                <w:szCs w:val="16"/>
                <w:b w:val="1"/>
                <w:bCs w:val="1"/>
                <w:color w:val="4A7EBB"/>
              </w:rPr>
              <w:t>Qualifications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720" w:type="dxa"/>
            <w:vAlign w:val="bottom"/>
            <w:shd w:val="clear" w:color="auto" w:fill="DBE5F1"/>
          </w:tcPr>
          <w:p>
            <w:pPr>
              <w:spacing w:after="0"/>
              <w:rPr>
                <w:sz w:val="16"/>
                <w:szCs w:val="16"/>
                <w:color w:val="auto"/>
              </w:rPr>
            </w:pPr>
          </w:p>
        </w:tc>
        <w:tc>
          <w:tcPr>
            <w:tcW w:w="320" w:type="dxa"/>
            <w:vAlign w:val="bottom"/>
            <w:shd w:val="clear" w:color="auto" w:fill="F2F2F2"/>
          </w:tcPr>
          <w:p>
            <w:pPr>
              <w:spacing w:after="0"/>
              <w:rPr>
                <w:sz w:val="16"/>
                <w:szCs w:val="16"/>
                <w:color w:val="auto"/>
              </w:rPr>
            </w:pPr>
          </w:p>
        </w:tc>
        <w:tc>
          <w:tcPr>
            <w:tcW w:w="1920" w:type="dxa"/>
            <w:vAlign w:val="bottom"/>
            <w:shd w:val="clear" w:color="auto" w:fill="F2F2F2"/>
          </w:tcPr>
          <w:p>
            <w:pPr>
              <w:spacing w:after="0"/>
              <w:rPr>
                <w:sz w:val="16"/>
                <w:szCs w:val="16"/>
                <w:color w:val="auto"/>
              </w:rPr>
            </w:pPr>
          </w:p>
        </w:tc>
        <w:tc>
          <w:tcPr>
            <w:tcW w:w="4960" w:type="dxa"/>
            <w:vAlign w:val="bottom"/>
            <w:shd w:val="clear" w:color="auto" w:fill="F2F2F2"/>
          </w:tcPr>
          <w:p>
            <w:pPr>
              <w:ind w:left="180"/>
              <w:spacing w:after="0"/>
              <w:rPr>
                <w:sz w:val="20"/>
                <w:szCs w:val="20"/>
                <w:color w:val="auto"/>
              </w:rPr>
            </w:pPr>
            <w:r>
              <w:rPr>
                <w:rFonts w:ascii="Arial" w:cs="Arial" w:eastAsia="Arial" w:hAnsi="Arial"/>
                <w:sz w:val="16"/>
                <w:szCs w:val="16"/>
                <w:color w:val="auto"/>
              </w:rPr>
              <w:t>Dr. Brown has had a long and distinguished career as a leader of</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20" w:type="dxa"/>
            <w:vAlign w:val="bottom"/>
            <w:shd w:val="clear" w:color="auto" w:fill="DBE5F1"/>
          </w:tcPr>
          <w:p>
            <w:pPr>
              <w:spacing w:after="0"/>
              <w:rPr>
                <w:sz w:val="16"/>
                <w:szCs w:val="16"/>
                <w:color w:val="auto"/>
              </w:rPr>
            </w:pPr>
          </w:p>
        </w:tc>
        <w:tc>
          <w:tcPr>
            <w:tcW w:w="320" w:type="dxa"/>
            <w:vAlign w:val="bottom"/>
            <w:shd w:val="clear" w:color="auto" w:fill="F2F2F2"/>
          </w:tcPr>
          <w:p>
            <w:pPr>
              <w:spacing w:after="0"/>
              <w:rPr>
                <w:sz w:val="16"/>
                <w:szCs w:val="16"/>
                <w:color w:val="auto"/>
              </w:rPr>
            </w:pPr>
          </w:p>
        </w:tc>
        <w:tc>
          <w:tcPr>
            <w:tcW w:w="1920" w:type="dxa"/>
            <w:vAlign w:val="bottom"/>
            <w:shd w:val="clear" w:color="auto" w:fill="F2F2F2"/>
          </w:tcPr>
          <w:p>
            <w:pPr>
              <w:spacing w:after="0"/>
              <w:rPr>
                <w:sz w:val="16"/>
                <w:szCs w:val="16"/>
                <w:color w:val="auto"/>
              </w:rPr>
            </w:pPr>
          </w:p>
        </w:tc>
        <w:tc>
          <w:tcPr>
            <w:tcW w:w="4960" w:type="dxa"/>
            <w:vAlign w:val="bottom"/>
            <w:shd w:val="clear" w:color="auto" w:fill="F2F2F2"/>
          </w:tcPr>
          <w:p>
            <w:pPr>
              <w:ind w:left="180"/>
              <w:spacing w:after="0"/>
              <w:rPr>
                <w:sz w:val="20"/>
                <w:szCs w:val="20"/>
                <w:color w:val="auto"/>
              </w:rPr>
            </w:pPr>
            <w:r>
              <w:rPr>
                <w:rFonts w:ascii="Arial" w:cs="Arial" w:eastAsia="Arial" w:hAnsi="Arial"/>
                <w:sz w:val="16"/>
                <w:szCs w:val="16"/>
                <w:color w:val="auto"/>
              </w:rPr>
              <w:t>a  premier  institution  involved  in  the  fashion  and  apparel</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20" w:type="dxa"/>
            <w:vAlign w:val="bottom"/>
            <w:shd w:val="clear" w:color="auto" w:fill="DBE5F1"/>
          </w:tcPr>
          <w:p>
            <w:pPr>
              <w:spacing w:after="0"/>
              <w:rPr>
                <w:sz w:val="16"/>
                <w:szCs w:val="16"/>
                <w:color w:val="auto"/>
              </w:rPr>
            </w:pPr>
          </w:p>
        </w:tc>
        <w:tc>
          <w:tcPr>
            <w:tcW w:w="320" w:type="dxa"/>
            <w:vAlign w:val="bottom"/>
            <w:shd w:val="clear" w:color="auto" w:fill="F2F2F2"/>
          </w:tcPr>
          <w:p>
            <w:pPr>
              <w:spacing w:after="0"/>
              <w:rPr>
                <w:sz w:val="16"/>
                <w:szCs w:val="16"/>
                <w:color w:val="auto"/>
              </w:rPr>
            </w:pPr>
          </w:p>
        </w:tc>
        <w:tc>
          <w:tcPr>
            <w:tcW w:w="1920" w:type="dxa"/>
            <w:vAlign w:val="bottom"/>
            <w:shd w:val="clear" w:color="auto" w:fill="F2F2F2"/>
          </w:tcPr>
          <w:p>
            <w:pPr>
              <w:spacing w:after="0"/>
              <w:rPr>
                <w:sz w:val="16"/>
                <w:szCs w:val="16"/>
                <w:color w:val="auto"/>
              </w:rPr>
            </w:pPr>
          </w:p>
        </w:tc>
        <w:tc>
          <w:tcPr>
            <w:tcW w:w="4960" w:type="dxa"/>
            <w:vAlign w:val="bottom"/>
            <w:shd w:val="clear" w:color="auto" w:fill="F2F2F2"/>
          </w:tcPr>
          <w:p>
            <w:pPr>
              <w:ind w:left="180"/>
              <w:spacing w:after="0"/>
              <w:rPr>
                <w:sz w:val="20"/>
                <w:szCs w:val="20"/>
                <w:color w:val="auto"/>
              </w:rPr>
            </w:pPr>
            <w:r>
              <w:rPr>
                <w:rFonts w:ascii="Arial" w:cs="Arial" w:eastAsia="Arial" w:hAnsi="Arial"/>
                <w:sz w:val="16"/>
                <w:szCs w:val="16"/>
                <w:color w:val="auto"/>
              </w:rPr>
              <w:t>industries and brings her expertise and experience to the benefit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720" w:type="dxa"/>
            <w:vAlign w:val="bottom"/>
            <w:tcBorders>
              <w:bottom w:val="single" w:sz="8" w:color="808080"/>
            </w:tcBorders>
            <w:shd w:val="clear" w:color="auto" w:fill="DBE5F1"/>
          </w:tcPr>
          <w:p>
            <w:pPr>
              <w:spacing w:after="0"/>
              <w:rPr>
                <w:sz w:val="17"/>
                <w:szCs w:val="17"/>
                <w:color w:val="auto"/>
              </w:rPr>
            </w:pPr>
          </w:p>
        </w:tc>
        <w:tc>
          <w:tcPr>
            <w:tcW w:w="320" w:type="dxa"/>
            <w:vAlign w:val="bottom"/>
            <w:tcBorders>
              <w:bottom w:val="single" w:sz="8" w:color="808080"/>
            </w:tcBorders>
            <w:shd w:val="clear" w:color="auto" w:fill="F2F2F2"/>
          </w:tcPr>
          <w:p>
            <w:pPr>
              <w:spacing w:after="0"/>
              <w:rPr>
                <w:sz w:val="17"/>
                <w:szCs w:val="17"/>
                <w:color w:val="auto"/>
              </w:rPr>
            </w:pPr>
          </w:p>
        </w:tc>
        <w:tc>
          <w:tcPr>
            <w:tcW w:w="1920" w:type="dxa"/>
            <w:vAlign w:val="bottom"/>
            <w:tcBorders>
              <w:bottom w:val="single" w:sz="8" w:color="808080"/>
            </w:tcBorders>
            <w:shd w:val="clear" w:color="auto" w:fill="F2F2F2"/>
          </w:tcPr>
          <w:p>
            <w:pPr>
              <w:spacing w:after="0"/>
              <w:rPr>
                <w:sz w:val="17"/>
                <w:szCs w:val="17"/>
                <w:color w:val="auto"/>
              </w:rPr>
            </w:pPr>
          </w:p>
        </w:tc>
        <w:tc>
          <w:tcPr>
            <w:tcW w:w="4960" w:type="dxa"/>
            <w:vAlign w:val="bottom"/>
            <w:tcBorders>
              <w:bottom w:val="single" w:sz="8" w:color="808080"/>
            </w:tcBorders>
            <w:shd w:val="clear" w:color="auto" w:fill="F2F2F2"/>
          </w:tcPr>
          <w:p>
            <w:pPr>
              <w:ind w:left="180"/>
              <w:spacing w:after="0"/>
              <w:rPr>
                <w:sz w:val="20"/>
                <w:szCs w:val="20"/>
                <w:color w:val="auto"/>
              </w:rPr>
            </w:pPr>
            <w:r>
              <w:rPr>
                <w:rFonts w:ascii="Arial" w:cs="Arial" w:eastAsia="Arial" w:hAnsi="Arial"/>
                <w:sz w:val="16"/>
                <w:szCs w:val="16"/>
                <w:color w:val="auto"/>
              </w:rPr>
              <w:t>of our Board.</w:t>
            </w:r>
          </w:p>
        </w:tc>
        <w:tc>
          <w:tcPr>
            <w:tcW w:w="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720" w:type="dxa"/>
            <w:vAlign w:val="bottom"/>
            <w:tcBorders>
              <w:bottom w:val="single" w:sz="8" w:color="4A7EBB"/>
            </w:tcBorders>
          </w:tcPr>
          <w:p>
            <w:pPr>
              <w:spacing w:after="0"/>
              <w:rPr>
                <w:sz w:val="18"/>
                <w:szCs w:val="18"/>
                <w:color w:val="auto"/>
              </w:rPr>
            </w:pPr>
          </w:p>
        </w:tc>
        <w:tc>
          <w:tcPr>
            <w:tcW w:w="320" w:type="dxa"/>
            <w:vAlign w:val="bottom"/>
            <w:tcBorders>
              <w:bottom w:val="single" w:sz="8" w:color="4A7EBB"/>
            </w:tcBorders>
          </w:tcPr>
          <w:p>
            <w:pPr>
              <w:spacing w:after="0"/>
              <w:rPr>
                <w:sz w:val="18"/>
                <w:szCs w:val="18"/>
                <w:color w:val="auto"/>
              </w:rPr>
            </w:pPr>
          </w:p>
        </w:tc>
        <w:tc>
          <w:tcPr>
            <w:tcW w:w="1920" w:type="dxa"/>
            <w:vAlign w:val="bottom"/>
            <w:tcBorders>
              <w:bottom w:val="single" w:sz="8" w:color="4A7EBB"/>
            </w:tcBorders>
          </w:tcPr>
          <w:p>
            <w:pPr>
              <w:spacing w:after="0"/>
              <w:rPr>
                <w:sz w:val="18"/>
                <w:szCs w:val="18"/>
                <w:color w:val="auto"/>
              </w:rPr>
            </w:pPr>
          </w:p>
        </w:tc>
        <w:tc>
          <w:tcPr>
            <w:tcW w:w="4960" w:type="dxa"/>
            <w:vAlign w:val="bottom"/>
            <w:tcBorders>
              <w:bottom w:val="single" w:sz="8" w:color="4A7EBB"/>
            </w:tcBorders>
          </w:tcPr>
          <w:p>
            <w:pPr>
              <w:spacing w:after="0"/>
              <w:rPr>
                <w:sz w:val="18"/>
                <w:szCs w:val="18"/>
                <w:color w:val="auto"/>
              </w:rPr>
            </w:pPr>
          </w:p>
        </w:tc>
        <w:tc>
          <w:tcPr>
            <w:tcW w:w="20" w:type="dxa"/>
            <w:vAlign w:val="bottom"/>
            <w:tcBorders>
              <w:bottom w:val="single" w:sz="8" w:color="4A7EBB"/>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720" w:type="dxa"/>
            <w:vAlign w:val="bottom"/>
            <w:shd w:val="clear" w:color="auto" w:fill="DBE5F1"/>
          </w:tcPr>
          <w:p>
            <w:pPr>
              <w:ind w:left="120"/>
              <w:spacing w:after="0" w:line="169" w:lineRule="exact"/>
              <w:rPr>
                <w:sz w:val="20"/>
                <w:szCs w:val="20"/>
                <w:color w:val="auto"/>
              </w:rPr>
            </w:pPr>
            <w:r>
              <w:rPr>
                <w:rFonts w:ascii="Arial" w:cs="Arial" w:eastAsia="Arial" w:hAnsi="Arial"/>
                <w:sz w:val="19"/>
                <w:szCs w:val="19"/>
                <w:b w:val="1"/>
                <w:bCs w:val="1"/>
                <w:color w:val="auto"/>
              </w:rPr>
              <w:t>JEFFREY GOLDFARB</w:t>
            </w:r>
          </w:p>
        </w:tc>
        <w:tc>
          <w:tcPr>
            <w:tcW w:w="2240" w:type="dxa"/>
            <w:vAlign w:val="bottom"/>
            <w:gridSpan w:val="2"/>
            <w:shd w:val="clear" w:color="auto" w:fill="F2F2F2"/>
          </w:tcPr>
          <w:p>
            <w:pPr>
              <w:ind w:left="100"/>
              <w:spacing w:after="0" w:line="169" w:lineRule="exact"/>
              <w:rPr>
                <w:sz w:val="20"/>
                <w:szCs w:val="20"/>
                <w:color w:val="auto"/>
              </w:rPr>
            </w:pPr>
            <w:r>
              <w:rPr>
                <w:rFonts w:ascii="Arial" w:cs="Arial" w:eastAsia="Arial" w:hAnsi="Arial"/>
                <w:sz w:val="16"/>
                <w:szCs w:val="16"/>
                <w:b w:val="1"/>
                <w:bCs w:val="1"/>
                <w:color w:val="auto"/>
              </w:rPr>
              <w:t>Age: 49</w:t>
            </w:r>
          </w:p>
        </w:tc>
        <w:tc>
          <w:tcPr>
            <w:tcW w:w="4960" w:type="dxa"/>
            <w:vAlign w:val="bottom"/>
            <w:shd w:val="clear" w:color="auto" w:fill="F2F2F2"/>
          </w:tcPr>
          <w:p>
            <w:pPr>
              <w:ind w:left="180"/>
              <w:spacing w:after="0" w:line="169" w:lineRule="exact"/>
              <w:rPr>
                <w:sz w:val="20"/>
                <w:szCs w:val="20"/>
                <w:color w:val="auto"/>
              </w:rPr>
            </w:pPr>
            <w:r>
              <w:rPr>
                <w:rFonts w:ascii="Arial" w:cs="Arial" w:eastAsia="Arial" w:hAnsi="Arial"/>
                <w:sz w:val="16"/>
                <w:szCs w:val="16"/>
                <w:color w:val="auto"/>
              </w:rPr>
              <w:t>Jeffrey Goldfarb has been our Executive Vice President since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720" w:type="dxa"/>
            <w:vAlign w:val="bottom"/>
            <w:shd w:val="clear" w:color="auto" w:fill="DBE5F1"/>
          </w:tcPr>
          <w:p>
            <w:pPr>
              <w:ind w:left="120"/>
              <w:spacing w:after="0" w:line="189" w:lineRule="exact"/>
              <w:rPr>
                <w:sz w:val="20"/>
                <w:szCs w:val="20"/>
                <w:color w:val="auto"/>
              </w:rPr>
            </w:pPr>
            <w:r>
              <w:rPr>
                <w:rFonts w:ascii="Arial" w:cs="Arial" w:eastAsia="Arial" w:hAnsi="Arial"/>
                <w:sz w:val="17"/>
                <w:szCs w:val="17"/>
                <w:color w:val="auto"/>
              </w:rPr>
              <w:t>Executive Vice President, G-III</w:t>
            </w:r>
          </w:p>
        </w:tc>
        <w:tc>
          <w:tcPr>
            <w:tcW w:w="2240" w:type="dxa"/>
            <w:vAlign w:val="bottom"/>
            <w:gridSpan w:val="2"/>
            <w:vMerge w:val="restart"/>
            <w:shd w:val="clear" w:color="auto" w:fill="F2F2F2"/>
          </w:tcPr>
          <w:p>
            <w:pPr>
              <w:ind w:left="100"/>
              <w:spacing w:after="0"/>
              <w:rPr>
                <w:sz w:val="20"/>
                <w:szCs w:val="20"/>
                <w:color w:val="auto"/>
              </w:rPr>
            </w:pPr>
            <w:r>
              <w:rPr>
                <w:rFonts w:ascii="Arial" w:cs="Arial" w:eastAsia="Arial" w:hAnsi="Arial"/>
                <w:sz w:val="16"/>
                <w:szCs w:val="16"/>
                <w:b w:val="1"/>
                <w:bCs w:val="1"/>
                <w:color w:val="auto"/>
              </w:rPr>
              <w:t>Director since: 2009</w:t>
            </w:r>
          </w:p>
        </w:tc>
        <w:tc>
          <w:tcPr>
            <w:tcW w:w="4960" w:type="dxa"/>
            <w:vAlign w:val="bottom"/>
            <w:shd w:val="clear" w:color="auto" w:fill="F2F2F2"/>
          </w:tcPr>
          <w:p>
            <w:pPr>
              <w:ind w:left="180"/>
              <w:spacing w:after="0"/>
              <w:rPr>
                <w:sz w:val="20"/>
                <w:szCs w:val="20"/>
                <w:color w:val="auto"/>
              </w:rPr>
            </w:pPr>
            <w:r>
              <w:rPr>
                <w:rFonts w:ascii="Arial" w:cs="Arial" w:eastAsia="Arial" w:hAnsi="Arial"/>
                <w:sz w:val="16"/>
                <w:szCs w:val="16"/>
                <w:color w:val="auto"/>
              </w:rPr>
              <w:t>June 2016. From 2004 to June 2016, Jeffrey Goldfarb served as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720" w:type="dxa"/>
            <w:vAlign w:val="bottom"/>
            <w:shd w:val="clear" w:color="auto" w:fill="DBE5F1"/>
          </w:tcPr>
          <w:p>
            <w:pPr>
              <w:spacing w:after="0"/>
              <w:rPr>
                <w:sz w:val="16"/>
                <w:szCs w:val="16"/>
                <w:color w:val="auto"/>
              </w:rPr>
            </w:pPr>
          </w:p>
        </w:tc>
        <w:tc>
          <w:tcPr>
            <w:tcW w:w="2240" w:type="dxa"/>
            <w:vAlign w:val="bottom"/>
            <w:gridSpan w:val="2"/>
            <w:vMerge w:val="continue"/>
            <w:shd w:val="clear" w:color="auto" w:fill="F2F2F2"/>
          </w:tcPr>
          <w:p>
            <w:pPr>
              <w:spacing w:after="0"/>
              <w:rPr>
                <w:sz w:val="16"/>
                <w:szCs w:val="16"/>
                <w:color w:val="auto"/>
              </w:rPr>
            </w:pPr>
          </w:p>
        </w:tc>
        <w:tc>
          <w:tcPr>
            <w:tcW w:w="4960" w:type="dxa"/>
            <w:vAlign w:val="bottom"/>
            <w:shd w:val="clear" w:color="auto" w:fill="F2F2F2"/>
          </w:tcPr>
          <w:p>
            <w:pPr>
              <w:ind w:left="180"/>
              <w:spacing w:after="0"/>
              <w:rPr>
                <w:sz w:val="20"/>
                <w:szCs w:val="20"/>
                <w:color w:val="auto"/>
              </w:rPr>
            </w:pPr>
            <w:r>
              <w:rPr>
                <w:rFonts w:ascii="Arial" w:cs="Arial" w:eastAsia="Arial" w:hAnsi="Arial"/>
                <w:sz w:val="16"/>
                <w:szCs w:val="16"/>
                <w:color w:val="auto"/>
              </w:rPr>
              <w:t>our Director of Business Development. He has been employed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20" w:type="dxa"/>
            <w:vAlign w:val="bottom"/>
            <w:shd w:val="clear" w:color="auto" w:fill="DBE5F1"/>
          </w:tcPr>
          <w:p>
            <w:pPr>
              <w:spacing w:after="0"/>
              <w:rPr>
                <w:sz w:val="16"/>
                <w:szCs w:val="16"/>
                <w:color w:val="auto"/>
              </w:rPr>
            </w:pPr>
          </w:p>
        </w:tc>
        <w:tc>
          <w:tcPr>
            <w:tcW w:w="320" w:type="dxa"/>
            <w:vAlign w:val="bottom"/>
            <w:shd w:val="clear" w:color="auto" w:fill="F2F2F2"/>
          </w:tcPr>
          <w:p>
            <w:pPr>
              <w:spacing w:after="0"/>
              <w:rPr>
                <w:sz w:val="16"/>
                <w:szCs w:val="16"/>
                <w:color w:val="auto"/>
              </w:rPr>
            </w:pPr>
          </w:p>
        </w:tc>
        <w:tc>
          <w:tcPr>
            <w:tcW w:w="1920" w:type="dxa"/>
            <w:vAlign w:val="bottom"/>
            <w:shd w:val="clear" w:color="auto" w:fill="F2F2F2"/>
          </w:tcPr>
          <w:p>
            <w:pPr>
              <w:spacing w:after="0"/>
              <w:rPr>
                <w:sz w:val="16"/>
                <w:szCs w:val="16"/>
                <w:color w:val="auto"/>
              </w:rPr>
            </w:pPr>
          </w:p>
        </w:tc>
        <w:tc>
          <w:tcPr>
            <w:tcW w:w="4960" w:type="dxa"/>
            <w:vAlign w:val="bottom"/>
            <w:shd w:val="clear" w:color="auto" w:fill="F2F2F2"/>
          </w:tcPr>
          <w:p>
            <w:pPr>
              <w:ind w:left="180"/>
              <w:spacing w:after="0"/>
              <w:rPr>
                <w:sz w:val="20"/>
                <w:szCs w:val="20"/>
                <w:color w:val="auto"/>
              </w:rPr>
            </w:pPr>
            <w:r>
              <w:rPr>
                <w:rFonts w:ascii="Arial" w:cs="Arial" w:eastAsia="Arial" w:hAnsi="Arial"/>
                <w:sz w:val="16"/>
                <w:szCs w:val="16"/>
                <w:color w:val="auto"/>
              </w:rPr>
              <w:t>full-time by G-III in several other capacities since 2002. Jeffrey</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720" w:type="dxa"/>
            <w:vAlign w:val="bottom"/>
            <w:shd w:val="clear" w:color="auto" w:fill="DBE5F1"/>
          </w:tcPr>
          <w:p>
            <w:pPr>
              <w:spacing w:after="0"/>
              <w:rPr>
                <w:sz w:val="15"/>
                <w:szCs w:val="15"/>
                <w:color w:val="auto"/>
              </w:rPr>
            </w:pPr>
          </w:p>
        </w:tc>
        <w:tc>
          <w:tcPr>
            <w:tcW w:w="2240" w:type="dxa"/>
            <w:vAlign w:val="bottom"/>
            <w:gridSpan w:val="2"/>
            <w:shd w:val="clear" w:color="auto" w:fill="F2F2F2"/>
          </w:tcPr>
          <w:p>
            <w:pPr>
              <w:ind w:left="100"/>
              <w:spacing w:after="0" w:line="175" w:lineRule="exact"/>
              <w:rPr>
                <w:sz w:val="20"/>
                <w:szCs w:val="20"/>
                <w:color w:val="auto"/>
              </w:rPr>
            </w:pPr>
            <w:r>
              <w:rPr>
                <w:rFonts w:ascii="Arial" w:cs="Arial" w:eastAsia="Arial" w:hAnsi="Arial"/>
                <w:sz w:val="16"/>
                <w:szCs w:val="16"/>
                <w:b w:val="1"/>
                <w:bCs w:val="1"/>
                <w:color w:val="auto"/>
              </w:rPr>
              <w:t>Committees:</w:t>
            </w:r>
          </w:p>
        </w:tc>
        <w:tc>
          <w:tcPr>
            <w:tcW w:w="4960" w:type="dxa"/>
            <w:vAlign w:val="bottom"/>
            <w:shd w:val="clear" w:color="auto" w:fill="F2F2F2"/>
          </w:tcPr>
          <w:p>
            <w:pPr>
              <w:ind w:left="180"/>
              <w:spacing w:after="0" w:line="175" w:lineRule="exact"/>
              <w:rPr>
                <w:sz w:val="20"/>
                <w:szCs w:val="20"/>
                <w:color w:val="auto"/>
              </w:rPr>
            </w:pPr>
            <w:r>
              <w:rPr>
                <w:rFonts w:ascii="Arial" w:cs="Arial" w:eastAsia="Arial" w:hAnsi="Arial"/>
                <w:sz w:val="16"/>
                <w:szCs w:val="16"/>
                <w:color w:val="auto"/>
              </w:rPr>
              <w:t>Goldfarb is also licensed as an attorney.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7"/>
        </w:trPr>
        <w:tc>
          <w:tcPr>
            <w:tcW w:w="2720" w:type="dxa"/>
            <w:vAlign w:val="bottom"/>
            <w:shd w:val="clear" w:color="auto" w:fill="DBE5F1"/>
          </w:tcPr>
          <w:p>
            <w:pPr>
              <w:spacing w:after="0"/>
              <w:rPr>
                <w:sz w:val="24"/>
                <w:szCs w:val="24"/>
                <w:color w:val="auto"/>
              </w:rPr>
            </w:pPr>
          </w:p>
        </w:tc>
        <w:tc>
          <w:tcPr>
            <w:tcW w:w="320" w:type="dxa"/>
            <w:vAlign w:val="bottom"/>
            <w:shd w:val="clear" w:color="auto" w:fill="F2F2F2"/>
          </w:tcPr>
          <w:p>
            <w:pPr>
              <w:ind w:left="160"/>
              <w:spacing w:after="0"/>
              <w:rPr>
                <w:sz w:val="20"/>
                <w:szCs w:val="20"/>
                <w:color w:val="auto"/>
              </w:rPr>
            </w:pPr>
            <w:r>
              <w:rPr>
                <w:rFonts w:ascii="Arial" w:cs="Arial" w:eastAsia="Arial" w:hAnsi="Arial"/>
                <w:sz w:val="22"/>
                <w:szCs w:val="22"/>
                <w:b w:val="1"/>
                <w:bCs w:val="1"/>
                <w:color w:val="4A7EBB"/>
              </w:rPr>
              <w:t>•</w:t>
            </w:r>
          </w:p>
        </w:tc>
        <w:tc>
          <w:tcPr>
            <w:tcW w:w="1920" w:type="dxa"/>
            <w:vAlign w:val="bottom"/>
            <w:shd w:val="clear" w:color="auto" w:fill="F2F2F2"/>
          </w:tcPr>
          <w:p>
            <w:pPr>
              <w:ind w:left="80"/>
              <w:spacing w:after="0"/>
              <w:rPr>
                <w:sz w:val="20"/>
                <w:szCs w:val="20"/>
                <w:color w:val="auto"/>
              </w:rPr>
            </w:pPr>
            <w:r>
              <w:rPr>
                <w:rFonts w:ascii="Arial" w:cs="Arial" w:eastAsia="Arial" w:hAnsi="Arial"/>
                <w:sz w:val="16"/>
                <w:szCs w:val="16"/>
                <w:color w:val="auto"/>
              </w:rPr>
              <w:t>None</w:t>
            </w:r>
          </w:p>
        </w:tc>
        <w:tc>
          <w:tcPr>
            <w:tcW w:w="4960" w:type="dxa"/>
            <w:vAlign w:val="bottom"/>
            <w:vMerge w:val="restart"/>
            <w:shd w:val="clear" w:color="auto" w:fill="F2F2F2"/>
          </w:tcPr>
          <w:p>
            <w:pPr>
              <w:ind w:left="180"/>
              <w:spacing w:after="0"/>
              <w:rPr>
                <w:sz w:val="20"/>
                <w:szCs w:val="20"/>
                <w:color w:val="auto"/>
              </w:rPr>
            </w:pPr>
            <w:r>
              <w:rPr>
                <w:rFonts w:ascii="Arial" w:cs="Arial" w:eastAsia="Arial" w:hAnsi="Arial"/>
                <w:sz w:val="16"/>
                <w:szCs w:val="16"/>
                <w:b w:val="1"/>
                <w:bCs w:val="1"/>
                <w:color w:val="4A7EBB"/>
              </w:rPr>
              <w:t>Qualifications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720" w:type="dxa"/>
            <w:vAlign w:val="bottom"/>
            <w:shd w:val="clear" w:color="auto" w:fill="DBE5F1"/>
          </w:tcPr>
          <w:p>
            <w:pPr>
              <w:spacing w:after="0"/>
              <w:rPr>
                <w:sz w:val="8"/>
                <w:szCs w:val="8"/>
                <w:color w:val="auto"/>
              </w:rPr>
            </w:pPr>
          </w:p>
        </w:tc>
        <w:tc>
          <w:tcPr>
            <w:tcW w:w="320" w:type="dxa"/>
            <w:vAlign w:val="bottom"/>
            <w:shd w:val="clear" w:color="auto" w:fill="F2F2F2"/>
          </w:tcPr>
          <w:p>
            <w:pPr>
              <w:spacing w:after="0"/>
              <w:rPr>
                <w:sz w:val="8"/>
                <w:szCs w:val="8"/>
                <w:color w:val="auto"/>
              </w:rPr>
            </w:pPr>
          </w:p>
        </w:tc>
        <w:tc>
          <w:tcPr>
            <w:tcW w:w="1920" w:type="dxa"/>
            <w:vAlign w:val="bottom"/>
            <w:shd w:val="clear" w:color="auto" w:fill="F2F2F2"/>
          </w:tcPr>
          <w:p>
            <w:pPr>
              <w:spacing w:after="0"/>
              <w:rPr>
                <w:sz w:val="8"/>
                <w:szCs w:val="8"/>
                <w:color w:val="auto"/>
              </w:rPr>
            </w:pPr>
          </w:p>
        </w:tc>
        <w:tc>
          <w:tcPr>
            <w:tcW w:w="4960" w:type="dxa"/>
            <w:vAlign w:val="bottom"/>
            <w:vMerge w:val="continue"/>
            <w:shd w:val="clear" w:color="auto" w:fill="F2F2F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720" w:type="dxa"/>
            <w:vAlign w:val="bottom"/>
            <w:shd w:val="clear" w:color="auto" w:fill="DBE5F1"/>
          </w:tcPr>
          <w:p>
            <w:pPr>
              <w:spacing w:after="0"/>
              <w:rPr>
                <w:sz w:val="16"/>
                <w:szCs w:val="16"/>
                <w:color w:val="auto"/>
              </w:rPr>
            </w:pPr>
          </w:p>
        </w:tc>
        <w:tc>
          <w:tcPr>
            <w:tcW w:w="320" w:type="dxa"/>
            <w:vAlign w:val="bottom"/>
            <w:shd w:val="clear" w:color="auto" w:fill="F2F2F2"/>
          </w:tcPr>
          <w:p>
            <w:pPr>
              <w:spacing w:after="0"/>
              <w:rPr>
                <w:sz w:val="16"/>
                <w:szCs w:val="16"/>
                <w:color w:val="auto"/>
              </w:rPr>
            </w:pPr>
          </w:p>
        </w:tc>
        <w:tc>
          <w:tcPr>
            <w:tcW w:w="1920" w:type="dxa"/>
            <w:vAlign w:val="bottom"/>
            <w:shd w:val="clear" w:color="auto" w:fill="F2F2F2"/>
          </w:tcPr>
          <w:p>
            <w:pPr>
              <w:spacing w:after="0"/>
              <w:rPr>
                <w:sz w:val="16"/>
                <w:szCs w:val="16"/>
                <w:color w:val="auto"/>
              </w:rPr>
            </w:pPr>
          </w:p>
        </w:tc>
        <w:tc>
          <w:tcPr>
            <w:tcW w:w="4960" w:type="dxa"/>
            <w:vAlign w:val="bottom"/>
            <w:shd w:val="clear" w:color="auto" w:fill="F2F2F2"/>
          </w:tcPr>
          <w:p>
            <w:pPr>
              <w:ind w:left="180"/>
              <w:spacing w:after="0"/>
              <w:rPr>
                <w:sz w:val="20"/>
                <w:szCs w:val="20"/>
                <w:color w:val="auto"/>
              </w:rPr>
            </w:pPr>
            <w:r>
              <w:rPr>
                <w:rFonts w:ascii="Arial" w:cs="Arial" w:eastAsia="Arial" w:hAnsi="Arial"/>
                <w:sz w:val="16"/>
                <w:szCs w:val="16"/>
                <w:color w:val="auto"/>
              </w:rPr>
              <w:t>Jeffrey Goldfarb has worked in a variety of positions at G-III that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20" w:type="dxa"/>
            <w:vAlign w:val="bottom"/>
            <w:shd w:val="clear" w:color="auto" w:fill="DBE5F1"/>
          </w:tcPr>
          <w:p>
            <w:pPr>
              <w:spacing w:after="0"/>
              <w:rPr>
                <w:sz w:val="16"/>
                <w:szCs w:val="16"/>
                <w:color w:val="auto"/>
              </w:rPr>
            </w:pPr>
          </w:p>
        </w:tc>
        <w:tc>
          <w:tcPr>
            <w:tcW w:w="320" w:type="dxa"/>
            <w:vAlign w:val="bottom"/>
            <w:shd w:val="clear" w:color="auto" w:fill="F2F2F2"/>
          </w:tcPr>
          <w:p>
            <w:pPr>
              <w:spacing w:after="0"/>
              <w:rPr>
                <w:sz w:val="16"/>
                <w:szCs w:val="16"/>
                <w:color w:val="auto"/>
              </w:rPr>
            </w:pPr>
          </w:p>
        </w:tc>
        <w:tc>
          <w:tcPr>
            <w:tcW w:w="1920" w:type="dxa"/>
            <w:vAlign w:val="bottom"/>
            <w:shd w:val="clear" w:color="auto" w:fill="F2F2F2"/>
          </w:tcPr>
          <w:p>
            <w:pPr>
              <w:spacing w:after="0"/>
              <w:rPr>
                <w:sz w:val="16"/>
                <w:szCs w:val="16"/>
                <w:color w:val="auto"/>
              </w:rPr>
            </w:pPr>
          </w:p>
        </w:tc>
        <w:tc>
          <w:tcPr>
            <w:tcW w:w="4960" w:type="dxa"/>
            <w:vAlign w:val="bottom"/>
            <w:shd w:val="clear" w:color="auto" w:fill="F2F2F2"/>
          </w:tcPr>
          <w:p>
            <w:pPr>
              <w:ind w:left="180"/>
              <w:spacing w:after="0"/>
              <w:rPr>
                <w:sz w:val="20"/>
                <w:szCs w:val="20"/>
                <w:color w:val="auto"/>
              </w:rPr>
            </w:pPr>
            <w:r>
              <w:rPr>
                <w:rFonts w:ascii="Arial" w:cs="Arial" w:eastAsia="Arial" w:hAnsi="Arial"/>
                <w:sz w:val="16"/>
                <w:szCs w:val="16"/>
                <w:color w:val="auto"/>
              </w:rPr>
              <w:t>provide him with a broad knowledge of our business and the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20" w:type="dxa"/>
            <w:vAlign w:val="bottom"/>
            <w:shd w:val="clear" w:color="auto" w:fill="DBE5F1"/>
          </w:tcPr>
          <w:p>
            <w:pPr>
              <w:spacing w:after="0"/>
              <w:rPr>
                <w:sz w:val="16"/>
                <w:szCs w:val="16"/>
                <w:color w:val="auto"/>
              </w:rPr>
            </w:pPr>
          </w:p>
        </w:tc>
        <w:tc>
          <w:tcPr>
            <w:tcW w:w="320" w:type="dxa"/>
            <w:vAlign w:val="bottom"/>
            <w:shd w:val="clear" w:color="auto" w:fill="F2F2F2"/>
          </w:tcPr>
          <w:p>
            <w:pPr>
              <w:spacing w:after="0"/>
              <w:rPr>
                <w:sz w:val="16"/>
                <w:szCs w:val="16"/>
                <w:color w:val="auto"/>
              </w:rPr>
            </w:pPr>
          </w:p>
        </w:tc>
        <w:tc>
          <w:tcPr>
            <w:tcW w:w="1920" w:type="dxa"/>
            <w:vAlign w:val="bottom"/>
            <w:shd w:val="clear" w:color="auto" w:fill="F2F2F2"/>
          </w:tcPr>
          <w:p>
            <w:pPr>
              <w:spacing w:after="0"/>
              <w:rPr>
                <w:sz w:val="16"/>
                <w:szCs w:val="16"/>
                <w:color w:val="auto"/>
              </w:rPr>
            </w:pPr>
          </w:p>
        </w:tc>
        <w:tc>
          <w:tcPr>
            <w:tcW w:w="4960" w:type="dxa"/>
            <w:vAlign w:val="bottom"/>
            <w:shd w:val="clear" w:color="auto" w:fill="F2F2F2"/>
          </w:tcPr>
          <w:p>
            <w:pPr>
              <w:ind w:left="180"/>
              <w:spacing w:after="0"/>
              <w:rPr>
                <w:sz w:val="20"/>
                <w:szCs w:val="20"/>
                <w:color w:val="auto"/>
              </w:rPr>
            </w:pPr>
            <w:r>
              <w:rPr>
                <w:rFonts w:ascii="Arial" w:cs="Arial" w:eastAsia="Arial" w:hAnsi="Arial"/>
                <w:sz w:val="16"/>
                <w:szCs w:val="16"/>
                <w:color w:val="auto"/>
              </w:rPr>
              <w:t>ability to provide significant input to our Board with respect to</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720" w:type="dxa"/>
            <w:vAlign w:val="bottom"/>
            <w:shd w:val="clear" w:color="auto" w:fill="DBE5F1"/>
          </w:tcPr>
          <w:p>
            <w:pPr>
              <w:spacing w:after="0"/>
              <w:rPr>
                <w:sz w:val="18"/>
                <w:szCs w:val="18"/>
                <w:color w:val="auto"/>
              </w:rPr>
            </w:pPr>
          </w:p>
        </w:tc>
        <w:tc>
          <w:tcPr>
            <w:tcW w:w="320" w:type="dxa"/>
            <w:vAlign w:val="bottom"/>
            <w:shd w:val="clear" w:color="auto" w:fill="F2F2F2"/>
          </w:tcPr>
          <w:p>
            <w:pPr>
              <w:spacing w:after="0"/>
              <w:rPr>
                <w:sz w:val="18"/>
                <w:szCs w:val="18"/>
                <w:color w:val="auto"/>
              </w:rPr>
            </w:pPr>
          </w:p>
        </w:tc>
        <w:tc>
          <w:tcPr>
            <w:tcW w:w="1920" w:type="dxa"/>
            <w:vAlign w:val="bottom"/>
            <w:shd w:val="clear" w:color="auto" w:fill="F2F2F2"/>
          </w:tcPr>
          <w:p>
            <w:pPr>
              <w:spacing w:after="0"/>
              <w:rPr>
                <w:sz w:val="18"/>
                <w:szCs w:val="18"/>
                <w:color w:val="auto"/>
              </w:rPr>
            </w:pPr>
          </w:p>
        </w:tc>
        <w:tc>
          <w:tcPr>
            <w:tcW w:w="4960" w:type="dxa"/>
            <w:vAlign w:val="bottom"/>
            <w:shd w:val="clear" w:color="auto" w:fill="F2F2F2"/>
          </w:tcPr>
          <w:p>
            <w:pPr>
              <w:ind w:left="180"/>
              <w:spacing w:after="0"/>
              <w:rPr>
                <w:sz w:val="20"/>
                <w:szCs w:val="20"/>
                <w:color w:val="auto"/>
              </w:rPr>
            </w:pPr>
            <w:r>
              <w:rPr>
                <w:rFonts w:ascii="Arial" w:cs="Arial" w:eastAsia="Arial" w:hAnsi="Arial"/>
                <w:sz w:val="16"/>
                <w:szCs w:val="16"/>
                <w:color w:val="auto"/>
              </w:rPr>
              <w:t>operational matters.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720" w:type="dxa"/>
            <w:vAlign w:val="bottom"/>
            <w:tcBorders>
              <w:bottom w:val="single" w:sz="8" w:color="808080"/>
            </w:tcBorders>
            <w:shd w:val="clear" w:color="auto" w:fill="DBE5F1"/>
          </w:tcPr>
          <w:p>
            <w:pPr>
              <w:spacing w:after="0"/>
              <w:rPr>
                <w:sz w:val="15"/>
                <w:szCs w:val="15"/>
                <w:color w:val="auto"/>
              </w:rPr>
            </w:pPr>
          </w:p>
        </w:tc>
        <w:tc>
          <w:tcPr>
            <w:tcW w:w="320" w:type="dxa"/>
            <w:vAlign w:val="bottom"/>
            <w:tcBorders>
              <w:bottom w:val="single" w:sz="8" w:color="808080"/>
            </w:tcBorders>
            <w:shd w:val="clear" w:color="auto" w:fill="F2F2F2"/>
          </w:tcPr>
          <w:p>
            <w:pPr>
              <w:spacing w:after="0"/>
              <w:rPr>
                <w:sz w:val="15"/>
                <w:szCs w:val="15"/>
                <w:color w:val="auto"/>
              </w:rPr>
            </w:pPr>
          </w:p>
        </w:tc>
        <w:tc>
          <w:tcPr>
            <w:tcW w:w="1920" w:type="dxa"/>
            <w:vAlign w:val="bottom"/>
            <w:tcBorders>
              <w:bottom w:val="single" w:sz="8" w:color="808080"/>
            </w:tcBorders>
            <w:shd w:val="clear" w:color="auto" w:fill="F2F2F2"/>
          </w:tcPr>
          <w:p>
            <w:pPr>
              <w:spacing w:after="0"/>
              <w:rPr>
                <w:sz w:val="15"/>
                <w:szCs w:val="15"/>
                <w:color w:val="auto"/>
              </w:rPr>
            </w:pPr>
          </w:p>
        </w:tc>
        <w:tc>
          <w:tcPr>
            <w:tcW w:w="4960" w:type="dxa"/>
            <w:vAlign w:val="bottom"/>
            <w:tcBorders>
              <w:bottom w:val="single" w:sz="8" w:color="808080"/>
            </w:tcBorders>
            <w:shd w:val="clear" w:color="auto" w:fill="F2F2F2"/>
          </w:tcPr>
          <w:p>
            <w:pPr>
              <w:spacing w:after="0"/>
              <w:rPr>
                <w:sz w:val="15"/>
                <w:szCs w:val="15"/>
                <w:color w:val="auto"/>
              </w:rPr>
            </w:pPr>
          </w:p>
        </w:tc>
        <w:tc>
          <w:tcPr>
            <w:tcW w:w="2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452"/>
        </w:trPr>
        <w:tc>
          <w:tcPr>
            <w:tcW w:w="2720" w:type="dxa"/>
            <w:vAlign w:val="bottom"/>
            <w:tcBorders>
              <w:bottom w:val="single" w:sz="8" w:color="4A7EBB"/>
            </w:tcBorders>
          </w:tcPr>
          <w:p>
            <w:pPr>
              <w:spacing w:after="0"/>
              <w:rPr>
                <w:sz w:val="24"/>
                <w:szCs w:val="24"/>
                <w:color w:val="auto"/>
              </w:rPr>
            </w:pPr>
          </w:p>
        </w:tc>
        <w:tc>
          <w:tcPr>
            <w:tcW w:w="320" w:type="dxa"/>
            <w:vAlign w:val="bottom"/>
            <w:tcBorders>
              <w:bottom w:val="single" w:sz="8" w:color="4A7EBB"/>
            </w:tcBorders>
          </w:tcPr>
          <w:p>
            <w:pPr>
              <w:spacing w:after="0"/>
              <w:rPr>
                <w:sz w:val="24"/>
                <w:szCs w:val="24"/>
                <w:color w:val="auto"/>
              </w:rPr>
            </w:pPr>
          </w:p>
        </w:tc>
        <w:tc>
          <w:tcPr>
            <w:tcW w:w="1920" w:type="dxa"/>
            <w:vAlign w:val="bottom"/>
            <w:tcBorders>
              <w:bottom w:val="single" w:sz="8" w:color="4A7EBB"/>
            </w:tcBorders>
          </w:tcPr>
          <w:p>
            <w:pPr>
              <w:spacing w:after="0"/>
              <w:rPr>
                <w:sz w:val="24"/>
                <w:szCs w:val="24"/>
                <w:color w:val="auto"/>
              </w:rPr>
            </w:pPr>
          </w:p>
        </w:tc>
        <w:tc>
          <w:tcPr>
            <w:tcW w:w="4960" w:type="dxa"/>
            <w:vAlign w:val="bottom"/>
            <w:tcBorders>
              <w:bottom w:val="single" w:sz="8" w:color="4A7EBB"/>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980" w:type="dxa"/>
            <w:vAlign w:val="bottom"/>
            <w:gridSpan w:val="2"/>
          </w:tcPr>
          <w:p>
            <w:pPr>
              <w:jc w:val="right"/>
              <w:ind w:right="20"/>
              <w:spacing w:after="0"/>
              <w:rPr>
                <w:sz w:val="20"/>
                <w:szCs w:val="20"/>
                <w:color w:val="auto"/>
              </w:rPr>
            </w:pPr>
            <w:r>
              <w:rPr>
                <w:rFonts w:ascii="Arial" w:cs="Arial" w:eastAsia="Arial" w:hAnsi="Arial"/>
                <w:sz w:val="16"/>
                <w:szCs w:val="16"/>
                <w:color w:val="auto"/>
              </w:rPr>
              <w:t xml:space="preserve">2026 PROXY STATEMENT </w:t>
            </w:r>
            <w:r>
              <w:rPr>
                <w:rFonts w:ascii="Arial" w:cs="Arial" w:eastAsia="Arial" w:hAnsi="Arial"/>
                <w:sz w:val="19"/>
                <w:szCs w:val="19"/>
                <w:color w:val="808080"/>
              </w:rPr>
              <w:t>/</w:t>
            </w:r>
            <w:r>
              <w:rPr>
                <w:rFonts w:ascii="Arial" w:cs="Arial" w:eastAsia="Arial" w:hAnsi="Arial"/>
                <w:sz w:val="16"/>
                <w:szCs w:val="16"/>
                <w:color w:val="auto"/>
              </w:rPr>
              <w:t xml:space="preserve"> </w:t>
            </w:r>
            <w:r>
              <w:rPr>
                <w:rFonts w:ascii="Arial" w:cs="Arial" w:eastAsia="Arial" w:hAnsi="Arial"/>
                <w:sz w:val="19"/>
                <w:szCs w:val="19"/>
                <w:b w:val="1"/>
                <w:bCs w:val="1"/>
                <w:color w:val="4A7EBB"/>
              </w:rPr>
              <w:t>57</w:t>
            </w:r>
          </w:p>
        </w:tc>
        <w:tc>
          <w:tcPr>
            <w:tcW w:w="0" w:type="dxa"/>
            <w:vAlign w:val="bottom"/>
          </w:tcPr>
          <w:p>
            <w:pPr>
              <w:spacing w:after="0"/>
              <w:rPr>
                <w:sz w:val="1"/>
                <w:szCs w:val="1"/>
                <w:color w:val="auto"/>
              </w:rPr>
            </w:pPr>
          </w:p>
        </w:tc>
      </w:tr>
      <w:tr>
        <w:trPr>
          <w:trHeight w:val="540"/>
        </w:trPr>
        <w:tc>
          <w:tcPr>
            <w:tcW w:w="27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-5091430</wp:posOffset>
            </wp:positionV>
            <wp:extent cx="6301105" cy="420052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301105" cy="4200525"/>
                    </a:xfrm>
                    <a:prstGeom prst="rect">
                      <a:avLst/>
                    </a:prstGeom>
                    <a:noFill/>
                  </pic:spPr>
                </pic:pic>
              </a:graphicData>
            </a:graphic>
          </wp:anchor>
        </w:drawing>
      </w:r>
    </w:p>
    <w:p>
      <w:pPr>
        <w:sectPr>
          <w:pgSz w:w="11900" w:h="16838" w:orient="portrait"/>
          <w:cols w:equalWidth="0" w:num="1">
            <w:col w:w="9940"/>
          </w:cols>
          <w:pgMar w:left="980" w:top="513" w:right="97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4A7EBB"/>
        </w:rPr>
        <w:t xml:space="preserve">Proposal No. 1 </w:t>
      </w:r>
      <w:r>
        <w:rPr>
          <w:rFonts w:ascii="Arial" w:cs="Arial" w:eastAsia="Arial" w:hAnsi="Arial"/>
          <w:sz w:val="18"/>
          <w:szCs w:val="18"/>
          <w:color w:val="000000"/>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17780</wp:posOffset>
            </wp:positionV>
            <wp:extent cx="6292215" cy="678053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292215" cy="6780530"/>
                    </a:xfrm>
                    <a:prstGeom prst="rect">
                      <a:avLst/>
                    </a:prstGeom>
                    <a:noFill/>
                  </pic:spPr>
                </pic:pic>
              </a:graphicData>
            </a:graphic>
          </wp:anchor>
        </w:drawing>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720" w:type="dxa"/>
            <w:vAlign w:val="bottom"/>
            <w:tcBorders>
              <w:top w:val="single" w:sz="8" w:color="4A7EBB"/>
            </w:tcBorders>
            <w:shd w:val="clear" w:color="auto" w:fill="DBE5F1"/>
          </w:tcPr>
          <w:p>
            <w:pPr>
              <w:ind w:left="120"/>
              <w:spacing w:after="0" w:line="189" w:lineRule="exact"/>
              <w:rPr>
                <w:sz w:val="20"/>
                <w:szCs w:val="20"/>
                <w:color w:val="auto"/>
              </w:rPr>
            </w:pPr>
            <w:r>
              <w:rPr>
                <w:rFonts w:ascii="Arial" w:cs="Arial" w:eastAsia="Arial" w:hAnsi="Arial"/>
                <w:sz w:val="20"/>
                <w:szCs w:val="20"/>
                <w:b w:val="1"/>
                <w:bCs w:val="1"/>
                <w:color w:val="auto"/>
              </w:rPr>
              <w:t>VICTOR HERRERO</w:t>
            </w:r>
          </w:p>
        </w:tc>
        <w:tc>
          <w:tcPr>
            <w:tcW w:w="2040" w:type="dxa"/>
            <w:vAlign w:val="bottom"/>
            <w:tcBorders>
              <w:top w:val="single" w:sz="8" w:color="4A7EBB"/>
            </w:tcBorders>
            <w:gridSpan w:val="2"/>
            <w:shd w:val="clear" w:color="auto" w:fill="F2F2F2"/>
          </w:tcPr>
          <w:p>
            <w:pPr>
              <w:ind w:left="100"/>
              <w:spacing w:after="0"/>
              <w:rPr>
                <w:sz w:val="20"/>
                <w:szCs w:val="20"/>
                <w:color w:val="auto"/>
              </w:rPr>
            </w:pPr>
            <w:r>
              <w:rPr>
                <w:rFonts w:ascii="Arial" w:cs="Arial" w:eastAsia="Arial" w:hAnsi="Arial"/>
                <w:sz w:val="16"/>
                <w:szCs w:val="16"/>
                <w:b w:val="1"/>
                <w:bCs w:val="1"/>
                <w:color w:val="auto"/>
              </w:rPr>
              <w:t>Age: 57</w:t>
            </w:r>
          </w:p>
        </w:tc>
        <w:tc>
          <w:tcPr>
            <w:tcW w:w="5140" w:type="dxa"/>
            <w:vAlign w:val="bottom"/>
            <w:tcBorders>
              <w:top w:val="single" w:sz="8" w:color="4A7EBB"/>
            </w:tcBorders>
            <w:shd w:val="clear" w:color="auto" w:fill="F2F2F2"/>
          </w:tcPr>
          <w:p>
            <w:pPr>
              <w:ind w:left="380"/>
              <w:spacing w:after="0"/>
              <w:rPr>
                <w:sz w:val="20"/>
                <w:szCs w:val="20"/>
                <w:color w:val="auto"/>
              </w:rPr>
            </w:pPr>
            <w:r>
              <w:rPr>
                <w:rFonts w:ascii="Arial" w:cs="Arial" w:eastAsia="Arial" w:hAnsi="Arial"/>
                <w:sz w:val="16"/>
                <w:szCs w:val="16"/>
                <w:color w:val="auto"/>
              </w:rPr>
              <w:t>Victor Herrero was appointed Co-Chief Executive Officer of Viva</w:t>
            </w:r>
          </w:p>
        </w:tc>
        <w:tc>
          <w:tcPr>
            <w:tcW w:w="20" w:type="dxa"/>
            <w:vAlign w:val="bottom"/>
            <w:tcBorders>
              <w:top w:val="single" w:sz="8" w:color="4A7EBB"/>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20" w:type="dxa"/>
            <w:vAlign w:val="bottom"/>
            <w:shd w:val="clear" w:color="auto" w:fill="DBE5F1"/>
          </w:tcPr>
          <w:p>
            <w:pPr>
              <w:ind w:left="120"/>
              <w:spacing w:after="0" w:line="189" w:lineRule="exact"/>
              <w:rPr>
                <w:sz w:val="20"/>
                <w:szCs w:val="20"/>
                <w:color w:val="auto"/>
              </w:rPr>
            </w:pPr>
            <w:r>
              <w:rPr>
                <w:rFonts w:ascii="Arial" w:cs="Arial" w:eastAsia="Arial" w:hAnsi="Arial"/>
                <w:sz w:val="17"/>
                <w:szCs w:val="17"/>
                <w:color w:val="auto"/>
              </w:rPr>
              <w:t>Co-Chief Executive Officer, Viva</w:t>
            </w:r>
          </w:p>
        </w:tc>
        <w:tc>
          <w:tcPr>
            <w:tcW w:w="320" w:type="dxa"/>
            <w:vAlign w:val="bottom"/>
            <w:shd w:val="clear" w:color="auto" w:fill="F2F2F2"/>
          </w:tcPr>
          <w:p>
            <w:pPr>
              <w:spacing w:after="0"/>
              <w:rPr>
                <w:sz w:val="16"/>
                <w:szCs w:val="16"/>
                <w:color w:val="auto"/>
              </w:rPr>
            </w:pPr>
          </w:p>
        </w:tc>
        <w:tc>
          <w:tcPr>
            <w:tcW w:w="1720" w:type="dxa"/>
            <w:vAlign w:val="bottom"/>
            <w:shd w:val="clear" w:color="auto" w:fill="F2F2F2"/>
          </w:tcPr>
          <w:p>
            <w:pPr>
              <w:spacing w:after="0"/>
              <w:rPr>
                <w:sz w:val="16"/>
                <w:szCs w:val="16"/>
                <w:color w:val="auto"/>
              </w:rPr>
            </w:pPr>
          </w:p>
        </w:tc>
        <w:tc>
          <w:tcPr>
            <w:tcW w:w="5140" w:type="dxa"/>
            <w:vAlign w:val="bottom"/>
            <w:shd w:val="clear" w:color="auto" w:fill="F2F2F2"/>
          </w:tcPr>
          <w:p>
            <w:pPr>
              <w:ind w:left="380"/>
              <w:spacing w:after="0"/>
              <w:rPr>
                <w:sz w:val="20"/>
                <w:szCs w:val="20"/>
                <w:color w:val="auto"/>
              </w:rPr>
            </w:pPr>
            <w:r>
              <w:rPr>
                <w:rFonts w:ascii="Arial" w:cs="Arial" w:eastAsia="Arial" w:hAnsi="Arial"/>
                <w:sz w:val="16"/>
                <w:szCs w:val="16"/>
                <w:color w:val="auto"/>
              </w:rPr>
              <w:t>Goods Company Limited in June 2025, Victor Herrero was Chief</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20" w:type="dxa"/>
            <w:vAlign w:val="bottom"/>
            <w:shd w:val="clear" w:color="auto" w:fill="DBE5F1"/>
          </w:tcPr>
          <w:p>
            <w:pPr>
              <w:ind w:left="120"/>
              <w:spacing w:after="0" w:line="189" w:lineRule="exact"/>
              <w:rPr>
                <w:sz w:val="20"/>
                <w:szCs w:val="20"/>
                <w:color w:val="auto"/>
              </w:rPr>
            </w:pPr>
            <w:r>
              <w:rPr>
                <w:rFonts w:ascii="Arial" w:cs="Arial" w:eastAsia="Arial" w:hAnsi="Arial"/>
                <w:sz w:val="17"/>
                <w:szCs w:val="17"/>
                <w:color w:val="auto"/>
              </w:rPr>
              <w:t>Goods Company Limited</w:t>
            </w:r>
          </w:p>
        </w:tc>
        <w:tc>
          <w:tcPr>
            <w:tcW w:w="2040" w:type="dxa"/>
            <w:vAlign w:val="bottom"/>
            <w:gridSpan w:val="2"/>
            <w:shd w:val="clear" w:color="auto" w:fill="F2F2F2"/>
          </w:tcPr>
          <w:p>
            <w:pPr>
              <w:ind w:left="100"/>
              <w:spacing w:after="0"/>
              <w:rPr>
                <w:sz w:val="20"/>
                <w:szCs w:val="20"/>
                <w:color w:val="auto"/>
              </w:rPr>
            </w:pPr>
            <w:r>
              <w:rPr>
                <w:rFonts w:ascii="Arial" w:cs="Arial" w:eastAsia="Arial" w:hAnsi="Arial"/>
                <w:sz w:val="16"/>
                <w:szCs w:val="16"/>
                <w:b w:val="1"/>
                <w:bCs w:val="1"/>
                <w:color w:val="auto"/>
              </w:rPr>
              <w:t>Director since: 2019</w:t>
            </w:r>
          </w:p>
        </w:tc>
        <w:tc>
          <w:tcPr>
            <w:tcW w:w="5140" w:type="dxa"/>
            <w:vAlign w:val="bottom"/>
            <w:shd w:val="clear" w:color="auto" w:fill="F2F2F2"/>
          </w:tcPr>
          <w:p>
            <w:pPr>
              <w:ind w:left="380"/>
              <w:spacing w:after="0"/>
              <w:rPr>
                <w:sz w:val="20"/>
                <w:szCs w:val="20"/>
                <w:color w:val="auto"/>
              </w:rPr>
            </w:pPr>
            <w:r>
              <w:rPr>
                <w:rFonts w:ascii="Arial" w:cs="Arial" w:eastAsia="Arial" w:hAnsi="Arial"/>
                <w:sz w:val="16"/>
                <w:szCs w:val="16"/>
                <w:color w:val="auto"/>
              </w:rPr>
              <w:t>Executive  Officer  and  Director  of  Lovisa  Holdings,  Ltd,  an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720" w:type="dxa"/>
            <w:vAlign w:val="bottom"/>
            <w:shd w:val="clear" w:color="auto" w:fill="DBE5F1"/>
          </w:tcPr>
          <w:p>
            <w:pPr>
              <w:spacing w:after="0"/>
              <w:rPr>
                <w:sz w:val="16"/>
                <w:szCs w:val="16"/>
                <w:color w:val="auto"/>
              </w:rPr>
            </w:pPr>
          </w:p>
        </w:tc>
        <w:tc>
          <w:tcPr>
            <w:tcW w:w="320" w:type="dxa"/>
            <w:vAlign w:val="bottom"/>
            <w:shd w:val="clear" w:color="auto" w:fill="F2F2F2"/>
          </w:tcPr>
          <w:p>
            <w:pPr>
              <w:spacing w:after="0"/>
              <w:rPr>
                <w:sz w:val="16"/>
                <w:szCs w:val="16"/>
                <w:color w:val="auto"/>
              </w:rPr>
            </w:pPr>
          </w:p>
        </w:tc>
        <w:tc>
          <w:tcPr>
            <w:tcW w:w="1720" w:type="dxa"/>
            <w:vAlign w:val="bottom"/>
            <w:shd w:val="clear" w:color="auto" w:fill="F2F2F2"/>
          </w:tcPr>
          <w:p>
            <w:pPr>
              <w:spacing w:after="0"/>
              <w:rPr>
                <w:sz w:val="16"/>
                <w:szCs w:val="16"/>
                <w:color w:val="auto"/>
              </w:rPr>
            </w:pPr>
          </w:p>
        </w:tc>
        <w:tc>
          <w:tcPr>
            <w:tcW w:w="5140" w:type="dxa"/>
            <w:vAlign w:val="bottom"/>
            <w:shd w:val="clear" w:color="auto" w:fill="F2F2F2"/>
          </w:tcPr>
          <w:p>
            <w:pPr>
              <w:ind w:left="380"/>
              <w:spacing w:after="0"/>
              <w:rPr>
                <w:sz w:val="20"/>
                <w:szCs w:val="20"/>
                <w:color w:val="auto"/>
              </w:rPr>
            </w:pPr>
            <w:r>
              <w:rPr>
                <w:rFonts w:ascii="Arial" w:cs="Arial" w:eastAsia="Arial" w:hAnsi="Arial"/>
                <w:sz w:val="16"/>
                <w:szCs w:val="16"/>
                <w:color w:val="auto"/>
              </w:rPr>
              <w:t>Australian public company engaged in the retail sale of fashion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720" w:type="dxa"/>
            <w:vAlign w:val="bottom"/>
            <w:shd w:val="clear" w:color="auto" w:fill="DBE5F1"/>
          </w:tcPr>
          <w:p>
            <w:pPr>
              <w:ind w:left="400"/>
              <w:spacing w:after="0"/>
              <w:rPr>
                <w:sz w:val="20"/>
                <w:szCs w:val="20"/>
                <w:color w:val="auto"/>
              </w:rPr>
            </w:pPr>
            <w:r>
              <w:rPr>
                <w:rFonts w:ascii="Arial" w:cs="Arial" w:eastAsia="Arial" w:hAnsi="Arial"/>
                <w:sz w:val="16"/>
                <w:szCs w:val="16"/>
                <w:color w:val="auto"/>
              </w:rPr>
              <w:t>Independent</w:t>
            </w:r>
          </w:p>
        </w:tc>
        <w:tc>
          <w:tcPr>
            <w:tcW w:w="2040" w:type="dxa"/>
            <w:vAlign w:val="bottom"/>
            <w:gridSpan w:val="2"/>
            <w:shd w:val="clear" w:color="auto" w:fill="F2F2F2"/>
          </w:tcPr>
          <w:p>
            <w:pPr>
              <w:ind w:left="100"/>
              <w:spacing w:after="0"/>
              <w:rPr>
                <w:sz w:val="20"/>
                <w:szCs w:val="20"/>
                <w:color w:val="auto"/>
              </w:rPr>
            </w:pPr>
            <w:r>
              <w:rPr>
                <w:rFonts w:ascii="Arial" w:cs="Arial" w:eastAsia="Arial" w:hAnsi="Arial"/>
                <w:sz w:val="16"/>
                <w:szCs w:val="16"/>
                <w:b w:val="1"/>
                <w:bCs w:val="1"/>
                <w:color w:val="auto"/>
              </w:rPr>
              <w:t>Committees:</w:t>
            </w:r>
          </w:p>
        </w:tc>
        <w:tc>
          <w:tcPr>
            <w:tcW w:w="5140" w:type="dxa"/>
            <w:vAlign w:val="bottom"/>
            <w:shd w:val="clear" w:color="auto" w:fill="F2F2F2"/>
          </w:tcPr>
          <w:p>
            <w:pPr>
              <w:ind w:left="380"/>
              <w:spacing w:after="0"/>
              <w:rPr>
                <w:sz w:val="20"/>
                <w:szCs w:val="20"/>
                <w:color w:val="auto"/>
              </w:rPr>
            </w:pPr>
            <w:r>
              <w:rPr>
                <w:rFonts w:ascii="Arial" w:cs="Arial" w:eastAsia="Arial" w:hAnsi="Arial"/>
                <w:sz w:val="16"/>
                <w:szCs w:val="16"/>
                <w:color w:val="auto"/>
              </w:rPr>
              <w:t>jewelry and accessories, from October 2021 through May 2025.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720" w:type="dxa"/>
            <w:vAlign w:val="bottom"/>
            <w:shd w:val="clear" w:color="auto" w:fill="DBE5F1"/>
          </w:tcPr>
          <w:p>
            <w:pPr>
              <w:spacing w:after="0"/>
              <w:rPr>
                <w:sz w:val="16"/>
                <w:szCs w:val="16"/>
                <w:color w:val="auto"/>
              </w:rPr>
            </w:pPr>
          </w:p>
        </w:tc>
        <w:tc>
          <w:tcPr>
            <w:tcW w:w="320" w:type="dxa"/>
            <w:vAlign w:val="bottom"/>
            <w:shd w:val="clear" w:color="auto" w:fill="F2F2F2"/>
          </w:tcPr>
          <w:p>
            <w:pPr>
              <w:ind w:left="160"/>
              <w:spacing w:after="0" w:line="189" w:lineRule="exact"/>
              <w:rPr>
                <w:sz w:val="20"/>
                <w:szCs w:val="20"/>
                <w:color w:val="auto"/>
              </w:rPr>
            </w:pPr>
            <w:r>
              <w:rPr>
                <w:rFonts w:ascii="Arial" w:cs="Arial" w:eastAsia="Arial" w:hAnsi="Arial"/>
                <w:sz w:val="21"/>
                <w:szCs w:val="21"/>
                <w:b w:val="1"/>
                <w:bCs w:val="1"/>
                <w:color w:val="4A7EBB"/>
              </w:rPr>
              <w:t>•</w:t>
            </w:r>
          </w:p>
        </w:tc>
        <w:tc>
          <w:tcPr>
            <w:tcW w:w="1720" w:type="dxa"/>
            <w:vAlign w:val="bottom"/>
            <w:shd w:val="clear" w:color="auto" w:fill="F2F2F2"/>
          </w:tcPr>
          <w:p>
            <w:pPr>
              <w:ind w:left="80"/>
              <w:spacing w:after="0"/>
              <w:rPr>
                <w:sz w:val="20"/>
                <w:szCs w:val="20"/>
                <w:color w:val="auto"/>
              </w:rPr>
            </w:pPr>
            <w:r>
              <w:rPr>
                <w:rFonts w:ascii="Arial" w:cs="Arial" w:eastAsia="Arial" w:hAnsi="Arial"/>
                <w:sz w:val="16"/>
                <w:szCs w:val="16"/>
                <w:color w:val="auto"/>
              </w:rPr>
              <w:t>Audit</w:t>
            </w:r>
          </w:p>
        </w:tc>
        <w:tc>
          <w:tcPr>
            <w:tcW w:w="5140" w:type="dxa"/>
            <w:vAlign w:val="bottom"/>
            <w:shd w:val="clear" w:color="auto" w:fill="F2F2F2"/>
          </w:tcPr>
          <w:p>
            <w:pPr>
              <w:ind w:left="380"/>
              <w:spacing w:after="0"/>
              <w:rPr>
                <w:sz w:val="20"/>
                <w:szCs w:val="20"/>
                <w:color w:val="auto"/>
              </w:rPr>
            </w:pPr>
            <w:r>
              <w:rPr>
                <w:rFonts w:ascii="Arial" w:cs="Arial" w:eastAsia="Arial" w:hAnsi="Arial"/>
                <w:sz w:val="16"/>
                <w:szCs w:val="16"/>
                <w:color w:val="auto"/>
              </w:rPr>
              <w:t>Victor  Herrero  was  Chief  Executive  Officer  and  Executive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720" w:type="dxa"/>
            <w:vAlign w:val="bottom"/>
            <w:shd w:val="clear" w:color="auto" w:fill="DBE5F1"/>
          </w:tcPr>
          <w:p>
            <w:pPr>
              <w:spacing w:after="0"/>
              <w:rPr>
                <w:sz w:val="15"/>
                <w:szCs w:val="15"/>
                <w:color w:val="auto"/>
              </w:rPr>
            </w:pPr>
          </w:p>
        </w:tc>
        <w:tc>
          <w:tcPr>
            <w:tcW w:w="320" w:type="dxa"/>
            <w:vAlign w:val="bottom"/>
            <w:shd w:val="clear" w:color="auto" w:fill="F2F2F2"/>
          </w:tcPr>
          <w:p>
            <w:pPr>
              <w:spacing w:after="0"/>
              <w:rPr>
                <w:sz w:val="15"/>
                <w:szCs w:val="15"/>
                <w:color w:val="auto"/>
              </w:rPr>
            </w:pPr>
          </w:p>
        </w:tc>
        <w:tc>
          <w:tcPr>
            <w:tcW w:w="1720" w:type="dxa"/>
            <w:vAlign w:val="bottom"/>
            <w:shd w:val="clear" w:color="auto" w:fill="F2F2F2"/>
          </w:tcPr>
          <w:p>
            <w:pPr>
              <w:spacing w:after="0"/>
              <w:rPr>
                <w:sz w:val="15"/>
                <w:szCs w:val="15"/>
                <w:color w:val="auto"/>
              </w:rPr>
            </w:pPr>
          </w:p>
        </w:tc>
        <w:tc>
          <w:tcPr>
            <w:tcW w:w="5140" w:type="dxa"/>
            <w:vAlign w:val="bottom"/>
            <w:shd w:val="clear" w:color="auto" w:fill="F2F2F2"/>
          </w:tcPr>
          <w:p>
            <w:pPr>
              <w:ind w:left="380"/>
              <w:spacing w:after="0" w:line="175" w:lineRule="exact"/>
              <w:rPr>
                <w:sz w:val="20"/>
                <w:szCs w:val="20"/>
                <w:color w:val="auto"/>
              </w:rPr>
            </w:pPr>
            <w:r>
              <w:rPr>
                <w:rFonts w:ascii="Arial" w:cs="Arial" w:eastAsia="Arial" w:hAnsi="Arial"/>
                <w:sz w:val="16"/>
                <w:szCs w:val="16"/>
                <w:color w:val="auto"/>
              </w:rPr>
              <w:t>Chairman of Clarks, an international shoe manufacturer and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720" w:type="dxa"/>
            <w:vAlign w:val="bottom"/>
            <w:shd w:val="clear" w:color="auto" w:fill="DBE5F1"/>
          </w:tcPr>
          <w:p>
            <w:pPr>
              <w:spacing w:after="0"/>
              <w:rPr>
                <w:sz w:val="16"/>
                <w:szCs w:val="16"/>
                <w:color w:val="auto"/>
              </w:rPr>
            </w:pPr>
          </w:p>
        </w:tc>
        <w:tc>
          <w:tcPr>
            <w:tcW w:w="320" w:type="dxa"/>
            <w:vAlign w:val="bottom"/>
            <w:shd w:val="clear" w:color="auto" w:fill="F2F2F2"/>
          </w:tcPr>
          <w:p>
            <w:pPr>
              <w:spacing w:after="0"/>
              <w:rPr>
                <w:sz w:val="16"/>
                <w:szCs w:val="16"/>
                <w:color w:val="auto"/>
              </w:rPr>
            </w:pPr>
          </w:p>
        </w:tc>
        <w:tc>
          <w:tcPr>
            <w:tcW w:w="1720" w:type="dxa"/>
            <w:vAlign w:val="bottom"/>
            <w:shd w:val="clear" w:color="auto" w:fill="F2F2F2"/>
          </w:tcPr>
          <w:p>
            <w:pPr>
              <w:spacing w:after="0"/>
              <w:rPr>
                <w:sz w:val="16"/>
                <w:szCs w:val="16"/>
                <w:color w:val="auto"/>
              </w:rPr>
            </w:pPr>
          </w:p>
        </w:tc>
        <w:tc>
          <w:tcPr>
            <w:tcW w:w="5140" w:type="dxa"/>
            <w:vAlign w:val="bottom"/>
            <w:shd w:val="clear" w:color="auto" w:fill="F2F2F2"/>
          </w:tcPr>
          <w:p>
            <w:pPr>
              <w:ind w:left="380"/>
              <w:spacing w:after="0"/>
              <w:rPr>
                <w:sz w:val="20"/>
                <w:szCs w:val="20"/>
                <w:color w:val="auto"/>
              </w:rPr>
            </w:pPr>
            <w:r>
              <w:rPr>
                <w:rFonts w:ascii="Arial" w:cs="Arial" w:eastAsia="Arial" w:hAnsi="Arial"/>
                <w:sz w:val="16"/>
                <w:szCs w:val="16"/>
                <w:color w:val="auto"/>
              </w:rPr>
              <w:t>retailer from March 2021 to October 2021. Victor Herrero was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20" w:type="dxa"/>
            <w:vAlign w:val="bottom"/>
            <w:shd w:val="clear" w:color="auto" w:fill="DBE5F1"/>
          </w:tcPr>
          <w:p>
            <w:pPr>
              <w:spacing w:after="0"/>
              <w:rPr>
                <w:sz w:val="16"/>
                <w:szCs w:val="16"/>
                <w:color w:val="auto"/>
              </w:rPr>
            </w:pPr>
          </w:p>
        </w:tc>
        <w:tc>
          <w:tcPr>
            <w:tcW w:w="320" w:type="dxa"/>
            <w:vAlign w:val="bottom"/>
            <w:shd w:val="clear" w:color="auto" w:fill="F2F2F2"/>
          </w:tcPr>
          <w:p>
            <w:pPr>
              <w:spacing w:after="0"/>
              <w:rPr>
                <w:sz w:val="16"/>
                <w:szCs w:val="16"/>
                <w:color w:val="auto"/>
              </w:rPr>
            </w:pPr>
          </w:p>
        </w:tc>
        <w:tc>
          <w:tcPr>
            <w:tcW w:w="1720" w:type="dxa"/>
            <w:vAlign w:val="bottom"/>
            <w:shd w:val="clear" w:color="auto" w:fill="F2F2F2"/>
          </w:tcPr>
          <w:p>
            <w:pPr>
              <w:spacing w:after="0"/>
              <w:rPr>
                <w:sz w:val="16"/>
                <w:szCs w:val="16"/>
                <w:color w:val="auto"/>
              </w:rPr>
            </w:pPr>
          </w:p>
        </w:tc>
        <w:tc>
          <w:tcPr>
            <w:tcW w:w="5140" w:type="dxa"/>
            <w:vAlign w:val="bottom"/>
            <w:shd w:val="clear" w:color="auto" w:fill="F2F2F2"/>
          </w:tcPr>
          <w:p>
            <w:pPr>
              <w:ind w:left="380"/>
              <w:spacing w:after="0"/>
              <w:rPr>
                <w:sz w:val="20"/>
                <w:szCs w:val="20"/>
                <w:color w:val="auto"/>
              </w:rPr>
            </w:pPr>
            <w:r>
              <w:rPr>
                <w:rFonts w:ascii="Arial" w:cs="Arial" w:eastAsia="Arial" w:hAnsi="Arial"/>
                <w:sz w:val="16"/>
                <w:szCs w:val="16"/>
                <w:color w:val="auto"/>
              </w:rPr>
              <w:t>Chief Executive Officer and a Director of Guess?, Inc., the global</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20" w:type="dxa"/>
            <w:vAlign w:val="bottom"/>
            <w:shd w:val="clear" w:color="auto" w:fill="DBE5F1"/>
          </w:tcPr>
          <w:p>
            <w:pPr>
              <w:spacing w:after="0"/>
              <w:rPr>
                <w:sz w:val="16"/>
                <w:szCs w:val="16"/>
                <w:color w:val="auto"/>
              </w:rPr>
            </w:pPr>
          </w:p>
        </w:tc>
        <w:tc>
          <w:tcPr>
            <w:tcW w:w="320" w:type="dxa"/>
            <w:vAlign w:val="bottom"/>
            <w:shd w:val="clear" w:color="auto" w:fill="F2F2F2"/>
          </w:tcPr>
          <w:p>
            <w:pPr>
              <w:spacing w:after="0"/>
              <w:rPr>
                <w:sz w:val="16"/>
                <w:szCs w:val="16"/>
                <w:color w:val="auto"/>
              </w:rPr>
            </w:pPr>
          </w:p>
        </w:tc>
        <w:tc>
          <w:tcPr>
            <w:tcW w:w="1720" w:type="dxa"/>
            <w:vAlign w:val="bottom"/>
            <w:shd w:val="clear" w:color="auto" w:fill="F2F2F2"/>
          </w:tcPr>
          <w:p>
            <w:pPr>
              <w:spacing w:after="0"/>
              <w:rPr>
                <w:sz w:val="16"/>
                <w:szCs w:val="16"/>
                <w:color w:val="auto"/>
              </w:rPr>
            </w:pPr>
          </w:p>
        </w:tc>
        <w:tc>
          <w:tcPr>
            <w:tcW w:w="5140" w:type="dxa"/>
            <w:vAlign w:val="bottom"/>
            <w:shd w:val="clear" w:color="auto" w:fill="F2F2F2"/>
          </w:tcPr>
          <w:p>
            <w:pPr>
              <w:ind w:left="380"/>
              <w:spacing w:after="0"/>
              <w:rPr>
                <w:sz w:val="20"/>
                <w:szCs w:val="20"/>
                <w:color w:val="auto"/>
              </w:rPr>
            </w:pPr>
            <w:r>
              <w:rPr>
                <w:rFonts w:ascii="Arial" w:cs="Arial" w:eastAsia="Arial" w:hAnsi="Arial"/>
                <w:sz w:val="16"/>
                <w:szCs w:val="16"/>
                <w:color w:val="auto"/>
              </w:rPr>
              <w:t>lifestyle brand, from August 2015 to February 2019. Prior to</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20" w:type="dxa"/>
            <w:vAlign w:val="bottom"/>
            <w:shd w:val="clear" w:color="auto" w:fill="DBE5F1"/>
          </w:tcPr>
          <w:p>
            <w:pPr>
              <w:spacing w:after="0"/>
              <w:rPr>
                <w:sz w:val="16"/>
                <w:szCs w:val="16"/>
                <w:color w:val="auto"/>
              </w:rPr>
            </w:pPr>
          </w:p>
        </w:tc>
        <w:tc>
          <w:tcPr>
            <w:tcW w:w="320" w:type="dxa"/>
            <w:vAlign w:val="bottom"/>
            <w:shd w:val="clear" w:color="auto" w:fill="F2F2F2"/>
          </w:tcPr>
          <w:p>
            <w:pPr>
              <w:spacing w:after="0"/>
              <w:rPr>
                <w:sz w:val="16"/>
                <w:szCs w:val="16"/>
                <w:color w:val="auto"/>
              </w:rPr>
            </w:pPr>
          </w:p>
        </w:tc>
        <w:tc>
          <w:tcPr>
            <w:tcW w:w="1720" w:type="dxa"/>
            <w:vAlign w:val="bottom"/>
            <w:shd w:val="clear" w:color="auto" w:fill="F2F2F2"/>
          </w:tcPr>
          <w:p>
            <w:pPr>
              <w:spacing w:after="0"/>
              <w:rPr>
                <w:sz w:val="16"/>
                <w:szCs w:val="16"/>
                <w:color w:val="auto"/>
              </w:rPr>
            </w:pPr>
          </w:p>
        </w:tc>
        <w:tc>
          <w:tcPr>
            <w:tcW w:w="5140" w:type="dxa"/>
            <w:vAlign w:val="bottom"/>
            <w:shd w:val="clear" w:color="auto" w:fill="F2F2F2"/>
          </w:tcPr>
          <w:p>
            <w:pPr>
              <w:ind w:left="380"/>
              <w:spacing w:after="0"/>
              <w:rPr>
                <w:sz w:val="20"/>
                <w:szCs w:val="20"/>
                <w:color w:val="auto"/>
              </w:rPr>
            </w:pPr>
            <w:r>
              <w:rPr>
                <w:rFonts w:ascii="Arial" w:cs="Arial" w:eastAsia="Arial" w:hAnsi="Arial"/>
                <w:sz w:val="16"/>
                <w:szCs w:val="16"/>
                <w:color w:val="auto"/>
              </w:rPr>
              <w:t>joining Guess?, starting in 2003, he spent more than 12 years at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20" w:type="dxa"/>
            <w:vAlign w:val="bottom"/>
            <w:shd w:val="clear" w:color="auto" w:fill="DBE5F1"/>
          </w:tcPr>
          <w:p>
            <w:pPr>
              <w:spacing w:after="0"/>
              <w:rPr>
                <w:sz w:val="16"/>
                <w:szCs w:val="16"/>
                <w:color w:val="auto"/>
              </w:rPr>
            </w:pPr>
          </w:p>
        </w:tc>
        <w:tc>
          <w:tcPr>
            <w:tcW w:w="320" w:type="dxa"/>
            <w:vAlign w:val="bottom"/>
            <w:shd w:val="clear" w:color="auto" w:fill="F2F2F2"/>
          </w:tcPr>
          <w:p>
            <w:pPr>
              <w:spacing w:after="0"/>
              <w:rPr>
                <w:sz w:val="16"/>
                <w:szCs w:val="16"/>
                <w:color w:val="auto"/>
              </w:rPr>
            </w:pPr>
          </w:p>
        </w:tc>
        <w:tc>
          <w:tcPr>
            <w:tcW w:w="1720" w:type="dxa"/>
            <w:vAlign w:val="bottom"/>
            <w:shd w:val="clear" w:color="auto" w:fill="F2F2F2"/>
          </w:tcPr>
          <w:p>
            <w:pPr>
              <w:spacing w:after="0"/>
              <w:rPr>
                <w:sz w:val="16"/>
                <w:szCs w:val="16"/>
                <w:color w:val="auto"/>
              </w:rPr>
            </w:pPr>
          </w:p>
        </w:tc>
        <w:tc>
          <w:tcPr>
            <w:tcW w:w="5140" w:type="dxa"/>
            <w:vAlign w:val="bottom"/>
            <w:shd w:val="clear" w:color="auto" w:fill="F2F2F2"/>
          </w:tcPr>
          <w:p>
            <w:pPr>
              <w:ind w:left="380"/>
              <w:spacing w:after="0"/>
              <w:rPr>
                <w:sz w:val="20"/>
                <w:szCs w:val="20"/>
                <w:color w:val="auto"/>
              </w:rPr>
            </w:pPr>
            <w:r>
              <w:rPr>
                <w:rFonts w:ascii="Arial" w:cs="Arial" w:eastAsia="Arial" w:hAnsi="Arial"/>
                <w:sz w:val="16"/>
                <w:szCs w:val="16"/>
                <w:color w:val="auto"/>
              </w:rPr>
              <w:t>Inditex Group, a large fashion retailer with brands including Zara,</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20" w:type="dxa"/>
            <w:vAlign w:val="bottom"/>
            <w:shd w:val="clear" w:color="auto" w:fill="DBE5F1"/>
          </w:tcPr>
          <w:p>
            <w:pPr>
              <w:spacing w:after="0"/>
              <w:rPr>
                <w:sz w:val="16"/>
                <w:szCs w:val="16"/>
                <w:color w:val="auto"/>
              </w:rPr>
            </w:pPr>
          </w:p>
        </w:tc>
        <w:tc>
          <w:tcPr>
            <w:tcW w:w="320" w:type="dxa"/>
            <w:vAlign w:val="bottom"/>
            <w:shd w:val="clear" w:color="auto" w:fill="F2F2F2"/>
          </w:tcPr>
          <w:p>
            <w:pPr>
              <w:spacing w:after="0"/>
              <w:rPr>
                <w:sz w:val="16"/>
                <w:szCs w:val="16"/>
                <w:color w:val="auto"/>
              </w:rPr>
            </w:pPr>
          </w:p>
        </w:tc>
        <w:tc>
          <w:tcPr>
            <w:tcW w:w="1720" w:type="dxa"/>
            <w:vAlign w:val="bottom"/>
            <w:shd w:val="clear" w:color="auto" w:fill="F2F2F2"/>
          </w:tcPr>
          <w:p>
            <w:pPr>
              <w:spacing w:after="0"/>
              <w:rPr>
                <w:sz w:val="16"/>
                <w:szCs w:val="16"/>
                <w:color w:val="auto"/>
              </w:rPr>
            </w:pPr>
          </w:p>
        </w:tc>
        <w:tc>
          <w:tcPr>
            <w:tcW w:w="5140" w:type="dxa"/>
            <w:vAlign w:val="bottom"/>
            <w:shd w:val="clear" w:color="auto" w:fill="F2F2F2"/>
          </w:tcPr>
          <w:p>
            <w:pPr>
              <w:ind w:left="380"/>
              <w:spacing w:after="0"/>
              <w:rPr>
                <w:sz w:val="20"/>
                <w:szCs w:val="20"/>
                <w:color w:val="auto"/>
              </w:rPr>
            </w:pPr>
            <w:r>
              <w:rPr>
                <w:rFonts w:ascii="Arial" w:cs="Arial" w:eastAsia="Arial" w:hAnsi="Arial"/>
                <w:sz w:val="16"/>
                <w:szCs w:val="16"/>
                <w:color w:val="auto"/>
              </w:rPr>
              <w:t>Massimo Dutti, Pull &amp; Bear, Bershka, and Stradivarius, holding</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20" w:type="dxa"/>
            <w:vAlign w:val="bottom"/>
            <w:shd w:val="clear" w:color="auto" w:fill="DBE5F1"/>
          </w:tcPr>
          <w:p>
            <w:pPr>
              <w:spacing w:after="0"/>
              <w:rPr>
                <w:sz w:val="16"/>
                <w:szCs w:val="16"/>
                <w:color w:val="auto"/>
              </w:rPr>
            </w:pPr>
          </w:p>
        </w:tc>
        <w:tc>
          <w:tcPr>
            <w:tcW w:w="320" w:type="dxa"/>
            <w:vAlign w:val="bottom"/>
            <w:shd w:val="clear" w:color="auto" w:fill="F2F2F2"/>
          </w:tcPr>
          <w:p>
            <w:pPr>
              <w:spacing w:after="0"/>
              <w:rPr>
                <w:sz w:val="16"/>
                <w:szCs w:val="16"/>
                <w:color w:val="auto"/>
              </w:rPr>
            </w:pPr>
          </w:p>
        </w:tc>
        <w:tc>
          <w:tcPr>
            <w:tcW w:w="1720" w:type="dxa"/>
            <w:vAlign w:val="bottom"/>
            <w:shd w:val="clear" w:color="auto" w:fill="F2F2F2"/>
          </w:tcPr>
          <w:p>
            <w:pPr>
              <w:spacing w:after="0"/>
              <w:rPr>
                <w:sz w:val="16"/>
                <w:szCs w:val="16"/>
                <w:color w:val="auto"/>
              </w:rPr>
            </w:pPr>
          </w:p>
        </w:tc>
        <w:tc>
          <w:tcPr>
            <w:tcW w:w="5140" w:type="dxa"/>
            <w:vAlign w:val="bottom"/>
            <w:shd w:val="clear" w:color="auto" w:fill="F2F2F2"/>
          </w:tcPr>
          <w:p>
            <w:pPr>
              <w:ind w:left="380"/>
              <w:spacing w:after="0"/>
              <w:rPr>
                <w:sz w:val="20"/>
                <w:szCs w:val="20"/>
                <w:color w:val="auto"/>
              </w:rPr>
            </w:pPr>
            <w:r>
              <w:rPr>
                <w:rFonts w:ascii="Arial" w:cs="Arial" w:eastAsia="Arial" w:hAnsi="Arial"/>
                <w:sz w:val="16"/>
                <w:szCs w:val="16"/>
                <w:color w:val="auto"/>
              </w:rPr>
              <w:t>several senior executive roles. Victor Herrero also currently</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20" w:type="dxa"/>
            <w:vAlign w:val="bottom"/>
            <w:shd w:val="clear" w:color="auto" w:fill="DBE5F1"/>
          </w:tcPr>
          <w:p>
            <w:pPr>
              <w:spacing w:after="0"/>
              <w:rPr>
                <w:sz w:val="16"/>
                <w:szCs w:val="16"/>
                <w:color w:val="auto"/>
              </w:rPr>
            </w:pPr>
          </w:p>
        </w:tc>
        <w:tc>
          <w:tcPr>
            <w:tcW w:w="320" w:type="dxa"/>
            <w:vAlign w:val="bottom"/>
            <w:shd w:val="clear" w:color="auto" w:fill="F2F2F2"/>
          </w:tcPr>
          <w:p>
            <w:pPr>
              <w:spacing w:after="0"/>
              <w:rPr>
                <w:sz w:val="16"/>
                <w:szCs w:val="16"/>
                <w:color w:val="auto"/>
              </w:rPr>
            </w:pPr>
          </w:p>
        </w:tc>
        <w:tc>
          <w:tcPr>
            <w:tcW w:w="1720" w:type="dxa"/>
            <w:vAlign w:val="bottom"/>
            <w:shd w:val="clear" w:color="auto" w:fill="F2F2F2"/>
          </w:tcPr>
          <w:p>
            <w:pPr>
              <w:spacing w:after="0"/>
              <w:rPr>
                <w:sz w:val="16"/>
                <w:szCs w:val="16"/>
                <w:color w:val="auto"/>
              </w:rPr>
            </w:pPr>
          </w:p>
        </w:tc>
        <w:tc>
          <w:tcPr>
            <w:tcW w:w="5140" w:type="dxa"/>
            <w:vAlign w:val="bottom"/>
            <w:shd w:val="clear" w:color="auto" w:fill="F2F2F2"/>
          </w:tcPr>
          <w:p>
            <w:pPr>
              <w:ind w:left="380"/>
              <w:spacing w:after="0"/>
              <w:rPr>
                <w:sz w:val="20"/>
                <w:szCs w:val="20"/>
                <w:color w:val="auto"/>
              </w:rPr>
            </w:pPr>
            <w:r>
              <w:rPr>
                <w:rFonts w:ascii="Arial" w:cs="Arial" w:eastAsia="Arial" w:hAnsi="Arial"/>
                <w:sz w:val="16"/>
                <w:szCs w:val="16"/>
                <w:color w:val="auto"/>
              </w:rPr>
              <w:t>serves on the board of directors of (i) Maisons du Monde, a</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20" w:type="dxa"/>
            <w:vAlign w:val="bottom"/>
            <w:shd w:val="clear" w:color="auto" w:fill="DBE5F1"/>
          </w:tcPr>
          <w:p>
            <w:pPr>
              <w:spacing w:after="0"/>
              <w:rPr>
                <w:sz w:val="16"/>
                <w:szCs w:val="16"/>
                <w:color w:val="auto"/>
              </w:rPr>
            </w:pPr>
          </w:p>
        </w:tc>
        <w:tc>
          <w:tcPr>
            <w:tcW w:w="320" w:type="dxa"/>
            <w:vAlign w:val="bottom"/>
            <w:shd w:val="clear" w:color="auto" w:fill="F2F2F2"/>
          </w:tcPr>
          <w:p>
            <w:pPr>
              <w:spacing w:after="0"/>
              <w:rPr>
                <w:sz w:val="16"/>
                <w:szCs w:val="16"/>
                <w:color w:val="auto"/>
              </w:rPr>
            </w:pPr>
          </w:p>
        </w:tc>
        <w:tc>
          <w:tcPr>
            <w:tcW w:w="1720" w:type="dxa"/>
            <w:vAlign w:val="bottom"/>
            <w:shd w:val="clear" w:color="auto" w:fill="F2F2F2"/>
          </w:tcPr>
          <w:p>
            <w:pPr>
              <w:spacing w:after="0"/>
              <w:rPr>
                <w:sz w:val="16"/>
                <w:szCs w:val="16"/>
                <w:color w:val="auto"/>
              </w:rPr>
            </w:pPr>
          </w:p>
        </w:tc>
        <w:tc>
          <w:tcPr>
            <w:tcW w:w="5140" w:type="dxa"/>
            <w:vAlign w:val="bottom"/>
            <w:shd w:val="clear" w:color="auto" w:fill="F2F2F2"/>
          </w:tcPr>
          <w:p>
            <w:pPr>
              <w:ind w:left="380"/>
              <w:spacing w:after="0"/>
              <w:rPr>
                <w:sz w:val="20"/>
                <w:szCs w:val="20"/>
                <w:color w:val="auto"/>
              </w:rPr>
            </w:pPr>
            <w:r>
              <w:rPr>
                <w:rFonts w:ascii="Arial" w:cs="Arial" w:eastAsia="Arial" w:hAnsi="Arial"/>
                <w:sz w:val="16"/>
                <w:szCs w:val="16"/>
                <w:color w:val="auto"/>
              </w:rPr>
              <w:t>Euronext Paris listed public company in France, and (ii) Viva</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20" w:type="dxa"/>
            <w:vAlign w:val="bottom"/>
            <w:shd w:val="clear" w:color="auto" w:fill="DBE5F1"/>
          </w:tcPr>
          <w:p>
            <w:pPr>
              <w:spacing w:after="0"/>
              <w:rPr>
                <w:sz w:val="16"/>
                <w:szCs w:val="16"/>
                <w:color w:val="auto"/>
              </w:rPr>
            </w:pPr>
          </w:p>
        </w:tc>
        <w:tc>
          <w:tcPr>
            <w:tcW w:w="320" w:type="dxa"/>
            <w:vAlign w:val="bottom"/>
            <w:shd w:val="clear" w:color="auto" w:fill="F2F2F2"/>
          </w:tcPr>
          <w:p>
            <w:pPr>
              <w:spacing w:after="0"/>
              <w:rPr>
                <w:sz w:val="16"/>
                <w:szCs w:val="16"/>
                <w:color w:val="auto"/>
              </w:rPr>
            </w:pPr>
          </w:p>
        </w:tc>
        <w:tc>
          <w:tcPr>
            <w:tcW w:w="1720" w:type="dxa"/>
            <w:vAlign w:val="bottom"/>
            <w:shd w:val="clear" w:color="auto" w:fill="F2F2F2"/>
          </w:tcPr>
          <w:p>
            <w:pPr>
              <w:spacing w:after="0"/>
              <w:rPr>
                <w:sz w:val="16"/>
                <w:szCs w:val="16"/>
                <w:color w:val="auto"/>
              </w:rPr>
            </w:pPr>
          </w:p>
        </w:tc>
        <w:tc>
          <w:tcPr>
            <w:tcW w:w="5140" w:type="dxa"/>
            <w:vAlign w:val="bottom"/>
            <w:shd w:val="clear" w:color="auto" w:fill="F2F2F2"/>
          </w:tcPr>
          <w:p>
            <w:pPr>
              <w:ind w:left="380"/>
              <w:spacing w:after="0"/>
              <w:rPr>
                <w:sz w:val="20"/>
                <w:szCs w:val="20"/>
                <w:color w:val="auto"/>
              </w:rPr>
            </w:pPr>
            <w:r>
              <w:rPr>
                <w:rFonts w:ascii="Arial" w:cs="Arial" w:eastAsia="Arial" w:hAnsi="Arial"/>
                <w:sz w:val="16"/>
                <w:szCs w:val="16"/>
                <w:color w:val="auto"/>
              </w:rPr>
              <w:t>Goods  Company  Limited,  a  Hong  Kong  exchange  public</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20" w:type="dxa"/>
            <w:vAlign w:val="bottom"/>
            <w:shd w:val="clear" w:color="auto" w:fill="DBE5F1"/>
          </w:tcPr>
          <w:p>
            <w:pPr>
              <w:spacing w:after="0"/>
              <w:rPr>
                <w:sz w:val="16"/>
                <w:szCs w:val="16"/>
                <w:color w:val="auto"/>
              </w:rPr>
            </w:pPr>
          </w:p>
        </w:tc>
        <w:tc>
          <w:tcPr>
            <w:tcW w:w="320" w:type="dxa"/>
            <w:vAlign w:val="bottom"/>
            <w:shd w:val="clear" w:color="auto" w:fill="F2F2F2"/>
          </w:tcPr>
          <w:p>
            <w:pPr>
              <w:spacing w:after="0"/>
              <w:rPr>
                <w:sz w:val="16"/>
                <w:szCs w:val="16"/>
                <w:color w:val="auto"/>
              </w:rPr>
            </w:pPr>
          </w:p>
        </w:tc>
        <w:tc>
          <w:tcPr>
            <w:tcW w:w="1720" w:type="dxa"/>
            <w:vAlign w:val="bottom"/>
            <w:shd w:val="clear" w:color="auto" w:fill="F2F2F2"/>
          </w:tcPr>
          <w:p>
            <w:pPr>
              <w:spacing w:after="0"/>
              <w:rPr>
                <w:sz w:val="16"/>
                <w:szCs w:val="16"/>
                <w:color w:val="auto"/>
              </w:rPr>
            </w:pPr>
          </w:p>
        </w:tc>
        <w:tc>
          <w:tcPr>
            <w:tcW w:w="5140" w:type="dxa"/>
            <w:vAlign w:val="bottom"/>
            <w:shd w:val="clear" w:color="auto" w:fill="F2F2F2"/>
          </w:tcPr>
          <w:p>
            <w:pPr>
              <w:ind w:left="380"/>
              <w:spacing w:after="0"/>
              <w:rPr>
                <w:sz w:val="20"/>
                <w:szCs w:val="20"/>
                <w:color w:val="auto"/>
              </w:rPr>
            </w:pPr>
            <w:r>
              <w:rPr>
                <w:rFonts w:ascii="Arial" w:cs="Arial" w:eastAsia="Arial" w:hAnsi="Arial"/>
                <w:sz w:val="16"/>
                <w:szCs w:val="16"/>
                <w:color w:val="auto"/>
              </w:rPr>
              <w:t>company in Hong Kong. Victor Herrero served on the board of</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20" w:type="dxa"/>
            <w:vAlign w:val="bottom"/>
            <w:shd w:val="clear" w:color="auto" w:fill="DBE5F1"/>
          </w:tcPr>
          <w:p>
            <w:pPr>
              <w:spacing w:after="0"/>
              <w:rPr>
                <w:sz w:val="16"/>
                <w:szCs w:val="16"/>
                <w:color w:val="auto"/>
              </w:rPr>
            </w:pPr>
          </w:p>
        </w:tc>
        <w:tc>
          <w:tcPr>
            <w:tcW w:w="320" w:type="dxa"/>
            <w:vAlign w:val="bottom"/>
            <w:shd w:val="clear" w:color="auto" w:fill="F2F2F2"/>
          </w:tcPr>
          <w:p>
            <w:pPr>
              <w:spacing w:after="0"/>
              <w:rPr>
                <w:sz w:val="16"/>
                <w:szCs w:val="16"/>
                <w:color w:val="auto"/>
              </w:rPr>
            </w:pPr>
          </w:p>
        </w:tc>
        <w:tc>
          <w:tcPr>
            <w:tcW w:w="1720" w:type="dxa"/>
            <w:vAlign w:val="bottom"/>
            <w:shd w:val="clear" w:color="auto" w:fill="F2F2F2"/>
          </w:tcPr>
          <w:p>
            <w:pPr>
              <w:spacing w:after="0"/>
              <w:rPr>
                <w:sz w:val="16"/>
                <w:szCs w:val="16"/>
                <w:color w:val="auto"/>
              </w:rPr>
            </w:pPr>
          </w:p>
        </w:tc>
        <w:tc>
          <w:tcPr>
            <w:tcW w:w="5140" w:type="dxa"/>
            <w:vAlign w:val="bottom"/>
            <w:shd w:val="clear" w:color="auto" w:fill="F2F2F2"/>
          </w:tcPr>
          <w:p>
            <w:pPr>
              <w:ind w:left="380"/>
              <w:spacing w:after="0"/>
              <w:rPr>
                <w:sz w:val="20"/>
                <w:szCs w:val="20"/>
                <w:color w:val="auto"/>
              </w:rPr>
            </w:pPr>
            <w:r>
              <w:rPr>
                <w:rFonts w:ascii="Arial" w:cs="Arial" w:eastAsia="Arial" w:hAnsi="Arial"/>
                <w:sz w:val="16"/>
                <w:szCs w:val="16"/>
                <w:color w:val="auto"/>
              </w:rPr>
              <w:t>directors of Clarks from 2019 to 2021 and Global Fashion Group,</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720" w:type="dxa"/>
            <w:vAlign w:val="bottom"/>
            <w:shd w:val="clear" w:color="auto" w:fill="DBE5F1"/>
          </w:tcPr>
          <w:p>
            <w:pPr>
              <w:spacing w:after="0"/>
              <w:rPr>
                <w:sz w:val="18"/>
                <w:szCs w:val="18"/>
                <w:color w:val="auto"/>
              </w:rPr>
            </w:pPr>
          </w:p>
        </w:tc>
        <w:tc>
          <w:tcPr>
            <w:tcW w:w="320" w:type="dxa"/>
            <w:vAlign w:val="bottom"/>
            <w:shd w:val="clear" w:color="auto" w:fill="F2F2F2"/>
          </w:tcPr>
          <w:p>
            <w:pPr>
              <w:spacing w:after="0"/>
              <w:rPr>
                <w:sz w:val="18"/>
                <w:szCs w:val="18"/>
                <w:color w:val="auto"/>
              </w:rPr>
            </w:pPr>
          </w:p>
        </w:tc>
        <w:tc>
          <w:tcPr>
            <w:tcW w:w="1720" w:type="dxa"/>
            <w:vAlign w:val="bottom"/>
            <w:shd w:val="clear" w:color="auto" w:fill="F2F2F2"/>
          </w:tcPr>
          <w:p>
            <w:pPr>
              <w:spacing w:after="0"/>
              <w:rPr>
                <w:sz w:val="18"/>
                <w:szCs w:val="18"/>
                <w:color w:val="auto"/>
              </w:rPr>
            </w:pPr>
          </w:p>
        </w:tc>
        <w:tc>
          <w:tcPr>
            <w:tcW w:w="5140" w:type="dxa"/>
            <w:vAlign w:val="bottom"/>
            <w:shd w:val="clear" w:color="auto" w:fill="F2F2F2"/>
          </w:tcPr>
          <w:p>
            <w:pPr>
              <w:ind w:left="380"/>
              <w:spacing w:after="0"/>
              <w:rPr>
                <w:sz w:val="20"/>
                <w:szCs w:val="20"/>
                <w:color w:val="auto"/>
              </w:rPr>
            </w:pPr>
            <w:r>
              <w:rPr>
                <w:rFonts w:ascii="Arial" w:cs="Arial" w:eastAsia="Arial" w:hAnsi="Arial"/>
                <w:sz w:val="16"/>
                <w:szCs w:val="16"/>
                <w:color w:val="auto"/>
              </w:rPr>
              <w:t>a Xetra-listed company in Germany, from 2019 to 2023.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2"/>
        </w:trPr>
        <w:tc>
          <w:tcPr>
            <w:tcW w:w="2720" w:type="dxa"/>
            <w:vAlign w:val="bottom"/>
            <w:shd w:val="clear" w:color="auto" w:fill="DBE5F1"/>
          </w:tcPr>
          <w:p>
            <w:pPr>
              <w:spacing w:after="0"/>
              <w:rPr>
                <w:sz w:val="24"/>
                <w:szCs w:val="24"/>
                <w:color w:val="auto"/>
              </w:rPr>
            </w:pPr>
          </w:p>
        </w:tc>
        <w:tc>
          <w:tcPr>
            <w:tcW w:w="320" w:type="dxa"/>
            <w:vAlign w:val="bottom"/>
            <w:shd w:val="clear" w:color="auto" w:fill="F2F2F2"/>
          </w:tcPr>
          <w:p>
            <w:pPr>
              <w:spacing w:after="0"/>
              <w:rPr>
                <w:sz w:val="24"/>
                <w:szCs w:val="24"/>
                <w:color w:val="auto"/>
              </w:rPr>
            </w:pPr>
          </w:p>
        </w:tc>
        <w:tc>
          <w:tcPr>
            <w:tcW w:w="1720" w:type="dxa"/>
            <w:vAlign w:val="bottom"/>
            <w:shd w:val="clear" w:color="auto" w:fill="F2F2F2"/>
          </w:tcPr>
          <w:p>
            <w:pPr>
              <w:spacing w:after="0"/>
              <w:rPr>
                <w:sz w:val="24"/>
                <w:szCs w:val="24"/>
                <w:color w:val="auto"/>
              </w:rPr>
            </w:pPr>
          </w:p>
        </w:tc>
        <w:tc>
          <w:tcPr>
            <w:tcW w:w="5140" w:type="dxa"/>
            <w:vAlign w:val="bottom"/>
            <w:shd w:val="clear" w:color="auto" w:fill="F2F2F2"/>
          </w:tcPr>
          <w:p>
            <w:pPr>
              <w:ind w:left="380"/>
              <w:spacing w:after="0"/>
              <w:rPr>
                <w:sz w:val="20"/>
                <w:szCs w:val="20"/>
                <w:color w:val="auto"/>
              </w:rPr>
            </w:pPr>
            <w:r>
              <w:rPr>
                <w:rFonts w:ascii="Arial" w:cs="Arial" w:eastAsia="Arial" w:hAnsi="Arial"/>
                <w:sz w:val="16"/>
                <w:szCs w:val="16"/>
                <w:b w:val="1"/>
                <w:bCs w:val="1"/>
                <w:color w:val="4A7EBB"/>
              </w:rPr>
              <w:t>Qualifications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720" w:type="dxa"/>
            <w:vAlign w:val="bottom"/>
            <w:shd w:val="clear" w:color="auto" w:fill="DBE5F1"/>
          </w:tcPr>
          <w:p>
            <w:pPr>
              <w:spacing w:after="0"/>
              <w:rPr>
                <w:sz w:val="16"/>
                <w:szCs w:val="16"/>
                <w:color w:val="auto"/>
              </w:rPr>
            </w:pPr>
          </w:p>
        </w:tc>
        <w:tc>
          <w:tcPr>
            <w:tcW w:w="320" w:type="dxa"/>
            <w:vAlign w:val="bottom"/>
            <w:shd w:val="clear" w:color="auto" w:fill="F2F2F2"/>
          </w:tcPr>
          <w:p>
            <w:pPr>
              <w:spacing w:after="0"/>
              <w:rPr>
                <w:sz w:val="16"/>
                <w:szCs w:val="16"/>
                <w:color w:val="auto"/>
              </w:rPr>
            </w:pPr>
          </w:p>
        </w:tc>
        <w:tc>
          <w:tcPr>
            <w:tcW w:w="1720" w:type="dxa"/>
            <w:vAlign w:val="bottom"/>
            <w:shd w:val="clear" w:color="auto" w:fill="F2F2F2"/>
          </w:tcPr>
          <w:p>
            <w:pPr>
              <w:spacing w:after="0"/>
              <w:rPr>
                <w:sz w:val="16"/>
                <w:szCs w:val="16"/>
                <w:color w:val="auto"/>
              </w:rPr>
            </w:pPr>
          </w:p>
        </w:tc>
        <w:tc>
          <w:tcPr>
            <w:tcW w:w="5140" w:type="dxa"/>
            <w:vAlign w:val="bottom"/>
            <w:shd w:val="clear" w:color="auto" w:fill="F2F2F2"/>
          </w:tcPr>
          <w:p>
            <w:pPr>
              <w:ind w:left="380"/>
              <w:spacing w:after="0"/>
              <w:rPr>
                <w:sz w:val="20"/>
                <w:szCs w:val="20"/>
                <w:color w:val="auto"/>
              </w:rPr>
            </w:pPr>
            <w:r>
              <w:rPr>
                <w:rFonts w:ascii="Arial" w:cs="Arial" w:eastAsia="Arial" w:hAnsi="Arial"/>
                <w:sz w:val="16"/>
                <w:szCs w:val="16"/>
                <w:color w:val="auto"/>
              </w:rPr>
              <w:t>Victor Herrero’s extensive business experience in Europe and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20" w:type="dxa"/>
            <w:vAlign w:val="bottom"/>
            <w:shd w:val="clear" w:color="auto" w:fill="DBE5F1"/>
          </w:tcPr>
          <w:p>
            <w:pPr>
              <w:spacing w:after="0"/>
              <w:rPr>
                <w:sz w:val="16"/>
                <w:szCs w:val="16"/>
                <w:color w:val="auto"/>
              </w:rPr>
            </w:pPr>
          </w:p>
        </w:tc>
        <w:tc>
          <w:tcPr>
            <w:tcW w:w="320" w:type="dxa"/>
            <w:vAlign w:val="bottom"/>
            <w:shd w:val="clear" w:color="auto" w:fill="F2F2F2"/>
          </w:tcPr>
          <w:p>
            <w:pPr>
              <w:spacing w:after="0"/>
              <w:rPr>
                <w:sz w:val="16"/>
                <w:szCs w:val="16"/>
                <w:color w:val="auto"/>
              </w:rPr>
            </w:pPr>
          </w:p>
        </w:tc>
        <w:tc>
          <w:tcPr>
            <w:tcW w:w="1720" w:type="dxa"/>
            <w:vAlign w:val="bottom"/>
            <w:shd w:val="clear" w:color="auto" w:fill="F2F2F2"/>
          </w:tcPr>
          <w:p>
            <w:pPr>
              <w:spacing w:after="0"/>
              <w:rPr>
                <w:sz w:val="16"/>
                <w:szCs w:val="16"/>
                <w:color w:val="auto"/>
              </w:rPr>
            </w:pPr>
          </w:p>
        </w:tc>
        <w:tc>
          <w:tcPr>
            <w:tcW w:w="5140" w:type="dxa"/>
            <w:vAlign w:val="bottom"/>
            <w:shd w:val="clear" w:color="auto" w:fill="F2F2F2"/>
          </w:tcPr>
          <w:p>
            <w:pPr>
              <w:ind w:left="380"/>
              <w:spacing w:after="0"/>
              <w:rPr>
                <w:sz w:val="20"/>
                <w:szCs w:val="20"/>
                <w:color w:val="auto"/>
              </w:rPr>
            </w:pPr>
            <w:r>
              <w:rPr>
                <w:rFonts w:ascii="Arial" w:cs="Arial" w:eastAsia="Arial" w:hAnsi="Arial"/>
                <w:sz w:val="16"/>
                <w:szCs w:val="16"/>
                <w:color w:val="auto"/>
              </w:rPr>
              <w:t>Asia, two of the areas in which we are expanding our business,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20" w:type="dxa"/>
            <w:vAlign w:val="bottom"/>
            <w:shd w:val="clear" w:color="auto" w:fill="DBE5F1"/>
          </w:tcPr>
          <w:p>
            <w:pPr>
              <w:spacing w:after="0"/>
              <w:rPr>
                <w:sz w:val="16"/>
                <w:szCs w:val="16"/>
                <w:color w:val="auto"/>
              </w:rPr>
            </w:pPr>
          </w:p>
        </w:tc>
        <w:tc>
          <w:tcPr>
            <w:tcW w:w="320" w:type="dxa"/>
            <w:vAlign w:val="bottom"/>
            <w:shd w:val="clear" w:color="auto" w:fill="F2F2F2"/>
          </w:tcPr>
          <w:p>
            <w:pPr>
              <w:spacing w:after="0"/>
              <w:rPr>
                <w:sz w:val="16"/>
                <w:szCs w:val="16"/>
                <w:color w:val="auto"/>
              </w:rPr>
            </w:pPr>
          </w:p>
        </w:tc>
        <w:tc>
          <w:tcPr>
            <w:tcW w:w="1720" w:type="dxa"/>
            <w:vAlign w:val="bottom"/>
            <w:shd w:val="clear" w:color="auto" w:fill="F2F2F2"/>
          </w:tcPr>
          <w:p>
            <w:pPr>
              <w:spacing w:after="0"/>
              <w:rPr>
                <w:sz w:val="16"/>
                <w:szCs w:val="16"/>
                <w:color w:val="auto"/>
              </w:rPr>
            </w:pPr>
          </w:p>
        </w:tc>
        <w:tc>
          <w:tcPr>
            <w:tcW w:w="5140" w:type="dxa"/>
            <w:vAlign w:val="bottom"/>
            <w:shd w:val="clear" w:color="auto" w:fill="F2F2F2"/>
          </w:tcPr>
          <w:p>
            <w:pPr>
              <w:ind w:left="380"/>
              <w:spacing w:after="0"/>
              <w:rPr>
                <w:sz w:val="20"/>
                <w:szCs w:val="20"/>
                <w:color w:val="auto"/>
              </w:rPr>
            </w:pPr>
            <w:r>
              <w:rPr>
                <w:rFonts w:ascii="Arial" w:cs="Arial" w:eastAsia="Arial" w:hAnsi="Arial"/>
                <w:sz w:val="16"/>
                <w:szCs w:val="16"/>
                <w:color w:val="auto"/>
              </w:rPr>
              <w:t>and his experience and operational knowledge in the retail and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720" w:type="dxa"/>
            <w:vAlign w:val="bottom"/>
            <w:shd w:val="clear" w:color="auto" w:fill="DBE5F1"/>
          </w:tcPr>
          <w:p>
            <w:pPr>
              <w:spacing w:after="0"/>
              <w:rPr>
                <w:sz w:val="18"/>
                <w:szCs w:val="18"/>
                <w:color w:val="auto"/>
              </w:rPr>
            </w:pPr>
          </w:p>
        </w:tc>
        <w:tc>
          <w:tcPr>
            <w:tcW w:w="320" w:type="dxa"/>
            <w:vAlign w:val="bottom"/>
            <w:shd w:val="clear" w:color="auto" w:fill="F2F2F2"/>
          </w:tcPr>
          <w:p>
            <w:pPr>
              <w:spacing w:after="0"/>
              <w:rPr>
                <w:sz w:val="18"/>
                <w:szCs w:val="18"/>
                <w:color w:val="auto"/>
              </w:rPr>
            </w:pPr>
          </w:p>
        </w:tc>
        <w:tc>
          <w:tcPr>
            <w:tcW w:w="1720" w:type="dxa"/>
            <w:vAlign w:val="bottom"/>
            <w:shd w:val="clear" w:color="auto" w:fill="F2F2F2"/>
          </w:tcPr>
          <w:p>
            <w:pPr>
              <w:spacing w:after="0"/>
              <w:rPr>
                <w:sz w:val="18"/>
                <w:szCs w:val="18"/>
                <w:color w:val="auto"/>
              </w:rPr>
            </w:pPr>
          </w:p>
        </w:tc>
        <w:tc>
          <w:tcPr>
            <w:tcW w:w="5140" w:type="dxa"/>
            <w:vAlign w:val="bottom"/>
            <w:shd w:val="clear" w:color="auto" w:fill="F2F2F2"/>
          </w:tcPr>
          <w:p>
            <w:pPr>
              <w:ind w:left="380"/>
              <w:spacing w:after="0"/>
              <w:rPr>
                <w:sz w:val="20"/>
                <w:szCs w:val="20"/>
                <w:color w:val="auto"/>
              </w:rPr>
            </w:pPr>
            <w:r>
              <w:rPr>
                <w:rFonts w:ascii="Arial" w:cs="Arial" w:eastAsia="Arial" w:hAnsi="Arial"/>
                <w:sz w:val="16"/>
                <w:szCs w:val="16"/>
                <w:color w:val="auto"/>
              </w:rPr>
              <w:t>apparel industries are of great value to us.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720" w:type="dxa"/>
            <w:vAlign w:val="bottom"/>
            <w:tcBorders>
              <w:bottom w:val="single" w:sz="8" w:color="808080"/>
            </w:tcBorders>
            <w:shd w:val="clear" w:color="auto" w:fill="DBE5F1"/>
          </w:tcPr>
          <w:p>
            <w:pPr>
              <w:spacing w:after="0"/>
              <w:rPr>
                <w:sz w:val="15"/>
                <w:szCs w:val="15"/>
                <w:color w:val="auto"/>
              </w:rPr>
            </w:pPr>
          </w:p>
        </w:tc>
        <w:tc>
          <w:tcPr>
            <w:tcW w:w="2040" w:type="dxa"/>
            <w:vAlign w:val="bottom"/>
            <w:tcBorders>
              <w:bottom w:val="single" w:sz="8" w:color="808080"/>
            </w:tcBorders>
            <w:gridSpan w:val="2"/>
            <w:shd w:val="clear" w:color="auto" w:fill="F2F2F2"/>
          </w:tcPr>
          <w:p>
            <w:pPr>
              <w:spacing w:after="0"/>
              <w:rPr>
                <w:sz w:val="15"/>
                <w:szCs w:val="15"/>
                <w:color w:val="auto"/>
              </w:rPr>
            </w:pPr>
          </w:p>
        </w:tc>
        <w:tc>
          <w:tcPr>
            <w:tcW w:w="5140" w:type="dxa"/>
            <w:vAlign w:val="bottom"/>
            <w:tcBorders>
              <w:bottom w:val="single" w:sz="8" w:color="808080"/>
            </w:tcBorders>
            <w:shd w:val="clear" w:color="auto" w:fill="F2F2F2"/>
          </w:tcPr>
          <w:p>
            <w:pPr>
              <w:spacing w:after="0"/>
              <w:rPr>
                <w:sz w:val="15"/>
                <w:szCs w:val="15"/>
                <w:color w:val="auto"/>
              </w:rPr>
            </w:pPr>
          </w:p>
        </w:tc>
        <w:tc>
          <w:tcPr>
            <w:tcW w:w="2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72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1720" w:type="dxa"/>
            <w:vAlign w:val="bottom"/>
            <w:tcBorders>
              <w:bottom w:val="single" w:sz="8" w:color="808080"/>
            </w:tcBorders>
          </w:tcPr>
          <w:p>
            <w:pPr>
              <w:spacing w:after="0"/>
              <w:rPr>
                <w:sz w:val="18"/>
                <w:szCs w:val="18"/>
                <w:color w:val="auto"/>
              </w:rPr>
            </w:pPr>
          </w:p>
        </w:tc>
        <w:tc>
          <w:tcPr>
            <w:tcW w:w="514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720" w:type="dxa"/>
            <w:vAlign w:val="bottom"/>
            <w:shd w:val="clear" w:color="auto" w:fill="DBE5F1"/>
          </w:tcPr>
          <w:p>
            <w:pPr>
              <w:ind w:left="120"/>
              <w:spacing w:after="0" w:line="169" w:lineRule="exact"/>
              <w:rPr>
                <w:sz w:val="20"/>
                <w:szCs w:val="20"/>
                <w:color w:val="auto"/>
              </w:rPr>
            </w:pPr>
            <w:r>
              <w:rPr>
                <w:rFonts w:ascii="Arial" w:cs="Arial" w:eastAsia="Arial" w:hAnsi="Arial"/>
                <w:sz w:val="19"/>
                <w:szCs w:val="19"/>
                <w:b w:val="1"/>
                <w:bCs w:val="1"/>
                <w:color w:val="auto"/>
              </w:rPr>
              <w:t>PATTI H. ONGMAN</w:t>
            </w:r>
          </w:p>
        </w:tc>
        <w:tc>
          <w:tcPr>
            <w:tcW w:w="2040" w:type="dxa"/>
            <w:vAlign w:val="bottom"/>
            <w:gridSpan w:val="2"/>
            <w:shd w:val="clear" w:color="auto" w:fill="F2F2F2"/>
          </w:tcPr>
          <w:p>
            <w:pPr>
              <w:ind w:left="100"/>
              <w:spacing w:after="0" w:line="169" w:lineRule="exact"/>
              <w:rPr>
                <w:sz w:val="20"/>
                <w:szCs w:val="20"/>
                <w:color w:val="auto"/>
              </w:rPr>
            </w:pPr>
            <w:r>
              <w:rPr>
                <w:rFonts w:ascii="Arial" w:cs="Arial" w:eastAsia="Arial" w:hAnsi="Arial"/>
                <w:sz w:val="16"/>
                <w:szCs w:val="16"/>
                <w:b w:val="1"/>
                <w:bCs w:val="1"/>
                <w:color w:val="auto"/>
              </w:rPr>
              <w:t>Age: 70</w:t>
            </w:r>
          </w:p>
        </w:tc>
        <w:tc>
          <w:tcPr>
            <w:tcW w:w="5140" w:type="dxa"/>
            <w:vAlign w:val="bottom"/>
            <w:shd w:val="clear" w:color="auto" w:fill="F2F2F2"/>
          </w:tcPr>
          <w:p>
            <w:pPr>
              <w:ind w:left="380"/>
              <w:spacing w:after="0" w:line="169" w:lineRule="exact"/>
              <w:rPr>
                <w:sz w:val="20"/>
                <w:szCs w:val="20"/>
                <w:color w:val="auto"/>
              </w:rPr>
            </w:pPr>
            <w:r>
              <w:rPr>
                <w:rFonts w:ascii="Arial" w:cs="Arial" w:eastAsia="Arial" w:hAnsi="Arial"/>
                <w:sz w:val="16"/>
                <w:szCs w:val="16"/>
                <w:color w:val="auto"/>
              </w:rPr>
              <w:t>Patti H. Ongman is an independent retail consultant and serves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720" w:type="dxa"/>
            <w:vAlign w:val="bottom"/>
            <w:shd w:val="clear" w:color="auto" w:fill="DBE5F1"/>
          </w:tcPr>
          <w:p>
            <w:pPr>
              <w:ind w:left="120"/>
              <w:spacing w:after="0" w:line="189" w:lineRule="exact"/>
              <w:rPr>
                <w:sz w:val="20"/>
                <w:szCs w:val="20"/>
                <w:color w:val="auto"/>
              </w:rPr>
            </w:pPr>
            <w:r>
              <w:rPr>
                <w:rFonts w:ascii="Arial" w:cs="Arial" w:eastAsia="Arial" w:hAnsi="Arial"/>
                <w:sz w:val="17"/>
                <w:szCs w:val="17"/>
                <w:color w:val="auto"/>
              </w:rPr>
              <w:t>Independent Retail Consultant</w:t>
            </w:r>
          </w:p>
        </w:tc>
        <w:tc>
          <w:tcPr>
            <w:tcW w:w="320" w:type="dxa"/>
            <w:vAlign w:val="bottom"/>
            <w:shd w:val="clear" w:color="auto" w:fill="F2F2F2"/>
          </w:tcPr>
          <w:p>
            <w:pPr>
              <w:spacing w:after="0"/>
              <w:rPr>
                <w:sz w:val="16"/>
                <w:szCs w:val="16"/>
                <w:color w:val="auto"/>
              </w:rPr>
            </w:pPr>
          </w:p>
        </w:tc>
        <w:tc>
          <w:tcPr>
            <w:tcW w:w="1720" w:type="dxa"/>
            <w:vAlign w:val="bottom"/>
            <w:shd w:val="clear" w:color="auto" w:fill="F2F2F2"/>
          </w:tcPr>
          <w:p>
            <w:pPr>
              <w:spacing w:after="0"/>
              <w:rPr>
                <w:sz w:val="16"/>
                <w:szCs w:val="16"/>
                <w:color w:val="auto"/>
              </w:rPr>
            </w:pPr>
          </w:p>
        </w:tc>
        <w:tc>
          <w:tcPr>
            <w:tcW w:w="5140" w:type="dxa"/>
            <w:vAlign w:val="bottom"/>
            <w:shd w:val="clear" w:color="auto" w:fill="F2F2F2"/>
          </w:tcPr>
          <w:p>
            <w:pPr>
              <w:ind w:left="380"/>
              <w:spacing w:after="0"/>
              <w:rPr>
                <w:sz w:val="20"/>
                <w:szCs w:val="20"/>
                <w:color w:val="auto"/>
              </w:rPr>
            </w:pPr>
            <w:r>
              <w:rPr>
                <w:rFonts w:ascii="Arial" w:cs="Arial" w:eastAsia="Arial" w:hAnsi="Arial"/>
                <w:sz w:val="16"/>
                <w:szCs w:val="16"/>
                <w:color w:val="auto"/>
              </w:rPr>
              <w:t>as an external advisor to a leading international consulting</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20" w:type="dxa"/>
            <w:vAlign w:val="bottom"/>
            <w:shd w:val="clear" w:color="auto" w:fill="DBE5F1"/>
          </w:tcPr>
          <w:p>
            <w:pPr>
              <w:ind w:left="120"/>
              <w:spacing w:after="0" w:line="189" w:lineRule="exact"/>
              <w:rPr>
                <w:sz w:val="20"/>
                <w:szCs w:val="20"/>
                <w:color w:val="auto"/>
              </w:rPr>
            </w:pPr>
            <w:r>
              <w:rPr>
                <w:rFonts w:ascii="Arial" w:cs="Arial" w:eastAsia="Arial" w:hAnsi="Arial"/>
                <w:sz w:val="17"/>
                <w:szCs w:val="17"/>
                <w:color w:val="auto"/>
              </w:rPr>
              <w:t>and Former Chief Merchandising</w:t>
            </w:r>
          </w:p>
        </w:tc>
        <w:tc>
          <w:tcPr>
            <w:tcW w:w="2040" w:type="dxa"/>
            <w:vAlign w:val="bottom"/>
            <w:gridSpan w:val="2"/>
            <w:shd w:val="clear" w:color="auto" w:fill="F2F2F2"/>
          </w:tcPr>
          <w:p>
            <w:pPr>
              <w:ind w:left="100"/>
              <w:spacing w:after="0"/>
              <w:rPr>
                <w:sz w:val="20"/>
                <w:szCs w:val="20"/>
                <w:color w:val="auto"/>
              </w:rPr>
            </w:pPr>
            <w:r>
              <w:rPr>
                <w:rFonts w:ascii="Arial" w:cs="Arial" w:eastAsia="Arial" w:hAnsi="Arial"/>
                <w:sz w:val="16"/>
                <w:szCs w:val="16"/>
                <w:b w:val="1"/>
                <w:bCs w:val="1"/>
                <w:color w:val="auto"/>
              </w:rPr>
              <w:t>Director since: 2022</w:t>
            </w:r>
          </w:p>
        </w:tc>
        <w:tc>
          <w:tcPr>
            <w:tcW w:w="5140" w:type="dxa"/>
            <w:vAlign w:val="bottom"/>
            <w:shd w:val="clear" w:color="auto" w:fill="F2F2F2"/>
          </w:tcPr>
          <w:p>
            <w:pPr>
              <w:ind w:left="380"/>
              <w:spacing w:after="0"/>
              <w:rPr>
                <w:sz w:val="20"/>
                <w:szCs w:val="20"/>
                <w:color w:val="auto"/>
              </w:rPr>
            </w:pPr>
            <w:r>
              <w:rPr>
                <w:rFonts w:ascii="Arial" w:cs="Arial" w:eastAsia="Arial" w:hAnsi="Arial"/>
                <w:sz w:val="16"/>
                <w:szCs w:val="16"/>
                <w:color w:val="auto"/>
              </w:rPr>
              <w:t>company. Patti H. Ongman served in various capacities with</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20" w:type="dxa"/>
            <w:vAlign w:val="bottom"/>
            <w:shd w:val="clear" w:color="auto" w:fill="DBE5F1"/>
          </w:tcPr>
          <w:p>
            <w:pPr>
              <w:ind w:left="120"/>
              <w:spacing w:after="0" w:line="189" w:lineRule="exact"/>
              <w:rPr>
                <w:sz w:val="20"/>
                <w:szCs w:val="20"/>
                <w:color w:val="auto"/>
              </w:rPr>
            </w:pPr>
            <w:r>
              <w:rPr>
                <w:rFonts w:ascii="Arial" w:cs="Arial" w:eastAsia="Arial" w:hAnsi="Arial"/>
                <w:sz w:val="17"/>
                <w:szCs w:val="17"/>
                <w:color w:val="auto"/>
              </w:rPr>
              <w:t>Officer - Macy’s</w:t>
            </w:r>
          </w:p>
        </w:tc>
        <w:tc>
          <w:tcPr>
            <w:tcW w:w="2040" w:type="dxa"/>
            <w:vAlign w:val="bottom"/>
            <w:gridSpan w:val="2"/>
            <w:vMerge w:val="restart"/>
            <w:shd w:val="clear" w:color="auto" w:fill="F2F2F2"/>
          </w:tcPr>
          <w:p>
            <w:pPr>
              <w:ind w:left="100"/>
              <w:spacing w:after="0"/>
              <w:rPr>
                <w:sz w:val="20"/>
                <w:szCs w:val="20"/>
                <w:color w:val="auto"/>
              </w:rPr>
            </w:pPr>
            <w:r>
              <w:rPr>
                <w:rFonts w:ascii="Arial" w:cs="Arial" w:eastAsia="Arial" w:hAnsi="Arial"/>
                <w:sz w:val="16"/>
                <w:szCs w:val="16"/>
                <w:b w:val="1"/>
                <w:bCs w:val="1"/>
                <w:color w:val="auto"/>
              </w:rPr>
              <w:t>Committees:</w:t>
            </w:r>
          </w:p>
        </w:tc>
        <w:tc>
          <w:tcPr>
            <w:tcW w:w="5140" w:type="dxa"/>
            <w:vAlign w:val="bottom"/>
            <w:shd w:val="clear" w:color="auto" w:fill="F2F2F2"/>
          </w:tcPr>
          <w:p>
            <w:pPr>
              <w:ind w:left="380"/>
              <w:spacing w:after="0"/>
              <w:rPr>
                <w:sz w:val="20"/>
                <w:szCs w:val="20"/>
                <w:color w:val="auto"/>
              </w:rPr>
            </w:pPr>
            <w:r>
              <w:rPr>
                <w:rFonts w:ascii="Arial" w:cs="Arial" w:eastAsia="Arial" w:hAnsi="Arial"/>
                <w:sz w:val="16"/>
                <w:szCs w:val="16"/>
                <w:color w:val="auto"/>
              </w:rPr>
              <w:t>Macy’s  Inc.  from  1979  until  her  retirement  from  Macy’s  in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720" w:type="dxa"/>
            <w:vAlign w:val="bottom"/>
            <w:shd w:val="clear" w:color="auto" w:fill="DBE5F1"/>
          </w:tcPr>
          <w:p>
            <w:pPr>
              <w:spacing w:after="0"/>
              <w:rPr>
                <w:sz w:val="15"/>
                <w:szCs w:val="15"/>
                <w:color w:val="auto"/>
              </w:rPr>
            </w:pPr>
          </w:p>
        </w:tc>
        <w:tc>
          <w:tcPr>
            <w:tcW w:w="2040" w:type="dxa"/>
            <w:vAlign w:val="bottom"/>
            <w:gridSpan w:val="2"/>
            <w:vMerge w:val="continue"/>
            <w:shd w:val="clear" w:color="auto" w:fill="F2F2F2"/>
          </w:tcPr>
          <w:p>
            <w:pPr>
              <w:spacing w:after="0"/>
              <w:rPr>
                <w:sz w:val="15"/>
                <w:szCs w:val="15"/>
                <w:color w:val="auto"/>
              </w:rPr>
            </w:pPr>
          </w:p>
        </w:tc>
        <w:tc>
          <w:tcPr>
            <w:tcW w:w="5140" w:type="dxa"/>
            <w:vAlign w:val="bottom"/>
            <w:shd w:val="clear" w:color="auto" w:fill="F2F2F2"/>
          </w:tcPr>
          <w:p>
            <w:pPr>
              <w:ind w:left="380"/>
              <w:spacing w:after="0" w:line="175" w:lineRule="exact"/>
              <w:rPr>
                <w:sz w:val="20"/>
                <w:szCs w:val="20"/>
                <w:color w:val="auto"/>
              </w:rPr>
            </w:pPr>
            <w:r>
              <w:rPr>
                <w:rFonts w:ascii="Arial" w:cs="Arial" w:eastAsia="Arial" w:hAnsi="Arial"/>
                <w:sz w:val="16"/>
                <w:szCs w:val="16"/>
                <w:color w:val="auto"/>
              </w:rPr>
              <w:t>February   2021.   Most   recently   she   served   as   Chief</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720" w:type="dxa"/>
            <w:vAlign w:val="bottom"/>
            <w:shd w:val="clear" w:color="auto" w:fill="DBE5F1"/>
          </w:tcPr>
          <w:p>
            <w:pPr>
              <w:ind w:left="400"/>
              <w:spacing w:after="0"/>
              <w:rPr>
                <w:sz w:val="20"/>
                <w:szCs w:val="20"/>
                <w:color w:val="auto"/>
              </w:rPr>
            </w:pPr>
            <w:r>
              <w:rPr>
                <w:rFonts w:ascii="Arial" w:cs="Arial" w:eastAsia="Arial" w:hAnsi="Arial"/>
                <w:sz w:val="16"/>
                <w:szCs w:val="16"/>
                <w:color w:val="auto"/>
              </w:rPr>
              <w:t>Independent</w:t>
            </w:r>
          </w:p>
        </w:tc>
        <w:tc>
          <w:tcPr>
            <w:tcW w:w="320" w:type="dxa"/>
            <w:vAlign w:val="bottom"/>
            <w:shd w:val="clear" w:color="auto" w:fill="F2F2F2"/>
          </w:tcPr>
          <w:p>
            <w:pPr>
              <w:ind w:left="160"/>
              <w:spacing w:after="0" w:line="218" w:lineRule="exact"/>
              <w:rPr>
                <w:sz w:val="20"/>
                <w:szCs w:val="20"/>
                <w:color w:val="auto"/>
              </w:rPr>
            </w:pPr>
            <w:r>
              <w:rPr>
                <w:rFonts w:ascii="Arial" w:cs="Arial" w:eastAsia="Arial" w:hAnsi="Arial"/>
                <w:sz w:val="22"/>
                <w:szCs w:val="22"/>
                <w:b w:val="1"/>
                <w:bCs w:val="1"/>
                <w:color w:val="4A7EBB"/>
              </w:rPr>
              <w:t>•</w:t>
            </w:r>
          </w:p>
        </w:tc>
        <w:tc>
          <w:tcPr>
            <w:tcW w:w="1720" w:type="dxa"/>
            <w:vAlign w:val="bottom"/>
            <w:shd w:val="clear" w:color="auto" w:fill="F2F2F2"/>
          </w:tcPr>
          <w:p>
            <w:pPr>
              <w:ind w:left="80"/>
              <w:spacing w:after="0"/>
              <w:rPr>
                <w:sz w:val="20"/>
                <w:szCs w:val="20"/>
                <w:color w:val="auto"/>
              </w:rPr>
            </w:pPr>
            <w:r>
              <w:rPr>
                <w:rFonts w:ascii="Arial" w:cs="Arial" w:eastAsia="Arial" w:hAnsi="Arial"/>
                <w:sz w:val="16"/>
                <w:szCs w:val="16"/>
                <w:color w:val="auto"/>
              </w:rPr>
              <w:t>Compensation</w:t>
            </w:r>
          </w:p>
        </w:tc>
        <w:tc>
          <w:tcPr>
            <w:tcW w:w="5140" w:type="dxa"/>
            <w:vAlign w:val="bottom"/>
            <w:shd w:val="clear" w:color="auto" w:fill="F2F2F2"/>
          </w:tcPr>
          <w:p>
            <w:pPr>
              <w:ind w:left="380"/>
              <w:spacing w:after="0"/>
              <w:rPr>
                <w:sz w:val="20"/>
                <w:szCs w:val="20"/>
                <w:color w:val="auto"/>
              </w:rPr>
            </w:pPr>
            <w:r>
              <w:rPr>
                <w:rFonts w:ascii="Arial" w:cs="Arial" w:eastAsia="Arial" w:hAnsi="Arial"/>
                <w:sz w:val="16"/>
                <w:szCs w:val="16"/>
                <w:color w:val="auto"/>
              </w:rPr>
              <w:t>Merchandising Officer for Macy’s from January 2019 to February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720" w:type="dxa"/>
            <w:vAlign w:val="bottom"/>
            <w:shd w:val="clear" w:color="auto" w:fill="DBE5F1"/>
          </w:tcPr>
          <w:p>
            <w:pPr>
              <w:spacing w:after="0"/>
              <w:rPr>
                <w:sz w:val="15"/>
                <w:szCs w:val="15"/>
                <w:color w:val="auto"/>
              </w:rPr>
            </w:pPr>
          </w:p>
        </w:tc>
        <w:tc>
          <w:tcPr>
            <w:tcW w:w="320" w:type="dxa"/>
            <w:vAlign w:val="bottom"/>
            <w:shd w:val="clear" w:color="auto" w:fill="F2F2F2"/>
          </w:tcPr>
          <w:p>
            <w:pPr>
              <w:spacing w:after="0"/>
              <w:rPr>
                <w:sz w:val="15"/>
                <w:szCs w:val="15"/>
                <w:color w:val="auto"/>
              </w:rPr>
            </w:pPr>
          </w:p>
        </w:tc>
        <w:tc>
          <w:tcPr>
            <w:tcW w:w="1720" w:type="dxa"/>
            <w:vAlign w:val="bottom"/>
            <w:shd w:val="clear" w:color="auto" w:fill="F2F2F2"/>
          </w:tcPr>
          <w:p>
            <w:pPr>
              <w:spacing w:after="0"/>
              <w:rPr>
                <w:sz w:val="15"/>
                <w:szCs w:val="15"/>
                <w:color w:val="auto"/>
              </w:rPr>
            </w:pPr>
          </w:p>
        </w:tc>
        <w:tc>
          <w:tcPr>
            <w:tcW w:w="5140" w:type="dxa"/>
            <w:vAlign w:val="bottom"/>
            <w:shd w:val="clear" w:color="auto" w:fill="F2F2F2"/>
          </w:tcPr>
          <w:p>
            <w:pPr>
              <w:ind w:left="380"/>
              <w:spacing w:after="0" w:line="175" w:lineRule="exact"/>
              <w:rPr>
                <w:sz w:val="20"/>
                <w:szCs w:val="20"/>
                <w:color w:val="auto"/>
              </w:rPr>
            </w:pPr>
            <w:r>
              <w:rPr>
                <w:rFonts w:ascii="Arial" w:cs="Arial" w:eastAsia="Arial" w:hAnsi="Arial"/>
                <w:sz w:val="16"/>
                <w:szCs w:val="16"/>
                <w:color w:val="auto"/>
              </w:rPr>
              <w:t>2021 where she led Macy’s merchandising strategy including</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720" w:type="dxa"/>
            <w:vAlign w:val="bottom"/>
            <w:shd w:val="clear" w:color="auto" w:fill="DBE5F1"/>
          </w:tcPr>
          <w:p>
            <w:pPr>
              <w:spacing w:after="0"/>
              <w:rPr>
                <w:sz w:val="16"/>
                <w:szCs w:val="16"/>
                <w:color w:val="auto"/>
              </w:rPr>
            </w:pPr>
          </w:p>
        </w:tc>
        <w:tc>
          <w:tcPr>
            <w:tcW w:w="320" w:type="dxa"/>
            <w:vAlign w:val="bottom"/>
            <w:shd w:val="clear" w:color="auto" w:fill="F2F2F2"/>
          </w:tcPr>
          <w:p>
            <w:pPr>
              <w:spacing w:after="0"/>
              <w:rPr>
                <w:sz w:val="16"/>
                <w:szCs w:val="16"/>
                <w:color w:val="auto"/>
              </w:rPr>
            </w:pPr>
          </w:p>
        </w:tc>
        <w:tc>
          <w:tcPr>
            <w:tcW w:w="1720" w:type="dxa"/>
            <w:vAlign w:val="bottom"/>
            <w:shd w:val="clear" w:color="auto" w:fill="F2F2F2"/>
          </w:tcPr>
          <w:p>
            <w:pPr>
              <w:spacing w:after="0"/>
              <w:rPr>
                <w:sz w:val="16"/>
                <w:szCs w:val="16"/>
                <w:color w:val="auto"/>
              </w:rPr>
            </w:pPr>
          </w:p>
        </w:tc>
        <w:tc>
          <w:tcPr>
            <w:tcW w:w="5140" w:type="dxa"/>
            <w:vAlign w:val="bottom"/>
            <w:shd w:val="clear" w:color="auto" w:fill="F2F2F2"/>
          </w:tcPr>
          <w:p>
            <w:pPr>
              <w:ind w:left="380"/>
              <w:spacing w:after="0"/>
              <w:rPr>
                <w:sz w:val="20"/>
                <w:szCs w:val="20"/>
                <w:color w:val="auto"/>
              </w:rPr>
            </w:pPr>
            <w:r>
              <w:rPr>
                <w:rFonts w:ascii="Arial" w:cs="Arial" w:eastAsia="Arial" w:hAnsi="Arial"/>
                <w:sz w:val="16"/>
                <w:szCs w:val="16"/>
                <w:color w:val="auto"/>
              </w:rPr>
              <w:t>merchandise planning, financial planning, product development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20" w:type="dxa"/>
            <w:vAlign w:val="bottom"/>
            <w:shd w:val="clear" w:color="auto" w:fill="DBE5F1"/>
          </w:tcPr>
          <w:p>
            <w:pPr>
              <w:spacing w:after="0"/>
              <w:rPr>
                <w:sz w:val="16"/>
                <w:szCs w:val="16"/>
                <w:color w:val="auto"/>
              </w:rPr>
            </w:pPr>
          </w:p>
        </w:tc>
        <w:tc>
          <w:tcPr>
            <w:tcW w:w="320" w:type="dxa"/>
            <w:vAlign w:val="bottom"/>
            <w:shd w:val="clear" w:color="auto" w:fill="F2F2F2"/>
          </w:tcPr>
          <w:p>
            <w:pPr>
              <w:spacing w:after="0"/>
              <w:rPr>
                <w:sz w:val="16"/>
                <w:szCs w:val="16"/>
                <w:color w:val="auto"/>
              </w:rPr>
            </w:pPr>
          </w:p>
        </w:tc>
        <w:tc>
          <w:tcPr>
            <w:tcW w:w="1720" w:type="dxa"/>
            <w:vAlign w:val="bottom"/>
            <w:shd w:val="clear" w:color="auto" w:fill="F2F2F2"/>
          </w:tcPr>
          <w:p>
            <w:pPr>
              <w:spacing w:after="0"/>
              <w:rPr>
                <w:sz w:val="16"/>
                <w:szCs w:val="16"/>
                <w:color w:val="auto"/>
              </w:rPr>
            </w:pPr>
          </w:p>
        </w:tc>
        <w:tc>
          <w:tcPr>
            <w:tcW w:w="5140" w:type="dxa"/>
            <w:vAlign w:val="bottom"/>
            <w:shd w:val="clear" w:color="auto" w:fill="F2F2F2"/>
          </w:tcPr>
          <w:p>
            <w:pPr>
              <w:ind w:left="380"/>
              <w:spacing w:after="0"/>
              <w:rPr>
                <w:sz w:val="20"/>
                <w:szCs w:val="20"/>
                <w:color w:val="auto"/>
              </w:rPr>
            </w:pPr>
            <w:r>
              <w:rPr>
                <w:rFonts w:ascii="Arial" w:cs="Arial" w:eastAsia="Arial" w:hAnsi="Arial"/>
                <w:sz w:val="16"/>
                <w:szCs w:val="16"/>
                <w:color w:val="auto"/>
              </w:rPr>
              <w:t>and pricing. She was also involved in the combination of retail</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20" w:type="dxa"/>
            <w:vAlign w:val="bottom"/>
            <w:shd w:val="clear" w:color="auto" w:fill="DBE5F1"/>
          </w:tcPr>
          <w:p>
            <w:pPr>
              <w:spacing w:after="0"/>
              <w:rPr>
                <w:sz w:val="16"/>
                <w:szCs w:val="16"/>
                <w:color w:val="auto"/>
              </w:rPr>
            </w:pPr>
          </w:p>
        </w:tc>
        <w:tc>
          <w:tcPr>
            <w:tcW w:w="320" w:type="dxa"/>
            <w:vAlign w:val="bottom"/>
            <w:shd w:val="clear" w:color="auto" w:fill="F2F2F2"/>
          </w:tcPr>
          <w:p>
            <w:pPr>
              <w:spacing w:after="0"/>
              <w:rPr>
                <w:sz w:val="16"/>
                <w:szCs w:val="16"/>
                <w:color w:val="auto"/>
              </w:rPr>
            </w:pPr>
          </w:p>
        </w:tc>
        <w:tc>
          <w:tcPr>
            <w:tcW w:w="1720" w:type="dxa"/>
            <w:vAlign w:val="bottom"/>
            <w:shd w:val="clear" w:color="auto" w:fill="F2F2F2"/>
          </w:tcPr>
          <w:p>
            <w:pPr>
              <w:spacing w:after="0"/>
              <w:rPr>
                <w:sz w:val="16"/>
                <w:szCs w:val="16"/>
                <w:color w:val="auto"/>
              </w:rPr>
            </w:pPr>
          </w:p>
        </w:tc>
        <w:tc>
          <w:tcPr>
            <w:tcW w:w="5140" w:type="dxa"/>
            <w:vAlign w:val="bottom"/>
            <w:shd w:val="clear" w:color="auto" w:fill="F2F2F2"/>
          </w:tcPr>
          <w:p>
            <w:pPr>
              <w:ind w:left="380"/>
              <w:spacing w:after="0"/>
              <w:rPr>
                <w:sz w:val="20"/>
                <w:szCs w:val="20"/>
                <w:color w:val="auto"/>
              </w:rPr>
            </w:pPr>
            <w:r>
              <w:rPr>
                <w:rFonts w:ascii="Arial" w:cs="Arial" w:eastAsia="Arial" w:hAnsi="Arial"/>
                <w:sz w:val="16"/>
                <w:szCs w:val="16"/>
                <w:color w:val="auto"/>
              </w:rPr>
              <w:t>stores with the digital business at Macy’s. Prior to that, she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20" w:type="dxa"/>
            <w:vAlign w:val="bottom"/>
            <w:shd w:val="clear" w:color="auto" w:fill="DBE5F1"/>
          </w:tcPr>
          <w:p>
            <w:pPr>
              <w:spacing w:after="0"/>
              <w:rPr>
                <w:sz w:val="16"/>
                <w:szCs w:val="16"/>
                <w:color w:val="auto"/>
              </w:rPr>
            </w:pPr>
          </w:p>
        </w:tc>
        <w:tc>
          <w:tcPr>
            <w:tcW w:w="320" w:type="dxa"/>
            <w:vAlign w:val="bottom"/>
            <w:shd w:val="clear" w:color="auto" w:fill="F2F2F2"/>
          </w:tcPr>
          <w:p>
            <w:pPr>
              <w:spacing w:after="0"/>
              <w:rPr>
                <w:sz w:val="16"/>
                <w:szCs w:val="16"/>
                <w:color w:val="auto"/>
              </w:rPr>
            </w:pPr>
          </w:p>
        </w:tc>
        <w:tc>
          <w:tcPr>
            <w:tcW w:w="1720" w:type="dxa"/>
            <w:vAlign w:val="bottom"/>
            <w:shd w:val="clear" w:color="auto" w:fill="F2F2F2"/>
          </w:tcPr>
          <w:p>
            <w:pPr>
              <w:spacing w:after="0"/>
              <w:rPr>
                <w:sz w:val="16"/>
                <w:szCs w:val="16"/>
                <w:color w:val="auto"/>
              </w:rPr>
            </w:pPr>
          </w:p>
        </w:tc>
        <w:tc>
          <w:tcPr>
            <w:tcW w:w="5140" w:type="dxa"/>
            <w:vAlign w:val="bottom"/>
            <w:shd w:val="clear" w:color="auto" w:fill="F2F2F2"/>
          </w:tcPr>
          <w:p>
            <w:pPr>
              <w:ind w:left="380"/>
              <w:spacing w:after="0"/>
              <w:rPr>
                <w:sz w:val="20"/>
                <w:szCs w:val="20"/>
                <w:color w:val="auto"/>
              </w:rPr>
            </w:pPr>
            <w:r>
              <w:rPr>
                <w:rFonts w:ascii="Arial" w:cs="Arial" w:eastAsia="Arial" w:hAnsi="Arial"/>
                <w:sz w:val="16"/>
                <w:szCs w:val="16"/>
                <w:color w:val="auto"/>
              </w:rPr>
              <w:t>served in several leadership roles within Macy’s including Chief</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20" w:type="dxa"/>
            <w:vAlign w:val="bottom"/>
            <w:shd w:val="clear" w:color="auto" w:fill="DBE5F1"/>
          </w:tcPr>
          <w:p>
            <w:pPr>
              <w:spacing w:after="0"/>
              <w:rPr>
                <w:sz w:val="16"/>
                <w:szCs w:val="16"/>
                <w:color w:val="auto"/>
              </w:rPr>
            </w:pPr>
          </w:p>
        </w:tc>
        <w:tc>
          <w:tcPr>
            <w:tcW w:w="320" w:type="dxa"/>
            <w:vAlign w:val="bottom"/>
            <w:shd w:val="clear" w:color="auto" w:fill="F2F2F2"/>
          </w:tcPr>
          <w:p>
            <w:pPr>
              <w:spacing w:after="0"/>
              <w:rPr>
                <w:sz w:val="16"/>
                <w:szCs w:val="16"/>
                <w:color w:val="auto"/>
              </w:rPr>
            </w:pPr>
          </w:p>
        </w:tc>
        <w:tc>
          <w:tcPr>
            <w:tcW w:w="1720" w:type="dxa"/>
            <w:vAlign w:val="bottom"/>
            <w:shd w:val="clear" w:color="auto" w:fill="F2F2F2"/>
          </w:tcPr>
          <w:p>
            <w:pPr>
              <w:spacing w:after="0"/>
              <w:rPr>
                <w:sz w:val="16"/>
                <w:szCs w:val="16"/>
                <w:color w:val="auto"/>
              </w:rPr>
            </w:pPr>
          </w:p>
        </w:tc>
        <w:tc>
          <w:tcPr>
            <w:tcW w:w="5140" w:type="dxa"/>
            <w:vAlign w:val="bottom"/>
            <w:shd w:val="clear" w:color="auto" w:fill="F2F2F2"/>
          </w:tcPr>
          <w:p>
            <w:pPr>
              <w:ind w:left="380"/>
              <w:spacing w:after="0"/>
              <w:rPr>
                <w:sz w:val="20"/>
                <w:szCs w:val="20"/>
                <w:color w:val="auto"/>
              </w:rPr>
            </w:pPr>
            <w:r>
              <w:rPr>
                <w:rFonts w:ascii="Arial" w:cs="Arial" w:eastAsia="Arial" w:hAnsi="Arial"/>
                <w:sz w:val="16"/>
                <w:szCs w:val="16"/>
                <w:color w:val="auto"/>
              </w:rPr>
              <w:t>Planning Officer, Executive Vice President of Omni Channel</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20" w:type="dxa"/>
            <w:vAlign w:val="bottom"/>
            <w:shd w:val="clear" w:color="auto" w:fill="DBE5F1"/>
          </w:tcPr>
          <w:p>
            <w:pPr>
              <w:spacing w:after="0"/>
              <w:rPr>
                <w:sz w:val="16"/>
                <w:szCs w:val="16"/>
                <w:color w:val="auto"/>
              </w:rPr>
            </w:pPr>
          </w:p>
        </w:tc>
        <w:tc>
          <w:tcPr>
            <w:tcW w:w="320" w:type="dxa"/>
            <w:vAlign w:val="bottom"/>
            <w:shd w:val="clear" w:color="auto" w:fill="F2F2F2"/>
          </w:tcPr>
          <w:p>
            <w:pPr>
              <w:spacing w:after="0"/>
              <w:rPr>
                <w:sz w:val="16"/>
                <w:szCs w:val="16"/>
                <w:color w:val="auto"/>
              </w:rPr>
            </w:pPr>
          </w:p>
        </w:tc>
        <w:tc>
          <w:tcPr>
            <w:tcW w:w="1720" w:type="dxa"/>
            <w:vAlign w:val="bottom"/>
            <w:shd w:val="clear" w:color="auto" w:fill="F2F2F2"/>
          </w:tcPr>
          <w:p>
            <w:pPr>
              <w:spacing w:after="0"/>
              <w:rPr>
                <w:sz w:val="16"/>
                <w:szCs w:val="16"/>
                <w:color w:val="auto"/>
              </w:rPr>
            </w:pPr>
          </w:p>
        </w:tc>
        <w:tc>
          <w:tcPr>
            <w:tcW w:w="5140" w:type="dxa"/>
            <w:vAlign w:val="bottom"/>
            <w:shd w:val="clear" w:color="auto" w:fill="F2F2F2"/>
          </w:tcPr>
          <w:p>
            <w:pPr>
              <w:ind w:left="380"/>
              <w:spacing w:after="0"/>
              <w:rPr>
                <w:sz w:val="20"/>
                <w:szCs w:val="20"/>
                <w:color w:val="auto"/>
              </w:rPr>
            </w:pPr>
            <w:r>
              <w:rPr>
                <w:rFonts w:ascii="Arial" w:cs="Arial" w:eastAsia="Arial" w:hAnsi="Arial"/>
                <w:sz w:val="16"/>
                <w:szCs w:val="16"/>
                <w:color w:val="auto"/>
              </w:rPr>
              <w:t>Strategy,  Regional  Director  of  Stores,  and  various  other</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720" w:type="dxa"/>
            <w:vAlign w:val="bottom"/>
            <w:shd w:val="clear" w:color="auto" w:fill="DBE5F1"/>
          </w:tcPr>
          <w:p>
            <w:pPr>
              <w:spacing w:after="0"/>
              <w:rPr>
                <w:sz w:val="18"/>
                <w:szCs w:val="18"/>
                <w:color w:val="auto"/>
              </w:rPr>
            </w:pPr>
          </w:p>
        </w:tc>
        <w:tc>
          <w:tcPr>
            <w:tcW w:w="320" w:type="dxa"/>
            <w:vAlign w:val="bottom"/>
            <w:shd w:val="clear" w:color="auto" w:fill="F2F2F2"/>
          </w:tcPr>
          <w:p>
            <w:pPr>
              <w:spacing w:after="0"/>
              <w:rPr>
                <w:sz w:val="18"/>
                <w:szCs w:val="18"/>
                <w:color w:val="auto"/>
              </w:rPr>
            </w:pPr>
          </w:p>
        </w:tc>
        <w:tc>
          <w:tcPr>
            <w:tcW w:w="1720" w:type="dxa"/>
            <w:vAlign w:val="bottom"/>
            <w:shd w:val="clear" w:color="auto" w:fill="F2F2F2"/>
          </w:tcPr>
          <w:p>
            <w:pPr>
              <w:spacing w:after="0"/>
              <w:rPr>
                <w:sz w:val="18"/>
                <w:szCs w:val="18"/>
                <w:color w:val="auto"/>
              </w:rPr>
            </w:pPr>
          </w:p>
        </w:tc>
        <w:tc>
          <w:tcPr>
            <w:tcW w:w="5140" w:type="dxa"/>
            <w:vAlign w:val="bottom"/>
            <w:shd w:val="clear" w:color="auto" w:fill="F2F2F2"/>
          </w:tcPr>
          <w:p>
            <w:pPr>
              <w:ind w:left="380"/>
              <w:spacing w:after="0"/>
              <w:rPr>
                <w:sz w:val="20"/>
                <w:szCs w:val="20"/>
                <w:color w:val="auto"/>
              </w:rPr>
            </w:pPr>
            <w:r>
              <w:rPr>
                <w:rFonts w:ascii="Arial" w:cs="Arial" w:eastAsia="Arial" w:hAnsi="Arial"/>
                <w:sz w:val="16"/>
                <w:szCs w:val="16"/>
                <w:color w:val="auto"/>
              </w:rPr>
              <w:t>merchandising roles.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2"/>
        </w:trPr>
        <w:tc>
          <w:tcPr>
            <w:tcW w:w="2720" w:type="dxa"/>
            <w:vAlign w:val="bottom"/>
            <w:shd w:val="clear" w:color="auto" w:fill="DBE5F1"/>
          </w:tcPr>
          <w:p>
            <w:pPr>
              <w:spacing w:after="0"/>
              <w:rPr>
                <w:sz w:val="24"/>
                <w:szCs w:val="24"/>
                <w:color w:val="auto"/>
              </w:rPr>
            </w:pPr>
          </w:p>
        </w:tc>
        <w:tc>
          <w:tcPr>
            <w:tcW w:w="320" w:type="dxa"/>
            <w:vAlign w:val="bottom"/>
            <w:shd w:val="clear" w:color="auto" w:fill="F2F2F2"/>
          </w:tcPr>
          <w:p>
            <w:pPr>
              <w:spacing w:after="0"/>
              <w:rPr>
                <w:sz w:val="24"/>
                <w:szCs w:val="24"/>
                <w:color w:val="auto"/>
              </w:rPr>
            </w:pPr>
          </w:p>
        </w:tc>
        <w:tc>
          <w:tcPr>
            <w:tcW w:w="1720" w:type="dxa"/>
            <w:vAlign w:val="bottom"/>
            <w:shd w:val="clear" w:color="auto" w:fill="F2F2F2"/>
          </w:tcPr>
          <w:p>
            <w:pPr>
              <w:spacing w:after="0"/>
              <w:rPr>
                <w:sz w:val="24"/>
                <w:szCs w:val="24"/>
                <w:color w:val="auto"/>
              </w:rPr>
            </w:pPr>
          </w:p>
        </w:tc>
        <w:tc>
          <w:tcPr>
            <w:tcW w:w="5140" w:type="dxa"/>
            <w:vAlign w:val="bottom"/>
            <w:shd w:val="clear" w:color="auto" w:fill="F2F2F2"/>
          </w:tcPr>
          <w:p>
            <w:pPr>
              <w:ind w:left="380"/>
              <w:spacing w:after="0"/>
              <w:rPr>
                <w:sz w:val="20"/>
                <w:szCs w:val="20"/>
                <w:color w:val="auto"/>
              </w:rPr>
            </w:pPr>
            <w:r>
              <w:rPr>
                <w:rFonts w:ascii="Arial" w:cs="Arial" w:eastAsia="Arial" w:hAnsi="Arial"/>
                <w:sz w:val="16"/>
                <w:szCs w:val="16"/>
                <w:color w:val="auto"/>
              </w:rPr>
              <w:t>She is a director of New Yorkers for Children (NYFC), where she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720" w:type="dxa"/>
            <w:vAlign w:val="bottom"/>
            <w:shd w:val="clear" w:color="auto" w:fill="DBE5F1"/>
          </w:tcPr>
          <w:p>
            <w:pPr>
              <w:spacing w:after="0"/>
              <w:rPr>
                <w:sz w:val="16"/>
                <w:szCs w:val="16"/>
                <w:color w:val="auto"/>
              </w:rPr>
            </w:pPr>
          </w:p>
        </w:tc>
        <w:tc>
          <w:tcPr>
            <w:tcW w:w="320" w:type="dxa"/>
            <w:vAlign w:val="bottom"/>
            <w:shd w:val="clear" w:color="auto" w:fill="F2F2F2"/>
          </w:tcPr>
          <w:p>
            <w:pPr>
              <w:spacing w:after="0"/>
              <w:rPr>
                <w:sz w:val="16"/>
                <w:szCs w:val="16"/>
                <w:color w:val="auto"/>
              </w:rPr>
            </w:pPr>
          </w:p>
        </w:tc>
        <w:tc>
          <w:tcPr>
            <w:tcW w:w="1720" w:type="dxa"/>
            <w:vAlign w:val="bottom"/>
            <w:shd w:val="clear" w:color="auto" w:fill="F2F2F2"/>
          </w:tcPr>
          <w:p>
            <w:pPr>
              <w:spacing w:after="0"/>
              <w:rPr>
                <w:sz w:val="16"/>
                <w:szCs w:val="16"/>
                <w:color w:val="auto"/>
              </w:rPr>
            </w:pPr>
          </w:p>
        </w:tc>
        <w:tc>
          <w:tcPr>
            <w:tcW w:w="5140" w:type="dxa"/>
            <w:vAlign w:val="bottom"/>
            <w:shd w:val="clear" w:color="auto" w:fill="F2F2F2"/>
          </w:tcPr>
          <w:p>
            <w:pPr>
              <w:ind w:left="380"/>
              <w:spacing w:after="0"/>
              <w:rPr>
                <w:sz w:val="20"/>
                <w:szCs w:val="20"/>
                <w:color w:val="auto"/>
              </w:rPr>
            </w:pPr>
            <w:r>
              <w:rPr>
                <w:rFonts w:ascii="Arial" w:cs="Arial" w:eastAsia="Arial" w:hAnsi="Arial"/>
                <w:sz w:val="16"/>
                <w:szCs w:val="16"/>
                <w:color w:val="auto"/>
              </w:rPr>
              <w:t>serves on the Audit Committee. NYFC ensures and protects the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20" w:type="dxa"/>
            <w:vAlign w:val="bottom"/>
            <w:shd w:val="clear" w:color="auto" w:fill="DBE5F1"/>
          </w:tcPr>
          <w:p>
            <w:pPr>
              <w:spacing w:after="0"/>
              <w:rPr>
                <w:sz w:val="16"/>
                <w:szCs w:val="16"/>
                <w:color w:val="auto"/>
              </w:rPr>
            </w:pPr>
          </w:p>
        </w:tc>
        <w:tc>
          <w:tcPr>
            <w:tcW w:w="320" w:type="dxa"/>
            <w:vAlign w:val="bottom"/>
            <w:shd w:val="clear" w:color="auto" w:fill="F2F2F2"/>
          </w:tcPr>
          <w:p>
            <w:pPr>
              <w:spacing w:after="0"/>
              <w:rPr>
                <w:sz w:val="16"/>
                <w:szCs w:val="16"/>
                <w:color w:val="auto"/>
              </w:rPr>
            </w:pPr>
          </w:p>
        </w:tc>
        <w:tc>
          <w:tcPr>
            <w:tcW w:w="1720" w:type="dxa"/>
            <w:vAlign w:val="bottom"/>
            <w:shd w:val="clear" w:color="auto" w:fill="F2F2F2"/>
          </w:tcPr>
          <w:p>
            <w:pPr>
              <w:spacing w:after="0"/>
              <w:rPr>
                <w:sz w:val="16"/>
                <w:szCs w:val="16"/>
                <w:color w:val="auto"/>
              </w:rPr>
            </w:pPr>
          </w:p>
        </w:tc>
        <w:tc>
          <w:tcPr>
            <w:tcW w:w="5140" w:type="dxa"/>
            <w:vAlign w:val="bottom"/>
            <w:shd w:val="clear" w:color="auto" w:fill="F2F2F2"/>
          </w:tcPr>
          <w:p>
            <w:pPr>
              <w:ind w:left="380"/>
              <w:spacing w:after="0"/>
              <w:rPr>
                <w:sz w:val="20"/>
                <w:szCs w:val="20"/>
                <w:color w:val="auto"/>
              </w:rPr>
            </w:pPr>
            <w:r>
              <w:rPr>
                <w:rFonts w:ascii="Arial" w:cs="Arial" w:eastAsia="Arial" w:hAnsi="Arial"/>
                <w:sz w:val="16"/>
                <w:szCs w:val="16"/>
                <w:color w:val="auto"/>
              </w:rPr>
              <w:t>safety and well-being of NYC’s children, with a focus on youth</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720" w:type="dxa"/>
            <w:vAlign w:val="bottom"/>
            <w:shd w:val="clear" w:color="auto" w:fill="DBE5F1"/>
          </w:tcPr>
          <w:p>
            <w:pPr>
              <w:spacing w:after="0"/>
              <w:rPr>
                <w:sz w:val="18"/>
                <w:szCs w:val="18"/>
                <w:color w:val="auto"/>
              </w:rPr>
            </w:pPr>
          </w:p>
        </w:tc>
        <w:tc>
          <w:tcPr>
            <w:tcW w:w="320" w:type="dxa"/>
            <w:vAlign w:val="bottom"/>
            <w:shd w:val="clear" w:color="auto" w:fill="F2F2F2"/>
          </w:tcPr>
          <w:p>
            <w:pPr>
              <w:spacing w:after="0"/>
              <w:rPr>
                <w:sz w:val="18"/>
                <w:szCs w:val="18"/>
                <w:color w:val="auto"/>
              </w:rPr>
            </w:pPr>
          </w:p>
        </w:tc>
        <w:tc>
          <w:tcPr>
            <w:tcW w:w="1720" w:type="dxa"/>
            <w:vAlign w:val="bottom"/>
            <w:shd w:val="clear" w:color="auto" w:fill="F2F2F2"/>
          </w:tcPr>
          <w:p>
            <w:pPr>
              <w:spacing w:after="0"/>
              <w:rPr>
                <w:sz w:val="18"/>
                <w:szCs w:val="18"/>
                <w:color w:val="auto"/>
              </w:rPr>
            </w:pPr>
          </w:p>
        </w:tc>
        <w:tc>
          <w:tcPr>
            <w:tcW w:w="5140" w:type="dxa"/>
            <w:vAlign w:val="bottom"/>
            <w:shd w:val="clear" w:color="auto" w:fill="F2F2F2"/>
          </w:tcPr>
          <w:p>
            <w:pPr>
              <w:ind w:left="380"/>
              <w:spacing w:after="0"/>
              <w:rPr>
                <w:sz w:val="20"/>
                <w:szCs w:val="20"/>
                <w:color w:val="auto"/>
              </w:rPr>
            </w:pPr>
            <w:r>
              <w:rPr>
                <w:rFonts w:ascii="Arial" w:cs="Arial" w:eastAsia="Arial" w:hAnsi="Arial"/>
                <w:sz w:val="16"/>
                <w:szCs w:val="16"/>
                <w:color w:val="auto"/>
              </w:rPr>
              <w:t>transitioning out of foster care.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2"/>
        </w:trPr>
        <w:tc>
          <w:tcPr>
            <w:tcW w:w="2720" w:type="dxa"/>
            <w:vAlign w:val="bottom"/>
            <w:shd w:val="clear" w:color="auto" w:fill="DBE5F1"/>
          </w:tcPr>
          <w:p>
            <w:pPr>
              <w:spacing w:after="0"/>
              <w:rPr>
                <w:sz w:val="24"/>
                <w:szCs w:val="24"/>
                <w:color w:val="auto"/>
              </w:rPr>
            </w:pPr>
          </w:p>
        </w:tc>
        <w:tc>
          <w:tcPr>
            <w:tcW w:w="320" w:type="dxa"/>
            <w:vAlign w:val="bottom"/>
            <w:shd w:val="clear" w:color="auto" w:fill="F2F2F2"/>
          </w:tcPr>
          <w:p>
            <w:pPr>
              <w:spacing w:after="0"/>
              <w:rPr>
                <w:sz w:val="24"/>
                <w:szCs w:val="24"/>
                <w:color w:val="auto"/>
              </w:rPr>
            </w:pPr>
          </w:p>
        </w:tc>
        <w:tc>
          <w:tcPr>
            <w:tcW w:w="1720" w:type="dxa"/>
            <w:vAlign w:val="bottom"/>
            <w:shd w:val="clear" w:color="auto" w:fill="F2F2F2"/>
          </w:tcPr>
          <w:p>
            <w:pPr>
              <w:spacing w:after="0"/>
              <w:rPr>
                <w:sz w:val="24"/>
                <w:szCs w:val="24"/>
                <w:color w:val="auto"/>
              </w:rPr>
            </w:pPr>
          </w:p>
        </w:tc>
        <w:tc>
          <w:tcPr>
            <w:tcW w:w="5140" w:type="dxa"/>
            <w:vAlign w:val="bottom"/>
            <w:shd w:val="clear" w:color="auto" w:fill="F2F2F2"/>
          </w:tcPr>
          <w:p>
            <w:pPr>
              <w:ind w:left="380"/>
              <w:spacing w:after="0"/>
              <w:rPr>
                <w:sz w:val="20"/>
                <w:szCs w:val="20"/>
                <w:color w:val="auto"/>
              </w:rPr>
            </w:pPr>
            <w:r>
              <w:rPr>
                <w:rFonts w:ascii="Arial" w:cs="Arial" w:eastAsia="Arial" w:hAnsi="Arial"/>
                <w:sz w:val="16"/>
                <w:szCs w:val="16"/>
                <w:b w:val="1"/>
                <w:bCs w:val="1"/>
                <w:color w:val="4A7EBB"/>
              </w:rPr>
              <w:t>Qualifications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720" w:type="dxa"/>
            <w:vAlign w:val="bottom"/>
            <w:shd w:val="clear" w:color="auto" w:fill="DBE5F1"/>
          </w:tcPr>
          <w:p>
            <w:pPr>
              <w:spacing w:after="0"/>
              <w:rPr>
                <w:sz w:val="16"/>
                <w:szCs w:val="16"/>
                <w:color w:val="auto"/>
              </w:rPr>
            </w:pPr>
          </w:p>
        </w:tc>
        <w:tc>
          <w:tcPr>
            <w:tcW w:w="320" w:type="dxa"/>
            <w:vAlign w:val="bottom"/>
            <w:shd w:val="clear" w:color="auto" w:fill="F2F2F2"/>
          </w:tcPr>
          <w:p>
            <w:pPr>
              <w:spacing w:after="0"/>
              <w:rPr>
                <w:sz w:val="16"/>
                <w:szCs w:val="16"/>
                <w:color w:val="auto"/>
              </w:rPr>
            </w:pPr>
          </w:p>
        </w:tc>
        <w:tc>
          <w:tcPr>
            <w:tcW w:w="1720" w:type="dxa"/>
            <w:vAlign w:val="bottom"/>
            <w:shd w:val="clear" w:color="auto" w:fill="F2F2F2"/>
          </w:tcPr>
          <w:p>
            <w:pPr>
              <w:spacing w:after="0"/>
              <w:rPr>
                <w:sz w:val="16"/>
                <w:szCs w:val="16"/>
                <w:color w:val="auto"/>
              </w:rPr>
            </w:pPr>
          </w:p>
        </w:tc>
        <w:tc>
          <w:tcPr>
            <w:tcW w:w="5140" w:type="dxa"/>
            <w:vAlign w:val="bottom"/>
            <w:shd w:val="clear" w:color="auto" w:fill="F2F2F2"/>
          </w:tcPr>
          <w:p>
            <w:pPr>
              <w:ind w:left="380"/>
              <w:spacing w:after="0"/>
              <w:rPr>
                <w:sz w:val="20"/>
                <w:szCs w:val="20"/>
                <w:color w:val="auto"/>
              </w:rPr>
            </w:pPr>
            <w:r>
              <w:rPr>
                <w:rFonts w:ascii="Arial" w:cs="Arial" w:eastAsia="Arial" w:hAnsi="Arial"/>
                <w:sz w:val="16"/>
                <w:szCs w:val="16"/>
                <w:color w:val="auto"/>
              </w:rPr>
              <w:t>Patti  H.  Ongman’s  extensive  omni-channel  retail  operations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20" w:type="dxa"/>
            <w:vAlign w:val="bottom"/>
            <w:shd w:val="clear" w:color="auto" w:fill="DBE5F1"/>
          </w:tcPr>
          <w:p>
            <w:pPr>
              <w:spacing w:after="0"/>
              <w:rPr>
                <w:sz w:val="16"/>
                <w:szCs w:val="16"/>
                <w:color w:val="auto"/>
              </w:rPr>
            </w:pPr>
          </w:p>
        </w:tc>
        <w:tc>
          <w:tcPr>
            <w:tcW w:w="320" w:type="dxa"/>
            <w:vAlign w:val="bottom"/>
            <w:shd w:val="clear" w:color="auto" w:fill="F2F2F2"/>
          </w:tcPr>
          <w:p>
            <w:pPr>
              <w:spacing w:after="0"/>
              <w:rPr>
                <w:sz w:val="16"/>
                <w:szCs w:val="16"/>
                <w:color w:val="auto"/>
              </w:rPr>
            </w:pPr>
          </w:p>
        </w:tc>
        <w:tc>
          <w:tcPr>
            <w:tcW w:w="1720" w:type="dxa"/>
            <w:vAlign w:val="bottom"/>
            <w:shd w:val="clear" w:color="auto" w:fill="F2F2F2"/>
          </w:tcPr>
          <w:p>
            <w:pPr>
              <w:spacing w:after="0"/>
              <w:rPr>
                <w:sz w:val="16"/>
                <w:szCs w:val="16"/>
                <w:color w:val="auto"/>
              </w:rPr>
            </w:pPr>
          </w:p>
        </w:tc>
        <w:tc>
          <w:tcPr>
            <w:tcW w:w="5140" w:type="dxa"/>
            <w:vAlign w:val="bottom"/>
            <w:shd w:val="clear" w:color="auto" w:fill="F2F2F2"/>
          </w:tcPr>
          <w:p>
            <w:pPr>
              <w:ind w:left="380"/>
              <w:spacing w:after="0"/>
              <w:rPr>
                <w:sz w:val="20"/>
                <w:szCs w:val="20"/>
                <w:color w:val="auto"/>
              </w:rPr>
            </w:pPr>
            <w:r>
              <w:rPr>
                <w:rFonts w:ascii="Arial" w:cs="Arial" w:eastAsia="Arial" w:hAnsi="Arial"/>
                <w:sz w:val="16"/>
                <w:szCs w:val="16"/>
                <w:color w:val="auto"/>
              </w:rPr>
              <w:t>experience, along with her merchandising, financial planning and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20" w:type="dxa"/>
            <w:vAlign w:val="bottom"/>
            <w:shd w:val="clear" w:color="auto" w:fill="DBE5F1"/>
          </w:tcPr>
          <w:p>
            <w:pPr>
              <w:spacing w:after="0"/>
              <w:rPr>
                <w:sz w:val="16"/>
                <w:szCs w:val="16"/>
                <w:color w:val="auto"/>
              </w:rPr>
            </w:pPr>
          </w:p>
        </w:tc>
        <w:tc>
          <w:tcPr>
            <w:tcW w:w="320" w:type="dxa"/>
            <w:vAlign w:val="bottom"/>
            <w:shd w:val="clear" w:color="auto" w:fill="F2F2F2"/>
          </w:tcPr>
          <w:p>
            <w:pPr>
              <w:spacing w:after="0"/>
              <w:rPr>
                <w:sz w:val="16"/>
                <w:szCs w:val="16"/>
                <w:color w:val="auto"/>
              </w:rPr>
            </w:pPr>
          </w:p>
        </w:tc>
        <w:tc>
          <w:tcPr>
            <w:tcW w:w="1720" w:type="dxa"/>
            <w:vAlign w:val="bottom"/>
            <w:shd w:val="clear" w:color="auto" w:fill="F2F2F2"/>
          </w:tcPr>
          <w:p>
            <w:pPr>
              <w:spacing w:after="0"/>
              <w:rPr>
                <w:sz w:val="16"/>
                <w:szCs w:val="16"/>
                <w:color w:val="auto"/>
              </w:rPr>
            </w:pPr>
          </w:p>
        </w:tc>
        <w:tc>
          <w:tcPr>
            <w:tcW w:w="5140" w:type="dxa"/>
            <w:vAlign w:val="bottom"/>
            <w:shd w:val="clear" w:color="auto" w:fill="F2F2F2"/>
          </w:tcPr>
          <w:p>
            <w:pPr>
              <w:ind w:left="380"/>
              <w:spacing w:after="0"/>
              <w:rPr>
                <w:sz w:val="20"/>
                <w:szCs w:val="20"/>
                <w:color w:val="auto"/>
              </w:rPr>
            </w:pPr>
            <w:r>
              <w:rPr>
                <w:rFonts w:ascii="Arial" w:cs="Arial" w:eastAsia="Arial" w:hAnsi="Arial"/>
                <w:sz w:val="16"/>
                <w:szCs w:val="16"/>
                <w:color w:val="auto"/>
              </w:rPr>
              <w:t>product development experience, provides valuable insight and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720" w:type="dxa"/>
            <w:vAlign w:val="bottom"/>
            <w:tcBorders>
              <w:bottom w:val="single" w:sz="8" w:color="808080"/>
            </w:tcBorders>
            <w:shd w:val="clear" w:color="auto" w:fill="DBE5F1"/>
          </w:tcPr>
          <w:p>
            <w:pPr>
              <w:spacing w:after="0"/>
              <w:rPr>
                <w:sz w:val="17"/>
                <w:szCs w:val="17"/>
                <w:color w:val="auto"/>
              </w:rPr>
            </w:pPr>
          </w:p>
        </w:tc>
        <w:tc>
          <w:tcPr>
            <w:tcW w:w="320" w:type="dxa"/>
            <w:vAlign w:val="bottom"/>
            <w:tcBorders>
              <w:bottom w:val="single" w:sz="8" w:color="808080"/>
            </w:tcBorders>
            <w:shd w:val="clear" w:color="auto" w:fill="F2F2F2"/>
          </w:tcPr>
          <w:p>
            <w:pPr>
              <w:spacing w:after="0"/>
              <w:rPr>
                <w:sz w:val="17"/>
                <w:szCs w:val="17"/>
                <w:color w:val="auto"/>
              </w:rPr>
            </w:pPr>
          </w:p>
        </w:tc>
        <w:tc>
          <w:tcPr>
            <w:tcW w:w="1720" w:type="dxa"/>
            <w:vAlign w:val="bottom"/>
            <w:tcBorders>
              <w:bottom w:val="single" w:sz="8" w:color="808080"/>
            </w:tcBorders>
            <w:shd w:val="clear" w:color="auto" w:fill="F2F2F2"/>
          </w:tcPr>
          <w:p>
            <w:pPr>
              <w:spacing w:after="0"/>
              <w:rPr>
                <w:sz w:val="17"/>
                <w:szCs w:val="17"/>
                <w:color w:val="auto"/>
              </w:rPr>
            </w:pPr>
          </w:p>
        </w:tc>
        <w:tc>
          <w:tcPr>
            <w:tcW w:w="5140" w:type="dxa"/>
            <w:vAlign w:val="bottom"/>
            <w:tcBorders>
              <w:bottom w:val="single" w:sz="8" w:color="808080"/>
            </w:tcBorders>
            <w:shd w:val="clear" w:color="auto" w:fill="F2F2F2"/>
          </w:tcPr>
          <w:p>
            <w:pPr>
              <w:ind w:left="380"/>
              <w:spacing w:after="0"/>
              <w:rPr>
                <w:sz w:val="20"/>
                <w:szCs w:val="20"/>
                <w:color w:val="auto"/>
              </w:rPr>
            </w:pPr>
            <w:r>
              <w:rPr>
                <w:rFonts w:ascii="Arial" w:cs="Arial" w:eastAsia="Arial" w:hAnsi="Arial"/>
                <w:sz w:val="16"/>
                <w:szCs w:val="16"/>
                <w:color w:val="auto"/>
              </w:rPr>
              <w:t>perspectives to our Board.</w:t>
            </w:r>
          </w:p>
        </w:tc>
        <w:tc>
          <w:tcPr>
            <w:tcW w:w="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720" w:type="dxa"/>
            <w:vAlign w:val="bottom"/>
            <w:tcBorders>
              <w:bottom w:val="single" w:sz="8" w:color="4A7EBB"/>
            </w:tcBorders>
          </w:tcPr>
          <w:p>
            <w:pPr>
              <w:spacing w:after="0"/>
              <w:rPr>
                <w:sz w:val="18"/>
                <w:szCs w:val="18"/>
                <w:color w:val="auto"/>
              </w:rPr>
            </w:pPr>
          </w:p>
        </w:tc>
        <w:tc>
          <w:tcPr>
            <w:tcW w:w="320" w:type="dxa"/>
            <w:vAlign w:val="bottom"/>
            <w:tcBorders>
              <w:bottom w:val="single" w:sz="8" w:color="4A7EBB"/>
            </w:tcBorders>
          </w:tcPr>
          <w:p>
            <w:pPr>
              <w:spacing w:after="0"/>
              <w:rPr>
                <w:sz w:val="18"/>
                <w:szCs w:val="18"/>
                <w:color w:val="auto"/>
              </w:rPr>
            </w:pPr>
          </w:p>
        </w:tc>
        <w:tc>
          <w:tcPr>
            <w:tcW w:w="1720" w:type="dxa"/>
            <w:vAlign w:val="bottom"/>
            <w:tcBorders>
              <w:bottom w:val="single" w:sz="8" w:color="4A7EBB"/>
            </w:tcBorders>
          </w:tcPr>
          <w:p>
            <w:pPr>
              <w:spacing w:after="0"/>
              <w:rPr>
                <w:sz w:val="18"/>
                <w:szCs w:val="18"/>
                <w:color w:val="auto"/>
              </w:rPr>
            </w:pPr>
          </w:p>
        </w:tc>
        <w:tc>
          <w:tcPr>
            <w:tcW w:w="5140" w:type="dxa"/>
            <w:vAlign w:val="bottom"/>
            <w:tcBorders>
              <w:bottom w:val="single" w:sz="8" w:color="4A7EBB"/>
            </w:tcBorders>
          </w:tcPr>
          <w:p>
            <w:pPr>
              <w:spacing w:after="0"/>
              <w:rPr>
                <w:sz w:val="18"/>
                <w:szCs w:val="18"/>
                <w:color w:val="auto"/>
              </w:rPr>
            </w:pPr>
          </w:p>
        </w:tc>
        <w:tc>
          <w:tcPr>
            <w:tcW w:w="20" w:type="dxa"/>
            <w:vAlign w:val="bottom"/>
            <w:tcBorders>
              <w:bottom w:val="single" w:sz="8" w:color="4A7EBB"/>
            </w:tcBorders>
          </w:tcPr>
          <w:p>
            <w:pPr>
              <w:spacing w:after="0"/>
              <w:rPr>
                <w:sz w:val="18"/>
                <w:szCs w:val="18"/>
                <w:color w:val="auto"/>
              </w:rPr>
            </w:pPr>
          </w:p>
        </w:tc>
        <w:tc>
          <w:tcPr>
            <w:tcW w:w="0" w:type="dxa"/>
            <w:vAlign w:val="bottom"/>
          </w:tcPr>
          <w:p>
            <w:pPr>
              <w:spacing w:after="0"/>
              <w:rPr>
                <w:sz w:val="1"/>
                <w:szCs w:val="1"/>
                <w:color w:val="auto"/>
              </w:rPr>
            </w:pPr>
          </w:p>
        </w:tc>
      </w:tr>
      <w:tr>
        <w:trPr>
          <w:trHeight w:val="453"/>
        </w:trPr>
        <w:tc>
          <w:tcPr>
            <w:tcW w:w="2720" w:type="dxa"/>
            <w:vAlign w:val="bottom"/>
            <w:tcBorders>
              <w:bottom w:val="single" w:sz="8" w:color="4A7EBB"/>
            </w:tcBorders>
          </w:tcPr>
          <w:p>
            <w:pPr>
              <w:spacing w:after="0"/>
              <w:rPr>
                <w:sz w:val="24"/>
                <w:szCs w:val="24"/>
                <w:color w:val="auto"/>
              </w:rPr>
            </w:pPr>
          </w:p>
        </w:tc>
        <w:tc>
          <w:tcPr>
            <w:tcW w:w="320" w:type="dxa"/>
            <w:vAlign w:val="bottom"/>
            <w:tcBorders>
              <w:bottom w:val="single" w:sz="8" w:color="4A7EBB"/>
            </w:tcBorders>
          </w:tcPr>
          <w:p>
            <w:pPr>
              <w:spacing w:after="0"/>
              <w:rPr>
                <w:sz w:val="24"/>
                <w:szCs w:val="24"/>
                <w:color w:val="auto"/>
              </w:rPr>
            </w:pPr>
          </w:p>
        </w:tc>
        <w:tc>
          <w:tcPr>
            <w:tcW w:w="1720" w:type="dxa"/>
            <w:vAlign w:val="bottom"/>
            <w:tcBorders>
              <w:bottom w:val="single" w:sz="8" w:color="4A7EBB"/>
            </w:tcBorders>
          </w:tcPr>
          <w:p>
            <w:pPr>
              <w:spacing w:after="0"/>
              <w:rPr>
                <w:sz w:val="24"/>
                <w:szCs w:val="24"/>
                <w:color w:val="auto"/>
              </w:rPr>
            </w:pPr>
          </w:p>
        </w:tc>
        <w:tc>
          <w:tcPr>
            <w:tcW w:w="5140" w:type="dxa"/>
            <w:vAlign w:val="bottom"/>
            <w:tcBorders>
              <w:bottom w:val="single" w:sz="8" w:color="4A7EBB"/>
            </w:tcBorders>
          </w:tcPr>
          <w:p>
            <w:pPr>
              <w:spacing w:after="0"/>
              <w:rPr>
                <w:sz w:val="24"/>
                <w:szCs w:val="24"/>
                <w:color w:val="auto"/>
              </w:rPr>
            </w:pPr>
          </w:p>
        </w:tc>
        <w:tc>
          <w:tcPr>
            <w:tcW w:w="20" w:type="dxa"/>
            <w:vAlign w:val="bottom"/>
            <w:tcBorders>
              <w:bottom w:val="single" w:sz="8" w:color="4A7EBB"/>
            </w:tcBorders>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720" w:type="dxa"/>
            <w:vAlign w:val="bottom"/>
          </w:tcPr>
          <w:p>
            <w:pPr>
              <w:spacing w:after="0"/>
              <w:rPr>
                <w:sz w:val="20"/>
                <w:szCs w:val="20"/>
                <w:color w:val="auto"/>
              </w:rPr>
            </w:pPr>
            <w:r>
              <w:rPr>
                <w:rFonts w:ascii="Arial" w:cs="Arial" w:eastAsia="Arial" w:hAnsi="Arial"/>
                <w:sz w:val="20"/>
                <w:szCs w:val="20"/>
                <w:b w:val="1"/>
                <w:bCs w:val="1"/>
                <w:color w:val="4A7EBB"/>
              </w:rPr>
              <w:t xml:space="preserve">58 </w:t>
            </w:r>
            <w:r>
              <w:rPr>
                <w:rFonts w:ascii="Arial" w:cs="Arial" w:eastAsia="Arial" w:hAnsi="Arial"/>
                <w:sz w:val="20"/>
                <w:szCs w:val="20"/>
                <w:color w:val="808080"/>
              </w:rPr>
              <w:t>\</w:t>
            </w:r>
          </w:p>
        </w:tc>
        <w:tc>
          <w:tcPr>
            <w:tcW w:w="3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7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-7071995</wp:posOffset>
            </wp:positionV>
            <wp:extent cx="179705" cy="22288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clrChange>
                        <a:clrFrom>
                          <a:srgbClr val="000000"/>
                        </a:clrFrom>
                        <a:clrTo>
                          <a:srgbClr val="000000">
                            <a:alpha val="0"/>
                          </a:srgbClr>
                        </a:clrTo>
                      </a:clrChange>
                      <a:extLst>
                        <a:ext uri="{28A0092B-C50C-407E-A947-70E740481C1C}"/>
                      </a:extLst>
                    </a:blip>
                    <a:srcRect/>
                    <a:stretch>
                      <a:fillRect/>
                    </a:stretch>
                  </pic:blipFill>
                  <pic:spPr bwMode="auto">
                    <a:xfrm>
                      <a:off x="0" y="0"/>
                      <a:ext cx="179705" cy="222885"/>
                    </a:xfrm>
                    <a:prstGeom prst="rect">
                      <a:avLst/>
                    </a:prstGeom>
                    <a:noFill/>
                  </pic:spPr>
                </pic:pic>
              </a:graphicData>
            </a:graphic>
          </wp:anchor>
        </w:drawing>
        <w:drawing>
          <wp:anchor simplePos="0" relativeHeight="251657728" behindDoc="1" locked="0" layoutInCell="0" allowOverlap="1">
            <wp:simplePos x="0" y="0"/>
            <wp:positionH relativeFrom="column">
              <wp:posOffset>74295</wp:posOffset>
            </wp:positionH>
            <wp:positionV relativeFrom="paragraph">
              <wp:posOffset>-7071995</wp:posOffset>
            </wp:positionV>
            <wp:extent cx="179705" cy="22288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clrChange>
                        <a:clrFrom>
                          <a:srgbClr val="FFFFFF"/>
                        </a:clrFrom>
                        <a:clrTo>
                          <a:srgbClr val="FFFFFF">
                            <a:alpha val="0"/>
                          </a:srgbClr>
                        </a:clrTo>
                      </a:clrChange>
                      <a:extLst>
                        <a:ext uri="{28A0092B-C50C-407E-A947-70E740481C1C}"/>
                      </a:extLst>
                    </a:blip>
                    <a:srcRect/>
                    <a:stretch>
                      <a:fillRect/>
                    </a:stretch>
                  </pic:blipFill>
                  <pic:spPr bwMode="auto">
                    <a:xfrm>
                      <a:off x="0" y="0"/>
                      <a:ext cx="179705" cy="222885"/>
                    </a:xfrm>
                    <a:prstGeom prst="rect">
                      <a:avLst/>
                    </a:prstGeom>
                    <a:noFill/>
                  </pic:spPr>
                </pic:pic>
              </a:graphicData>
            </a:graphic>
          </wp:anchor>
        </w:drawing>
        <w:drawing>
          <wp:anchor simplePos="0" relativeHeight="251657728" behindDoc="1" locked="0" layoutInCell="0" allowOverlap="1">
            <wp:simplePos x="0" y="0"/>
            <wp:positionH relativeFrom="column">
              <wp:posOffset>74295</wp:posOffset>
            </wp:positionH>
            <wp:positionV relativeFrom="paragraph">
              <wp:posOffset>-3557270</wp:posOffset>
            </wp:positionV>
            <wp:extent cx="179705" cy="22288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clrChange>
                        <a:clrFrom>
                          <a:srgbClr val="000000"/>
                        </a:clrFrom>
                        <a:clrTo>
                          <a:srgbClr val="000000">
                            <a:alpha val="0"/>
                          </a:srgbClr>
                        </a:clrTo>
                      </a:clrChange>
                      <a:extLst>
                        <a:ext uri="{28A0092B-C50C-407E-A947-70E740481C1C}"/>
                      </a:extLst>
                    </a:blip>
                    <a:srcRect/>
                    <a:stretch>
                      <a:fillRect/>
                    </a:stretch>
                  </pic:blipFill>
                  <pic:spPr bwMode="auto">
                    <a:xfrm>
                      <a:off x="0" y="0"/>
                      <a:ext cx="179705" cy="222885"/>
                    </a:xfrm>
                    <a:prstGeom prst="rect">
                      <a:avLst/>
                    </a:prstGeom>
                    <a:noFill/>
                  </pic:spPr>
                </pic:pic>
              </a:graphicData>
            </a:graphic>
          </wp:anchor>
        </w:drawing>
        <w:drawing>
          <wp:anchor simplePos="0" relativeHeight="251657728" behindDoc="1" locked="0" layoutInCell="0" allowOverlap="1">
            <wp:simplePos x="0" y="0"/>
            <wp:positionH relativeFrom="column">
              <wp:posOffset>74295</wp:posOffset>
            </wp:positionH>
            <wp:positionV relativeFrom="paragraph">
              <wp:posOffset>-3557270</wp:posOffset>
            </wp:positionV>
            <wp:extent cx="179705" cy="22288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clrChange>
                        <a:clrFrom>
                          <a:srgbClr val="FFFFFF"/>
                        </a:clrFrom>
                        <a:clrTo>
                          <a:srgbClr val="FFFFFF">
                            <a:alpha val="0"/>
                          </a:srgbClr>
                        </a:clrTo>
                      </a:clrChange>
                      <a:extLst>
                        <a:ext uri="{28A0092B-C50C-407E-A947-70E740481C1C}"/>
                      </a:extLst>
                    </a:blip>
                    <a:srcRect/>
                    <a:stretch>
                      <a:fillRect/>
                    </a:stretch>
                  </pic:blipFill>
                  <pic:spPr bwMode="auto">
                    <a:xfrm>
                      <a:off x="0" y="0"/>
                      <a:ext cx="179705" cy="222885"/>
                    </a:xfrm>
                    <a:prstGeom prst="rect">
                      <a:avLst/>
                    </a:prstGeom>
                    <a:noFill/>
                  </pic:spPr>
                </pic:pic>
              </a:graphicData>
            </a:graphic>
          </wp:anchor>
        </w:drawing>
        <w:drawing>
          <wp:anchor simplePos="0" relativeHeight="251657728" behindDoc="1" locked="0" layoutInCell="0" allowOverlap="1">
            <wp:simplePos x="0" y="0"/>
            <wp:positionH relativeFrom="column">
              <wp:posOffset>254635</wp:posOffset>
            </wp:positionH>
            <wp:positionV relativeFrom="paragraph">
              <wp:posOffset>-556895</wp:posOffset>
            </wp:positionV>
            <wp:extent cx="266065" cy="15430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266065" cy="15430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9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980" w:type="dxa"/>
            <w:vAlign w:val="bottom"/>
            <w:gridSpan w:val="3"/>
          </w:tcPr>
          <w:p>
            <w:pPr>
              <w:ind w:left="2100"/>
              <w:spacing w:after="0"/>
              <w:rPr>
                <w:sz w:val="20"/>
                <w:szCs w:val="20"/>
                <w:color w:val="auto"/>
              </w:rPr>
            </w:pPr>
            <w:r>
              <w:rPr>
                <w:rFonts w:ascii="Arial" w:cs="Arial" w:eastAsia="Arial" w:hAnsi="Arial"/>
                <w:sz w:val="18"/>
                <w:szCs w:val="18"/>
                <w:color w:val="4A7EBB"/>
              </w:rPr>
              <w:t xml:space="preserve">Proposal No. 1 </w:t>
            </w:r>
            <w:r>
              <w:rPr>
                <w:rFonts w:ascii="Arial" w:cs="Arial" w:eastAsia="Arial" w:hAnsi="Arial"/>
                <w:sz w:val="18"/>
                <w:szCs w:val="18"/>
                <w:color w:val="000000"/>
              </w:rPr>
              <w:t>Election of Directors</w:t>
            </w:r>
          </w:p>
        </w:tc>
        <w:tc>
          <w:tcPr>
            <w:tcW w:w="0" w:type="dxa"/>
            <w:vAlign w:val="bottom"/>
          </w:tcPr>
          <w:p>
            <w:pPr>
              <w:spacing w:after="0"/>
              <w:rPr>
                <w:sz w:val="1"/>
                <w:szCs w:val="1"/>
                <w:color w:val="auto"/>
              </w:rPr>
            </w:pPr>
          </w:p>
        </w:tc>
      </w:tr>
      <w:tr>
        <w:trPr>
          <w:trHeight w:val="210"/>
        </w:trPr>
        <w:tc>
          <w:tcPr>
            <w:tcW w:w="2260" w:type="dxa"/>
            <w:vAlign w:val="bottom"/>
            <w:tcBorders>
              <w:top w:val="single" w:sz="8" w:color="4A7EBB"/>
              <w:bottom w:val="single" w:sz="8" w:color="4A7EBB"/>
            </w:tcBorders>
            <w:gridSpan w:val="3"/>
          </w:tcPr>
          <w:p>
            <w:pPr>
              <w:spacing w:after="0"/>
              <w:rPr>
                <w:sz w:val="18"/>
                <w:szCs w:val="18"/>
                <w:color w:val="auto"/>
              </w:rPr>
            </w:pPr>
          </w:p>
        </w:tc>
        <w:tc>
          <w:tcPr>
            <w:tcW w:w="460" w:type="dxa"/>
            <w:vAlign w:val="bottom"/>
            <w:tcBorders>
              <w:top w:val="single" w:sz="8" w:color="4A7EBB"/>
              <w:bottom w:val="single" w:sz="8" w:color="4A7EBB"/>
            </w:tcBorders>
          </w:tcPr>
          <w:p>
            <w:pPr>
              <w:spacing w:after="0"/>
              <w:rPr>
                <w:sz w:val="18"/>
                <w:szCs w:val="18"/>
                <w:color w:val="auto"/>
              </w:rPr>
            </w:pPr>
          </w:p>
        </w:tc>
        <w:tc>
          <w:tcPr>
            <w:tcW w:w="2240" w:type="dxa"/>
            <w:vAlign w:val="bottom"/>
            <w:tcBorders>
              <w:top w:val="single" w:sz="8" w:color="4A7EBB"/>
              <w:bottom w:val="single" w:sz="8" w:color="4A7EBB"/>
            </w:tcBorders>
            <w:gridSpan w:val="2"/>
          </w:tcPr>
          <w:p>
            <w:pPr>
              <w:spacing w:after="0"/>
              <w:rPr>
                <w:sz w:val="18"/>
                <w:szCs w:val="18"/>
                <w:color w:val="auto"/>
              </w:rPr>
            </w:pPr>
          </w:p>
        </w:tc>
        <w:tc>
          <w:tcPr>
            <w:tcW w:w="4940" w:type="dxa"/>
            <w:vAlign w:val="bottom"/>
            <w:tcBorders>
              <w:top w:val="single" w:sz="8" w:color="4A7EBB"/>
              <w:bottom w:val="single" w:sz="8" w:color="4A7EBB"/>
            </w:tcBorders>
          </w:tcPr>
          <w:p>
            <w:pPr>
              <w:spacing w:after="0"/>
              <w:rPr>
                <w:sz w:val="18"/>
                <w:szCs w:val="18"/>
                <w:color w:val="auto"/>
              </w:rPr>
            </w:pPr>
          </w:p>
        </w:tc>
        <w:tc>
          <w:tcPr>
            <w:tcW w:w="20" w:type="dxa"/>
            <w:vAlign w:val="bottom"/>
            <w:tcBorders>
              <w:top w:val="single" w:sz="8" w:color="4A7EBB"/>
              <w:bottom w:val="single" w:sz="8" w:color="4A7EBB"/>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260" w:type="dxa"/>
            <w:vAlign w:val="bottom"/>
            <w:gridSpan w:val="3"/>
            <w:shd w:val="clear" w:color="auto" w:fill="DBE5F1"/>
          </w:tcPr>
          <w:p>
            <w:pPr>
              <w:ind w:left="120"/>
              <w:spacing w:after="0" w:line="169" w:lineRule="exact"/>
              <w:rPr>
                <w:sz w:val="20"/>
                <w:szCs w:val="20"/>
                <w:color w:val="auto"/>
              </w:rPr>
            </w:pPr>
            <w:r>
              <w:rPr>
                <w:rFonts w:ascii="Arial" w:cs="Arial" w:eastAsia="Arial" w:hAnsi="Arial"/>
                <w:sz w:val="19"/>
                <w:szCs w:val="19"/>
                <w:b w:val="1"/>
                <w:bCs w:val="1"/>
                <w:color w:val="auto"/>
              </w:rPr>
              <w:t>MICHAEL SHAFFER</w:t>
            </w:r>
          </w:p>
        </w:tc>
        <w:tc>
          <w:tcPr>
            <w:tcW w:w="460" w:type="dxa"/>
            <w:vAlign w:val="bottom"/>
            <w:shd w:val="clear" w:color="auto" w:fill="DBE5F1"/>
          </w:tcPr>
          <w:p>
            <w:pPr>
              <w:spacing w:after="0"/>
              <w:rPr>
                <w:sz w:val="14"/>
                <w:szCs w:val="14"/>
                <w:color w:val="auto"/>
              </w:rPr>
            </w:pPr>
          </w:p>
        </w:tc>
        <w:tc>
          <w:tcPr>
            <w:tcW w:w="2240" w:type="dxa"/>
            <w:vAlign w:val="bottom"/>
            <w:gridSpan w:val="2"/>
            <w:shd w:val="clear" w:color="auto" w:fill="F2F2F2"/>
          </w:tcPr>
          <w:p>
            <w:pPr>
              <w:ind w:left="100"/>
              <w:spacing w:after="0" w:line="169" w:lineRule="exact"/>
              <w:rPr>
                <w:sz w:val="20"/>
                <w:szCs w:val="20"/>
                <w:color w:val="auto"/>
              </w:rPr>
            </w:pPr>
            <w:r>
              <w:rPr>
                <w:rFonts w:ascii="Arial" w:cs="Arial" w:eastAsia="Arial" w:hAnsi="Arial"/>
                <w:sz w:val="16"/>
                <w:szCs w:val="16"/>
                <w:b w:val="1"/>
                <w:bCs w:val="1"/>
                <w:color w:val="auto"/>
              </w:rPr>
              <w:t>Age: 63</w:t>
            </w:r>
          </w:p>
        </w:tc>
        <w:tc>
          <w:tcPr>
            <w:tcW w:w="4940" w:type="dxa"/>
            <w:vAlign w:val="bottom"/>
            <w:shd w:val="clear" w:color="auto" w:fill="F2F2F2"/>
          </w:tcPr>
          <w:p>
            <w:pPr>
              <w:ind w:left="180"/>
              <w:spacing w:after="0" w:line="169" w:lineRule="exact"/>
              <w:rPr>
                <w:sz w:val="20"/>
                <w:szCs w:val="20"/>
                <w:color w:val="auto"/>
              </w:rPr>
            </w:pPr>
            <w:r>
              <w:rPr>
                <w:rFonts w:ascii="Arial" w:cs="Arial" w:eastAsia="Arial" w:hAnsi="Arial"/>
                <w:sz w:val="16"/>
                <w:szCs w:val="16"/>
                <w:color w:val="auto"/>
              </w:rPr>
              <w:t>Michael  Shaffer  is  currently  retired.  Michael  Shaffer  was</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940" w:type="dxa"/>
            <w:vAlign w:val="bottom"/>
            <w:shd w:val="clear" w:color="auto" w:fill="DBE5F1"/>
          </w:tcPr>
          <w:p>
            <w:pPr>
              <w:ind w:left="120"/>
              <w:spacing w:after="0" w:line="189" w:lineRule="exact"/>
              <w:rPr>
                <w:sz w:val="20"/>
                <w:szCs w:val="20"/>
                <w:color w:val="auto"/>
              </w:rPr>
            </w:pPr>
            <w:r>
              <w:rPr>
                <w:rFonts w:ascii="Arial" w:cs="Arial" w:eastAsia="Arial" w:hAnsi="Arial"/>
                <w:sz w:val="17"/>
                <w:szCs w:val="17"/>
                <w:color w:val="auto"/>
              </w:rPr>
              <w:t>Retired</w:t>
            </w:r>
          </w:p>
        </w:tc>
        <w:tc>
          <w:tcPr>
            <w:tcW w:w="1320" w:type="dxa"/>
            <w:vAlign w:val="bottom"/>
            <w:gridSpan w:val="2"/>
            <w:shd w:val="clear" w:color="auto" w:fill="DBE5F1"/>
          </w:tcPr>
          <w:p>
            <w:pPr>
              <w:ind w:left="160"/>
              <w:spacing w:after="0" w:line="189" w:lineRule="exact"/>
              <w:rPr>
                <w:sz w:val="20"/>
                <w:szCs w:val="20"/>
                <w:color w:val="auto"/>
              </w:rPr>
            </w:pPr>
            <w:r>
              <w:rPr>
                <w:rFonts w:ascii="Arial" w:cs="Arial" w:eastAsia="Arial" w:hAnsi="Arial"/>
                <w:sz w:val="17"/>
                <w:szCs w:val="17"/>
                <w:color w:val="auto"/>
              </w:rPr>
              <w:t>Executive</w:t>
            </w:r>
          </w:p>
        </w:tc>
        <w:tc>
          <w:tcPr>
            <w:tcW w:w="460" w:type="dxa"/>
            <w:vAlign w:val="bottom"/>
            <w:shd w:val="clear" w:color="auto" w:fill="DBE5F1"/>
          </w:tcPr>
          <w:p>
            <w:pPr>
              <w:jc w:val="right"/>
              <w:ind w:right="15"/>
              <w:spacing w:after="0" w:line="189" w:lineRule="exact"/>
              <w:rPr>
                <w:sz w:val="20"/>
                <w:szCs w:val="20"/>
                <w:color w:val="auto"/>
              </w:rPr>
            </w:pPr>
            <w:r>
              <w:rPr>
                <w:rFonts w:ascii="Arial" w:cs="Arial" w:eastAsia="Arial" w:hAnsi="Arial"/>
                <w:sz w:val="17"/>
                <w:szCs w:val="17"/>
                <w:color w:val="auto"/>
              </w:rPr>
              <w:t>Vice</w:t>
            </w:r>
          </w:p>
        </w:tc>
        <w:tc>
          <w:tcPr>
            <w:tcW w:w="320" w:type="dxa"/>
            <w:vAlign w:val="bottom"/>
            <w:shd w:val="clear" w:color="auto" w:fill="F2F2F2"/>
          </w:tcPr>
          <w:p>
            <w:pPr>
              <w:spacing w:after="0"/>
              <w:rPr>
                <w:sz w:val="16"/>
                <w:szCs w:val="16"/>
                <w:color w:val="auto"/>
              </w:rPr>
            </w:pPr>
          </w:p>
        </w:tc>
        <w:tc>
          <w:tcPr>
            <w:tcW w:w="1920" w:type="dxa"/>
            <w:vAlign w:val="bottom"/>
            <w:shd w:val="clear" w:color="auto" w:fill="F2F2F2"/>
          </w:tcPr>
          <w:p>
            <w:pPr>
              <w:spacing w:after="0"/>
              <w:rPr>
                <w:sz w:val="16"/>
                <w:szCs w:val="16"/>
                <w:color w:val="auto"/>
              </w:rPr>
            </w:pPr>
          </w:p>
        </w:tc>
        <w:tc>
          <w:tcPr>
            <w:tcW w:w="4940" w:type="dxa"/>
            <w:vAlign w:val="bottom"/>
            <w:shd w:val="clear" w:color="auto" w:fill="F2F2F2"/>
          </w:tcPr>
          <w:p>
            <w:pPr>
              <w:ind w:left="180"/>
              <w:spacing w:after="0"/>
              <w:rPr>
                <w:sz w:val="20"/>
                <w:szCs w:val="20"/>
                <w:color w:val="auto"/>
              </w:rPr>
            </w:pPr>
            <w:r>
              <w:rPr>
                <w:rFonts w:ascii="Arial" w:cs="Arial" w:eastAsia="Arial" w:hAnsi="Arial"/>
                <w:sz w:val="16"/>
                <w:szCs w:val="16"/>
                <w:color w:val="auto"/>
              </w:rPr>
              <w:t>Executive Vice President, Chief Operating and Financial Officer</w:t>
            </w:r>
          </w:p>
        </w:tc>
        <w:tc>
          <w:tcPr>
            <w:tcW w:w="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40" w:type="dxa"/>
            <w:vAlign w:val="bottom"/>
            <w:shd w:val="clear" w:color="auto" w:fill="DBE5F1"/>
          </w:tcPr>
          <w:p>
            <w:pPr>
              <w:ind w:left="120"/>
              <w:spacing w:after="0" w:line="189" w:lineRule="exact"/>
              <w:rPr>
                <w:sz w:val="20"/>
                <w:szCs w:val="20"/>
                <w:color w:val="auto"/>
              </w:rPr>
            </w:pPr>
            <w:r>
              <w:rPr>
                <w:rFonts w:ascii="Arial" w:cs="Arial" w:eastAsia="Arial" w:hAnsi="Arial"/>
                <w:sz w:val="17"/>
                <w:szCs w:val="17"/>
                <w:color w:val="auto"/>
              </w:rPr>
              <w:t>President,</w:t>
            </w:r>
          </w:p>
        </w:tc>
        <w:tc>
          <w:tcPr>
            <w:tcW w:w="1320" w:type="dxa"/>
            <w:vAlign w:val="bottom"/>
            <w:gridSpan w:val="2"/>
            <w:shd w:val="clear" w:color="auto" w:fill="DBE5F1"/>
          </w:tcPr>
          <w:p>
            <w:pPr>
              <w:ind w:left="40"/>
              <w:spacing w:after="0" w:line="189" w:lineRule="exact"/>
              <w:rPr>
                <w:sz w:val="20"/>
                <w:szCs w:val="20"/>
                <w:color w:val="auto"/>
              </w:rPr>
            </w:pPr>
            <w:r>
              <w:rPr>
                <w:rFonts w:ascii="Arial" w:cs="Arial" w:eastAsia="Arial" w:hAnsi="Arial"/>
                <w:sz w:val="17"/>
                <w:szCs w:val="17"/>
                <w:color w:val="auto"/>
              </w:rPr>
              <w:t>Chief Operating</w:t>
            </w:r>
          </w:p>
        </w:tc>
        <w:tc>
          <w:tcPr>
            <w:tcW w:w="460" w:type="dxa"/>
            <w:vAlign w:val="bottom"/>
            <w:shd w:val="clear" w:color="auto" w:fill="DBE5F1"/>
          </w:tcPr>
          <w:p>
            <w:pPr>
              <w:jc w:val="right"/>
              <w:ind w:right="15"/>
              <w:spacing w:after="0" w:line="189" w:lineRule="exact"/>
              <w:rPr>
                <w:sz w:val="20"/>
                <w:szCs w:val="20"/>
                <w:color w:val="auto"/>
              </w:rPr>
            </w:pPr>
            <w:r>
              <w:rPr>
                <w:rFonts w:ascii="Arial" w:cs="Arial" w:eastAsia="Arial" w:hAnsi="Arial"/>
                <w:sz w:val="17"/>
                <w:szCs w:val="17"/>
                <w:color w:val="auto"/>
              </w:rPr>
              <w:t>and</w:t>
            </w:r>
          </w:p>
        </w:tc>
        <w:tc>
          <w:tcPr>
            <w:tcW w:w="2240" w:type="dxa"/>
            <w:vAlign w:val="bottom"/>
            <w:gridSpan w:val="2"/>
            <w:shd w:val="clear" w:color="auto" w:fill="F2F2F2"/>
          </w:tcPr>
          <w:p>
            <w:pPr>
              <w:ind w:left="100"/>
              <w:spacing w:after="0"/>
              <w:rPr>
                <w:sz w:val="20"/>
                <w:szCs w:val="20"/>
                <w:color w:val="auto"/>
              </w:rPr>
            </w:pPr>
            <w:r>
              <w:rPr>
                <w:rFonts w:ascii="Arial" w:cs="Arial" w:eastAsia="Arial" w:hAnsi="Arial"/>
                <w:sz w:val="16"/>
                <w:szCs w:val="16"/>
                <w:b w:val="1"/>
                <w:bCs w:val="1"/>
                <w:color w:val="auto"/>
              </w:rPr>
              <w:t>Director since: 2023</w:t>
            </w:r>
          </w:p>
        </w:tc>
        <w:tc>
          <w:tcPr>
            <w:tcW w:w="4940" w:type="dxa"/>
            <w:vAlign w:val="bottom"/>
            <w:shd w:val="clear" w:color="auto" w:fill="F2F2F2"/>
          </w:tcPr>
          <w:p>
            <w:pPr>
              <w:ind w:left="180"/>
              <w:spacing w:after="0"/>
              <w:rPr>
                <w:sz w:val="20"/>
                <w:szCs w:val="20"/>
                <w:color w:val="auto"/>
              </w:rPr>
            </w:pPr>
            <w:r>
              <w:rPr>
                <w:rFonts w:ascii="Arial" w:cs="Arial" w:eastAsia="Arial" w:hAnsi="Arial"/>
                <w:sz w:val="16"/>
                <w:szCs w:val="16"/>
                <w:color w:val="auto"/>
              </w:rPr>
              <w:t>of PVH Corp. from May 2006 to October 2021 where he oversaw</w:t>
            </w:r>
          </w:p>
        </w:tc>
        <w:tc>
          <w:tcPr>
            <w:tcW w:w="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60" w:type="dxa"/>
            <w:vAlign w:val="bottom"/>
            <w:gridSpan w:val="3"/>
            <w:shd w:val="clear" w:color="auto" w:fill="DBE5F1"/>
          </w:tcPr>
          <w:p>
            <w:pPr>
              <w:ind w:left="120"/>
              <w:spacing w:after="0" w:line="189" w:lineRule="exact"/>
              <w:rPr>
                <w:sz w:val="20"/>
                <w:szCs w:val="20"/>
                <w:color w:val="auto"/>
              </w:rPr>
            </w:pPr>
            <w:r>
              <w:rPr>
                <w:rFonts w:ascii="Arial" w:cs="Arial" w:eastAsia="Arial" w:hAnsi="Arial"/>
                <w:sz w:val="17"/>
                <w:szCs w:val="17"/>
                <w:color w:val="auto"/>
                <w:w w:val="99"/>
              </w:rPr>
              <w:t>Financial Officer, PVH Corp.</w:t>
            </w:r>
          </w:p>
        </w:tc>
        <w:tc>
          <w:tcPr>
            <w:tcW w:w="460" w:type="dxa"/>
            <w:vAlign w:val="bottom"/>
            <w:shd w:val="clear" w:color="auto" w:fill="DBE5F1"/>
          </w:tcPr>
          <w:p>
            <w:pPr>
              <w:spacing w:after="0"/>
              <w:rPr>
                <w:sz w:val="16"/>
                <w:szCs w:val="16"/>
                <w:color w:val="auto"/>
              </w:rPr>
            </w:pPr>
          </w:p>
        </w:tc>
        <w:tc>
          <w:tcPr>
            <w:tcW w:w="2240" w:type="dxa"/>
            <w:vAlign w:val="bottom"/>
            <w:gridSpan w:val="2"/>
            <w:vMerge w:val="restart"/>
            <w:shd w:val="clear" w:color="auto" w:fill="F2F2F2"/>
          </w:tcPr>
          <w:p>
            <w:pPr>
              <w:ind w:left="100"/>
              <w:spacing w:after="0"/>
              <w:rPr>
                <w:sz w:val="20"/>
                <w:szCs w:val="20"/>
                <w:color w:val="auto"/>
              </w:rPr>
            </w:pPr>
            <w:r>
              <w:rPr>
                <w:rFonts w:ascii="Arial" w:cs="Arial" w:eastAsia="Arial" w:hAnsi="Arial"/>
                <w:sz w:val="16"/>
                <w:szCs w:val="16"/>
                <w:b w:val="1"/>
                <w:bCs w:val="1"/>
                <w:color w:val="auto"/>
              </w:rPr>
              <w:t>Committees:</w:t>
            </w:r>
          </w:p>
        </w:tc>
        <w:tc>
          <w:tcPr>
            <w:tcW w:w="4940" w:type="dxa"/>
            <w:vAlign w:val="bottom"/>
            <w:shd w:val="clear" w:color="auto" w:fill="F2F2F2"/>
          </w:tcPr>
          <w:p>
            <w:pPr>
              <w:ind w:left="180"/>
              <w:spacing w:after="0"/>
              <w:rPr>
                <w:sz w:val="20"/>
                <w:szCs w:val="20"/>
                <w:color w:val="auto"/>
              </w:rPr>
            </w:pPr>
            <w:r>
              <w:rPr>
                <w:rFonts w:ascii="Arial" w:cs="Arial" w:eastAsia="Arial" w:hAnsi="Arial"/>
                <w:sz w:val="16"/>
                <w:szCs w:val="16"/>
                <w:color w:val="auto"/>
              </w:rPr>
              <w:t>the  retail  division,  treasury,  corporate  finance,  information</w:t>
            </w:r>
          </w:p>
        </w:tc>
        <w:tc>
          <w:tcPr>
            <w:tcW w:w="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940" w:type="dxa"/>
            <w:vAlign w:val="bottom"/>
            <w:shd w:val="clear" w:color="auto" w:fill="DBE5F1"/>
          </w:tcPr>
          <w:p>
            <w:pPr>
              <w:spacing w:after="0"/>
              <w:rPr>
                <w:sz w:val="16"/>
                <w:szCs w:val="16"/>
                <w:color w:val="auto"/>
              </w:rPr>
            </w:pPr>
          </w:p>
        </w:tc>
        <w:tc>
          <w:tcPr>
            <w:tcW w:w="880" w:type="dxa"/>
            <w:vAlign w:val="bottom"/>
            <w:shd w:val="clear" w:color="auto" w:fill="DBE5F1"/>
          </w:tcPr>
          <w:p>
            <w:pPr>
              <w:spacing w:after="0"/>
              <w:rPr>
                <w:sz w:val="16"/>
                <w:szCs w:val="16"/>
                <w:color w:val="auto"/>
              </w:rPr>
            </w:pPr>
          </w:p>
        </w:tc>
        <w:tc>
          <w:tcPr>
            <w:tcW w:w="440" w:type="dxa"/>
            <w:vAlign w:val="bottom"/>
            <w:shd w:val="clear" w:color="auto" w:fill="DBE5F1"/>
          </w:tcPr>
          <w:p>
            <w:pPr>
              <w:spacing w:after="0"/>
              <w:rPr>
                <w:sz w:val="16"/>
                <w:szCs w:val="16"/>
                <w:color w:val="auto"/>
              </w:rPr>
            </w:pPr>
          </w:p>
        </w:tc>
        <w:tc>
          <w:tcPr>
            <w:tcW w:w="460" w:type="dxa"/>
            <w:vAlign w:val="bottom"/>
            <w:shd w:val="clear" w:color="auto" w:fill="DBE5F1"/>
          </w:tcPr>
          <w:p>
            <w:pPr>
              <w:spacing w:after="0"/>
              <w:rPr>
                <w:sz w:val="16"/>
                <w:szCs w:val="16"/>
                <w:color w:val="auto"/>
              </w:rPr>
            </w:pPr>
          </w:p>
        </w:tc>
        <w:tc>
          <w:tcPr>
            <w:tcW w:w="2240" w:type="dxa"/>
            <w:vAlign w:val="bottom"/>
            <w:gridSpan w:val="2"/>
            <w:vMerge w:val="continue"/>
            <w:shd w:val="clear" w:color="auto" w:fill="F2F2F2"/>
          </w:tcPr>
          <w:p>
            <w:pPr>
              <w:spacing w:after="0"/>
              <w:rPr>
                <w:sz w:val="16"/>
                <w:szCs w:val="16"/>
                <w:color w:val="auto"/>
              </w:rPr>
            </w:pPr>
          </w:p>
        </w:tc>
        <w:tc>
          <w:tcPr>
            <w:tcW w:w="4940" w:type="dxa"/>
            <w:vAlign w:val="bottom"/>
            <w:shd w:val="clear" w:color="auto" w:fill="F2F2F2"/>
          </w:tcPr>
          <w:p>
            <w:pPr>
              <w:ind w:left="180"/>
              <w:spacing w:after="0"/>
              <w:rPr>
                <w:sz w:val="20"/>
                <w:szCs w:val="20"/>
                <w:color w:val="auto"/>
              </w:rPr>
            </w:pPr>
            <w:r>
              <w:rPr>
                <w:rFonts w:ascii="Arial" w:cs="Arial" w:eastAsia="Arial" w:hAnsi="Arial"/>
                <w:sz w:val="16"/>
                <w:szCs w:val="16"/>
                <w:color w:val="auto"/>
              </w:rPr>
              <w:t>technology and logistics services. Michael Shaffer joined PVH</w:t>
            </w:r>
          </w:p>
        </w:tc>
        <w:tc>
          <w:tcPr>
            <w:tcW w:w="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820" w:type="dxa"/>
            <w:vAlign w:val="bottom"/>
            <w:gridSpan w:val="2"/>
            <w:shd w:val="clear" w:color="auto" w:fill="DBE5F1"/>
          </w:tcPr>
          <w:p>
            <w:pPr>
              <w:ind w:left="400"/>
              <w:spacing w:after="0"/>
              <w:rPr>
                <w:sz w:val="20"/>
                <w:szCs w:val="20"/>
                <w:color w:val="auto"/>
              </w:rPr>
            </w:pPr>
            <w:r>
              <w:rPr>
                <w:rFonts w:ascii="Arial" w:cs="Arial" w:eastAsia="Arial" w:hAnsi="Arial"/>
                <w:sz w:val="16"/>
                <w:szCs w:val="16"/>
                <w:color w:val="auto"/>
              </w:rPr>
              <w:t>Independent</w:t>
            </w:r>
          </w:p>
        </w:tc>
        <w:tc>
          <w:tcPr>
            <w:tcW w:w="440" w:type="dxa"/>
            <w:vAlign w:val="bottom"/>
            <w:shd w:val="clear" w:color="auto" w:fill="DBE5F1"/>
          </w:tcPr>
          <w:p>
            <w:pPr>
              <w:spacing w:after="0"/>
              <w:rPr>
                <w:sz w:val="17"/>
                <w:szCs w:val="17"/>
                <w:color w:val="auto"/>
              </w:rPr>
            </w:pPr>
          </w:p>
        </w:tc>
        <w:tc>
          <w:tcPr>
            <w:tcW w:w="460" w:type="dxa"/>
            <w:vAlign w:val="bottom"/>
            <w:shd w:val="clear" w:color="auto" w:fill="DBE5F1"/>
          </w:tcPr>
          <w:p>
            <w:pPr>
              <w:spacing w:after="0"/>
              <w:rPr>
                <w:sz w:val="17"/>
                <w:szCs w:val="17"/>
                <w:color w:val="auto"/>
              </w:rPr>
            </w:pPr>
          </w:p>
        </w:tc>
        <w:tc>
          <w:tcPr>
            <w:tcW w:w="320" w:type="dxa"/>
            <w:vAlign w:val="bottom"/>
            <w:vMerge w:val="restart"/>
            <w:shd w:val="clear" w:color="auto" w:fill="F2F2F2"/>
          </w:tcPr>
          <w:p>
            <w:pPr>
              <w:ind w:left="160"/>
              <w:spacing w:after="0"/>
              <w:rPr>
                <w:sz w:val="20"/>
                <w:szCs w:val="20"/>
                <w:color w:val="auto"/>
              </w:rPr>
            </w:pPr>
            <w:r>
              <w:rPr>
                <w:rFonts w:ascii="Arial" w:cs="Arial" w:eastAsia="Arial" w:hAnsi="Arial"/>
                <w:sz w:val="22"/>
                <w:szCs w:val="22"/>
                <w:b w:val="1"/>
                <w:bCs w:val="1"/>
                <w:color w:val="4A7EBB"/>
              </w:rPr>
              <w:t>•</w:t>
            </w:r>
          </w:p>
        </w:tc>
        <w:tc>
          <w:tcPr>
            <w:tcW w:w="1920" w:type="dxa"/>
            <w:vAlign w:val="bottom"/>
            <w:vMerge w:val="restart"/>
            <w:shd w:val="clear" w:color="auto" w:fill="F2F2F2"/>
          </w:tcPr>
          <w:p>
            <w:pPr>
              <w:ind w:left="80"/>
              <w:spacing w:after="0"/>
              <w:rPr>
                <w:sz w:val="20"/>
                <w:szCs w:val="20"/>
                <w:color w:val="auto"/>
              </w:rPr>
            </w:pPr>
            <w:r>
              <w:rPr>
                <w:rFonts w:ascii="Arial" w:cs="Arial" w:eastAsia="Arial" w:hAnsi="Arial"/>
                <w:sz w:val="16"/>
                <w:szCs w:val="16"/>
                <w:color w:val="auto"/>
              </w:rPr>
              <w:t>Audit</w:t>
            </w:r>
          </w:p>
        </w:tc>
        <w:tc>
          <w:tcPr>
            <w:tcW w:w="4940" w:type="dxa"/>
            <w:vAlign w:val="bottom"/>
            <w:shd w:val="clear" w:color="auto" w:fill="F2F2F2"/>
          </w:tcPr>
          <w:p>
            <w:pPr>
              <w:ind w:left="180"/>
              <w:spacing w:after="0"/>
              <w:rPr>
                <w:sz w:val="20"/>
                <w:szCs w:val="20"/>
                <w:color w:val="auto"/>
              </w:rPr>
            </w:pPr>
            <w:r>
              <w:rPr>
                <w:rFonts w:ascii="Arial" w:cs="Arial" w:eastAsia="Arial" w:hAnsi="Arial"/>
                <w:sz w:val="16"/>
                <w:szCs w:val="16"/>
                <w:color w:val="auto"/>
              </w:rPr>
              <w:t>Corp. in 1990 and held numerous positions in its wholesale and</w:t>
            </w: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940" w:type="dxa"/>
            <w:vAlign w:val="bottom"/>
            <w:shd w:val="clear" w:color="auto" w:fill="DBE5F1"/>
          </w:tcPr>
          <w:p>
            <w:pPr>
              <w:spacing w:after="0"/>
              <w:rPr>
                <w:sz w:val="15"/>
                <w:szCs w:val="15"/>
                <w:color w:val="auto"/>
              </w:rPr>
            </w:pPr>
          </w:p>
        </w:tc>
        <w:tc>
          <w:tcPr>
            <w:tcW w:w="880" w:type="dxa"/>
            <w:vAlign w:val="bottom"/>
            <w:shd w:val="clear" w:color="auto" w:fill="DBE5F1"/>
          </w:tcPr>
          <w:p>
            <w:pPr>
              <w:spacing w:after="0"/>
              <w:rPr>
                <w:sz w:val="15"/>
                <w:szCs w:val="15"/>
                <w:color w:val="auto"/>
              </w:rPr>
            </w:pPr>
          </w:p>
        </w:tc>
        <w:tc>
          <w:tcPr>
            <w:tcW w:w="440" w:type="dxa"/>
            <w:vAlign w:val="bottom"/>
            <w:shd w:val="clear" w:color="auto" w:fill="DBE5F1"/>
          </w:tcPr>
          <w:p>
            <w:pPr>
              <w:spacing w:after="0"/>
              <w:rPr>
                <w:sz w:val="15"/>
                <w:szCs w:val="15"/>
                <w:color w:val="auto"/>
              </w:rPr>
            </w:pPr>
          </w:p>
        </w:tc>
        <w:tc>
          <w:tcPr>
            <w:tcW w:w="460" w:type="dxa"/>
            <w:vAlign w:val="bottom"/>
            <w:shd w:val="clear" w:color="auto" w:fill="DBE5F1"/>
          </w:tcPr>
          <w:p>
            <w:pPr>
              <w:spacing w:after="0"/>
              <w:rPr>
                <w:sz w:val="15"/>
                <w:szCs w:val="15"/>
                <w:color w:val="auto"/>
              </w:rPr>
            </w:pPr>
          </w:p>
        </w:tc>
        <w:tc>
          <w:tcPr>
            <w:tcW w:w="320" w:type="dxa"/>
            <w:vAlign w:val="bottom"/>
            <w:vMerge w:val="continue"/>
            <w:shd w:val="clear" w:color="auto" w:fill="F2F2F2"/>
          </w:tcPr>
          <w:p>
            <w:pPr>
              <w:spacing w:after="0"/>
              <w:rPr>
                <w:sz w:val="15"/>
                <w:szCs w:val="15"/>
                <w:color w:val="auto"/>
              </w:rPr>
            </w:pPr>
          </w:p>
        </w:tc>
        <w:tc>
          <w:tcPr>
            <w:tcW w:w="1920" w:type="dxa"/>
            <w:vAlign w:val="bottom"/>
            <w:vMerge w:val="continue"/>
            <w:shd w:val="clear" w:color="auto" w:fill="F2F2F2"/>
          </w:tcPr>
          <w:p>
            <w:pPr>
              <w:spacing w:after="0"/>
              <w:rPr>
                <w:sz w:val="15"/>
                <w:szCs w:val="15"/>
                <w:color w:val="auto"/>
              </w:rPr>
            </w:pPr>
          </w:p>
        </w:tc>
        <w:tc>
          <w:tcPr>
            <w:tcW w:w="4940" w:type="dxa"/>
            <w:vAlign w:val="bottom"/>
            <w:shd w:val="clear" w:color="auto" w:fill="F2F2F2"/>
          </w:tcPr>
          <w:p>
            <w:pPr>
              <w:ind w:left="180"/>
              <w:spacing w:after="0" w:line="175" w:lineRule="exact"/>
              <w:rPr>
                <w:sz w:val="20"/>
                <w:szCs w:val="20"/>
                <w:color w:val="auto"/>
              </w:rPr>
            </w:pPr>
            <w:r>
              <w:rPr>
                <w:rFonts w:ascii="Arial" w:cs="Arial" w:eastAsia="Arial" w:hAnsi="Arial"/>
                <w:sz w:val="16"/>
                <w:szCs w:val="16"/>
                <w:color w:val="auto"/>
              </w:rPr>
              <w:t>retail divisions. Prior to joining PVH Corp., Michael Shaffer</w:t>
            </w: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40" w:type="dxa"/>
            <w:vAlign w:val="bottom"/>
            <w:shd w:val="clear" w:color="auto" w:fill="DBE5F1"/>
          </w:tcPr>
          <w:p>
            <w:pPr>
              <w:spacing w:after="0"/>
              <w:rPr>
                <w:sz w:val="16"/>
                <w:szCs w:val="16"/>
                <w:color w:val="auto"/>
              </w:rPr>
            </w:pPr>
          </w:p>
        </w:tc>
        <w:tc>
          <w:tcPr>
            <w:tcW w:w="880" w:type="dxa"/>
            <w:vAlign w:val="bottom"/>
            <w:shd w:val="clear" w:color="auto" w:fill="DBE5F1"/>
          </w:tcPr>
          <w:p>
            <w:pPr>
              <w:spacing w:after="0"/>
              <w:rPr>
                <w:sz w:val="16"/>
                <w:szCs w:val="16"/>
                <w:color w:val="auto"/>
              </w:rPr>
            </w:pPr>
          </w:p>
        </w:tc>
        <w:tc>
          <w:tcPr>
            <w:tcW w:w="440" w:type="dxa"/>
            <w:vAlign w:val="bottom"/>
            <w:shd w:val="clear" w:color="auto" w:fill="DBE5F1"/>
          </w:tcPr>
          <w:p>
            <w:pPr>
              <w:spacing w:after="0"/>
              <w:rPr>
                <w:sz w:val="16"/>
                <w:szCs w:val="16"/>
                <w:color w:val="auto"/>
              </w:rPr>
            </w:pPr>
          </w:p>
        </w:tc>
        <w:tc>
          <w:tcPr>
            <w:tcW w:w="460" w:type="dxa"/>
            <w:vAlign w:val="bottom"/>
            <w:shd w:val="clear" w:color="auto" w:fill="DBE5F1"/>
          </w:tcPr>
          <w:p>
            <w:pPr>
              <w:spacing w:after="0"/>
              <w:rPr>
                <w:sz w:val="16"/>
                <w:szCs w:val="16"/>
                <w:color w:val="auto"/>
              </w:rPr>
            </w:pPr>
          </w:p>
        </w:tc>
        <w:tc>
          <w:tcPr>
            <w:tcW w:w="320" w:type="dxa"/>
            <w:vAlign w:val="bottom"/>
            <w:shd w:val="clear" w:color="auto" w:fill="F2F2F2"/>
          </w:tcPr>
          <w:p>
            <w:pPr>
              <w:spacing w:after="0"/>
              <w:rPr>
                <w:sz w:val="16"/>
                <w:szCs w:val="16"/>
                <w:color w:val="auto"/>
              </w:rPr>
            </w:pPr>
          </w:p>
        </w:tc>
        <w:tc>
          <w:tcPr>
            <w:tcW w:w="1920" w:type="dxa"/>
            <w:vAlign w:val="bottom"/>
            <w:vMerge w:val="restart"/>
            <w:shd w:val="clear" w:color="auto" w:fill="F2F2F2"/>
          </w:tcPr>
          <w:p>
            <w:pPr>
              <w:ind w:left="80"/>
              <w:spacing w:after="0"/>
              <w:rPr>
                <w:sz w:val="20"/>
                <w:szCs w:val="20"/>
                <w:color w:val="auto"/>
              </w:rPr>
            </w:pPr>
            <w:r>
              <w:rPr>
                <w:rFonts w:ascii="Arial" w:cs="Arial" w:eastAsia="Arial" w:hAnsi="Arial"/>
                <w:sz w:val="16"/>
                <w:szCs w:val="16"/>
                <w:color w:val="auto"/>
              </w:rPr>
              <w:t>Financial Expert</w:t>
            </w:r>
          </w:p>
        </w:tc>
        <w:tc>
          <w:tcPr>
            <w:tcW w:w="4940" w:type="dxa"/>
            <w:vAlign w:val="bottom"/>
            <w:shd w:val="clear" w:color="auto" w:fill="F2F2F2"/>
          </w:tcPr>
          <w:p>
            <w:pPr>
              <w:ind w:left="180"/>
              <w:spacing w:after="0"/>
              <w:rPr>
                <w:sz w:val="20"/>
                <w:szCs w:val="20"/>
                <w:color w:val="auto"/>
              </w:rPr>
            </w:pPr>
            <w:r>
              <w:rPr>
                <w:rFonts w:ascii="Arial" w:cs="Arial" w:eastAsia="Arial" w:hAnsi="Arial"/>
                <w:sz w:val="16"/>
                <w:szCs w:val="16"/>
                <w:color w:val="auto"/>
              </w:rPr>
              <w:t>served as a Senior Auditor at Deloitte &amp; Touche LLP. He has</w:t>
            </w:r>
          </w:p>
        </w:tc>
        <w:tc>
          <w:tcPr>
            <w:tcW w:w="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40" w:type="dxa"/>
            <w:vAlign w:val="bottom"/>
            <w:shd w:val="clear" w:color="auto" w:fill="DBE5F1"/>
          </w:tcPr>
          <w:p>
            <w:pPr>
              <w:spacing w:after="0"/>
              <w:rPr>
                <w:sz w:val="16"/>
                <w:szCs w:val="16"/>
                <w:color w:val="auto"/>
              </w:rPr>
            </w:pPr>
          </w:p>
        </w:tc>
        <w:tc>
          <w:tcPr>
            <w:tcW w:w="880" w:type="dxa"/>
            <w:vAlign w:val="bottom"/>
            <w:shd w:val="clear" w:color="auto" w:fill="DBE5F1"/>
          </w:tcPr>
          <w:p>
            <w:pPr>
              <w:spacing w:after="0"/>
              <w:rPr>
                <w:sz w:val="16"/>
                <w:szCs w:val="16"/>
                <w:color w:val="auto"/>
              </w:rPr>
            </w:pPr>
          </w:p>
        </w:tc>
        <w:tc>
          <w:tcPr>
            <w:tcW w:w="440" w:type="dxa"/>
            <w:vAlign w:val="bottom"/>
            <w:shd w:val="clear" w:color="auto" w:fill="DBE5F1"/>
          </w:tcPr>
          <w:p>
            <w:pPr>
              <w:spacing w:after="0"/>
              <w:rPr>
                <w:sz w:val="16"/>
                <w:szCs w:val="16"/>
                <w:color w:val="auto"/>
              </w:rPr>
            </w:pPr>
          </w:p>
        </w:tc>
        <w:tc>
          <w:tcPr>
            <w:tcW w:w="460" w:type="dxa"/>
            <w:vAlign w:val="bottom"/>
            <w:shd w:val="clear" w:color="auto" w:fill="DBE5F1"/>
          </w:tcPr>
          <w:p>
            <w:pPr>
              <w:spacing w:after="0"/>
              <w:rPr>
                <w:sz w:val="16"/>
                <w:szCs w:val="16"/>
                <w:color w:val="auto"/>
              </w:rPr>
            </w:pPr>
          </w:p>
        </w:tc>
        <w:tc>
          <w:tcPr>
            <w:tcW w:w="320" w:type="dxa"/>
            <w:vAlign w:val="bottom"/>
            <w:shd w:val="clear" w:color="auto" w:fill="F2F2F2"/>
          </w:tcPr>
          <w:p>
            <w:pPr>
              <w:spacing w:after="0"/>
              <w:rPr>
                <w:sz w:val="16"/>
                <w:szCs w:val="16"/>
                <w:color w:val="auto"/>
              </w:rPr>
            </w:pPr>
          </w:p>
        </w:tc>
        <w:tc>
          <w:tcPr>
            <w:tcW w:w="1920" w:type="dxa"/>
            <w:vAlign w:val="bottom"/>
            <w:vMerge w:val="continue"/>
            <w:shd w:val="clear" w:color="auto" w:fill="F2F2F2"/>
          </w:tcPr>
          <w:p>
            <w:pPr>
              <w:spacing w:after="0"/>
              <w:rPr>
                <w:sz w:val="16"/>
                <w:szCs w:val="16"/>
                <w:color w:val="auto"/>
              </w:rPr>
            </w:pPr>
          </w:p>
        </w:tc>
        <w:tc>
          <w:tcPr>
            <w:tcW w:w="4940" w:type="dxa"/>
            <w:vAlign w:val="bottom"/>
            <w:shd w:val="clear" w:color="auto" w:fill="F2F2F2"/>
          </w:tcPr>
          <w:p>
            <w:pPr>
              <w:ind w:left="180"/>
              <w:spacing w:after="0"/>
              <w:rPr>
                <w:sz w:val="20"/>
                <w:szCs w:val="20"/>
                <w:color w:val="auto"/>
              </w:rPr>
            </w:pPr>
            <w:r>
              <w:rPr>
                <w:rFonts w:ascii="Arial" w:cs="Arial" w:eastAsia="Arial" w:hAnsi="Arial"/>
                <w:sz w:val="16"/>
                <w:szCs w:val="16"/>
                <w:color w:val="auto"/>
              </w:rPr>
              <w:t>more  than  30  years  of  diverse  financial  management  and</w:t>
            </w:r>
          </w:p>
        </w:tc>
        <w:tc>
          <w:tcPr>
            <w:tcW w:w="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40" w:type="dxa"/>
            <w:vAlign w:val="bottom"/>
            <w:shd w:val="clear" w:color="auto" w:fill="DBE5F1"/>
          </w:tcPr>
          <w:p>
            <w:pPr>
              <w:spacing w:after="0"/>
              <w:rPr>
                <w:sz w:val="16"/>
                <w:szCs w:val="16"/>
                <w:color w:val="auto"/>
              </w:rPr>
            </w:pPr>
          </w:p>
        </w:tc>
        <w:tc>
          <w:tcPr>
            <w:tcW w:w="880" w:type="dxa"/>
            <w:vAlign w:val="bottom"/>
            <w:shd w:val="clear" w:color="auto" w:fill="DBE5F1"/>
          </w:tcPr>
          <w:p>
            <w:pPr>
              <w:spacing w:after="0"/>
              <w:rPr>
                <w:sz w:val="16"/>
                <w:szCs w:val="16"/>
                <w:color w:val="auto"/>
              </w:rPr>
            </w:pPr>
          </w:p>
        </w:tc>
        <w:tc>
          <w:tcPr>
            <w:tcW w:w="440" w:type="dxa"/>
            <w:vAlign w:val="bottom"/>
            <w:shd w:val="clear" w:color="auto" w:fill="DBE5F1"/>
          </w:tcPr>
          <w:p>
            <w:pPr>
              <w:spacing w:after="0"/>
              <w:rPr>
                <w:sz w:val="16"/>
                <w:szCs w:val="16"/>
                <w:color w:val="auto"/>
              </w:rPr>
            </w:pPr>
          </w:p>
        </w:tc>
        <w:tc>
          <w:tcPr>
            <w:tcW w:w="460" w:type="dxa"/>
            <w:vAlign w:val="bottom"/>
            <w:shd w:val="clear" w:color="auto" w:fill="DBE5F1"/>
          </w:tcPr>
          <w:p>
            <w:pPr>
              <w:spacing w:after="0"/>
              <w:rPr>
                <w:sz w:val="16"/>
                <w:szCs w:val="16"/>
                <w:color w:val="auto"/>
              </w:rPr>
            </w:pPr>
          </w:p>
        </w:tc>
        <w:tc>
          <w:tcPr>
            <w:tcW w:w="2240" w:type="dxa"/>
            <w:vAlign w:val="bottom"/>
            <w:gridSpan w:val="2"/>
            <w:vMerge w:val="restart"/>
            <w:shd w:val="clear" w:color="auto" w:fill="F2F2F2"/>
          </w:tcPr>
          <w:p>
            <w:pPr>
              <w:ind w:left="100"/>
              <w:spacing w:after="0"/>
              <w:rPr>
                <w:sz w:val="20"/>
                <w:szCs w:val="20"/>
                <w:color w:val="auto"/>
              </w:rPr>
            </w:pPr>
            <w:r>
              <w:rPr>
                <w:rFonts w:ascii="Arial" w:cs="Arial" w:eastAsia="Arial" w:hAnsi="Arial"/>
                <w:sz w:val="16"/>
                <w:szCs w:val="16"/>
                <w:b w:val="1"/>
                <w:bCs w:val="1"/>
                <w:color w:val="auto"/>
              </w:rPr>
              <w:t>Other Current Public</w:t>
            </w:r>
          </w:p>
        </w:tc>
        <w:tc>
          <w:tcPr>
            <w:tcW w:w="4940" w:type="dxa"/>
            <w:vAlign w:val="bottom"/>
            <w:shd w:val="clear" w:color="auto" w:fill="F2F2F2"/>
          </w:tcPr>
          <w:p>
            <w:pPr>
              <w:ind w:left="180"/>
              <w:spacing w:after="0"/>
              <w:rPr>
                <w:sz w:val="20"/>
                <w:szCs w:val="20"/>
                <w:color w:val="auto"/>
              </w:rPr>
            </w:pPr>
            <w:r>
              <w:rPr>
                <w:rFonts w:ascii="Arial" w:cs="Arial" w:eastAsia="Arial" w:hAnsi="Arial"/>
                <w:sz w:val="16"/>
                <w:szCs w:val="16"/>
                <w:color w:val="auto"/>
              </w:rPr>
              <w:t>executive leadership experience in the apparel and financial</w:t>
            </w:r>
          </w:p>
        </w:tc>
        <w:tc>
          <w:tcPr>
            <w:tcW w:w="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940" w:type="dxa"/>
            <w:vAlign w:val="bottom"/>
            <w:shd w:val="clear" w:color="auto" w:fill="DBE5F1"/>
          </w:tcPr>
          <w:p>
            <w:pPr>
              <w:spacing w:after="0"/>
              <w:rPr>
                <w:sz w:val="14"/>
                <w:szCs w:val="14"/>
                <w:color w:val="auto"/>
              </w:rPr>
            </w:pPr>
          </w:p>
        </w:tc>
        <w:tc>
          <w:tcPr>
            <w:tcW w:w="880" w:type="dxa"/>
            <w:vAlign w:val="bottom"/>
            <w:shd w:val="clear" w:color="auto" w:fill="DBE5F1"/>
          </w:tcPr>
          <w:p>
            <w:pPr>
              <w:spacing w:after="0"/>
              <w:rPr>
                <w:sz w:val="14"/>
                <w:szCs w:val="14"/>
                <w:color w:val="auto"/>
              </w:rPr>
            </w:pPr>
          </w:p>
        </w:tc>
        <w:tc>
          <w:tcPr>
            <w:tcW w:w="440" w:type="dxa"/>
            <w:vAlign w:val="bottom"/>
            <w:shd w:val="clear" w:color="auto" w:fill="DBE5F1"/>
          </w:tcPr>
          <w:p>
            <w:pPr>
              <w:spacing w:after="0"/>
              <w:rPr>
                <w:sz w:val="14"/>
                <w:szCs w:val="14"/>
                <w:color w:val="auto"/>
              </w:rPr>
            </w:pPr>
          </w:p>
        </w:tc>
        <w:tc>
          <w:tcPr>
            <w:tcW w:w="460" w:type="dxa"/>
            <w:vAlign w:val="bottom"/>
            <w:shd w:val="clear" w:color="auto" w:fill="DBE5F1"/>
          </w:tcPr>
          <w:p>
            <w:pPr>
              <w:spacing w:after="0"/>
              <w:rPr>
                <w:sz w:val="14"/>
                <w:szCs w:val="14"/>
                <w:color w:val="auto"/>
              </w:rPr>
            </w:pPr>
          </w:p>
        </w:tc>
        <w:tc>
          <w:tcPr>
            <w:tcW w:w="2240" w:type="dxa"/>
            <w:vAlign w:val="bottom"/>
            <w:gridSpan w:val="2"/>
            <w:vMerge w:val="continue"/>
            <w:shd w:val="clear" w:color="auto" w:fill="F2F2F2"/>
          </w:tcPr>
          <w:p>
            <w:pPr>
              <w:spacing w:after="0"/>
              <w:rPr>
                <w:sz w:val="14"/>
                <w:szCs w:val="14"/>
                <w:color w:val="auto"/>
              </w:rPr>
            </w:pPr>
          </w:p>
        </w:tc>
        <w:tc>
          <w:tcPr>
            <w:tcW w:w="4940" w:type="dxa"/>
            <w:vAlign w:val="bottom"/>
            <w:shd w:val="clear" w:color="auto" w:fill="F2F2F2"/>
          </w:tcPr>
          <w:p>
            <w:pPr>
              <w:ind w:left="180"/>
              <w:spacing w:after="0" w:line="163" w:lineRule="exact"/>
              <w:rPr>
                <w:sz w:val="20"/>
                <w:szCs w:val="20"/>
                <w:color w:val="auto"/>
              </w:rPr>
            </w:pPr>
            <w:r>
              <w:rPr>
                <w:rFonts w:ascii="Arial" w:cs="Arial" w:eastAsia="Arial" w:hAnsi="Arial"/>
                <w:sz w:val="16"/>
                <w:szCs w:val="16"/>
                <w:color w:val="auto"/>
              </w:rPr>
              <w:t>industries.  Michael  Shaffer  is  currently  a  director  of  Torrid</w:t>
            </w: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940" w:type="dxa"/>
            <w:vAlign w:val="bottom"/>
            <w:shd w:val="clear" w:color="auto" w:fill="DBE5F1"/>
          </w:tcPr>
          <w:p>
            <w:pPr>
              <w:spacing w:after="0"/>
              <w:rPr>
                <w:sz w:val="16"/>
                <w:szCs w:val="16"/>
                <w:color w:val="auto"/>
              </w:rPr>
            </w:pPr>
          </w:p>
        </w:tc>
        <w:tc>
          <w:tcPr>
            <w:tcW w:w="880" w:type="dxa"/>
            <w:vAlign w:val="bottom"/>
            <w:shd w:val="clear" w:color="auto" w:fill="DBE5F1"/>
          </w:tcPr>
          <w:p>
            <w:pPr>
              <w:spacing w:after="0"/>
              <w:rPr>
                <w:sz w:val="16"/>
                <w:szCs w:val="16"/>
                <w:color w:val="auto"/>
              </w:rPr>
            </w:pPr>
          </w:p>
        </w:tc>
        <w:tc>
          <w:tcPr>
            <w:tcW w:w="440" w:type="dxa"/>
            <w:vAlign w:val="bottom"/>
            <w:shd w:val="clear" w:color="auto" w:fill="DBE5F1"/>
          </w:tcPr>
          <w:p>
            <w:pPr>
              <w:spacing w:after="0"/>
              <w:rPr>
                <w:sz w:val="16"/>
                <w:szCs w:val="16"/>
                <w:color w:val="auto"/>
              </w:rPr>
            </w:pPr>
          </w:p>
        </w:tc>
        <w:tc>
          <w:tcPr>
            <w:tcW w:w="460" w:type="dxa"/>
            <w:vAlign w:val="bottom"/>
            <w:shd w:val="clear" w:color="auto" w:fill="DBE5F1"/>
          </w:tcPr>
          <w:p>
            <w:pPr>
              <w:spacing w:after="0"/>
              <w:rPr>
                <w:sz w:val="16"/>
                <w:szCs w:val="16"/>
                <w:color w:val="auto"/>
              </w:rPr>
            </w:pPr>
          </w:p>
        </w:tc>
        <w:tc>
          <w:tcPr>
            <w:tcW w:w="2240" w:type="dxa"/>
            <w:vAlign w:val="bottom"/>
            <w:gridSpan w:val="2"/>
            <w:shd w:val="clear" w:color="auto" w:fill="F2F2F2"/>
          </w:tcPr>
          <w:p>
            <w:pPr>
              <w:ind w:left="100"/>
              <w:spacing w:after="0"/>
              <w:rPr>
                <w:sz w:val="20"/>
                <w:szCs w:val="20"/>
                <w:color w:val="auto"/>
              </w:rPr>
            </w:pPr>
            <w:r>
              <w:rPr>
                <w:rFonts w:ascii="Arial" w:cs="Arial" w:eastAsia="Arial" w:hAnsi="Arial"/>
                <w:sz w:val="16"/>
                <w:szCs w:val="16"/>
                <w:b w:val="1"/>
                <w:bCs w:val="1"/>
                <w:color w:val="auto"/>
              </w:rPr>
              <w:t>Company Boards:</w:t>
            </w:r>
          </w:p>
        </w:tc>
        <w:tc>
          <w:tcPr>
            <w:tcW w:w="4940" w:type="dxa"/>
            <w:vAlign w:val="bottom"/>
            <w:shd w:val="clear" w:color="auto" w:fill="F2F2F2"/>
          </w:tcPr>
          <w:p>
            <w:pPr>
              <w:ind w:left="180"/>
              <w:spacing w:after="0"/>
              <w:rPr>
                <w:sz w:val="20"/>
                <w:szCs w:val="20"/>
                <w:color w:val="auto"/>
              </w:rPr>
            </w:pPr>
            <w:r>
              <w:rPr>
                <w:rFonts w:ascii="Arial" w:cs="Arial" w:eastAsia="Arial" w:hAnsi="Arial"/>
                <w:sz w:val="16"/>
                <w:szCs w:val="16"/>
                <w:color w:val="auto"/>
              </w:rPr>
              <w:t>Holdings Inc. (NYSE: CURV). Michael Shaffer served on the</w:t>
            </w:r>
          </w:p>
        </w:tc>
        <w:tc>
          <w:tcPr>
            <w:tcW w:w="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940" w:type="dxa"/>
            <w:vAlign w:val="bottom"/>
            <w:shd w:val="clear" w:color="auto" w:fill="DBE5F1"/>
          </w:tcPr>
          <w:p>
            <w:pPr>
              <w:spacing w:after="0"/>
              <w:rPr>
                <w:sz w:val="18"/>
                <w:szCs w:val="18"/>
                <w:color w:val="auto"/>
              </w:rPr>
            </w:pPr>
          </w:p>
        </w:tc>
        <w:tc>
          <w:tcPr>
            <w:tcW w:w="880" w:type="dxa"/>
            <w:vAlign w:val="bottom"/>
            <w:shd w:val="clear" w:color="auto" w:fill="DBE5F1"/>
          </w:tcPr>
          <w:p>
            <w:pPr>
              <w:spacing w:after="0"/>
              <w:rPr>
                <w:sz w:val="18"/>
                <w:szCs w:val="18"/>
                <w:color w:val="auto"/>
              </w:rPr>
            </w:pPr>
          </w:p>
        </w:tc>
        <w:tc>
          <w:tcPr>
            <w:tcW w:w="440" w:type="dxa"/>
            <w:vAlign w:val="bottom"/>
            <w:shd w:val="clear" w:color="auto" w:fill="DBE5F1"/>
          </w:tcPr>
          <w:p>
            <w:pPr>
              <w:spacing w:after="0"/>
              <w:rPr>
                <w:sz w:val="18"/>
                <w:szCs w:val="18"/>
                <w:color w:val="auto"/>
              </w:rPr>
            </w:pPr>
          </w:p>
        </w:tc>
        <w:tc>
          <w:tcPr>
            <w:tcW w:w="460" w:type="dxa"/>
            <w:vAlign w:val="bottom"/>
            <w:shd w:val="clear" w:color="auto" w:fill="DBE5F1"/>
          </w:tcPr>
          <w:p>
            <w:pPr>
              <w:spacing w:after="0"/>
              <w:rPr>
                <w:sz w:val="18"/>
                <w:szCs w:val="18"/>
                <w:color w:val="auto"/>
              </w:rPr>
            </w:pPr>
          </w:p>
        </w:tc>
        <w:tc>
          <w:tcPr>
            <w:tcW w:w="320" w:type="dxa"/>
            <w:vAlign w:val="bottom"/>
            <w:shd w:val="clear" w:color="auto" w:fill="F2F2F2"/>
          </w:tcPr>
          <w:p>
            <w:pPr>
              <w:ind w:left="160"/>
              <w:spacing w:after="0" w:line="216" w:lineRule="exact"/>
              <w:rPr>
                <w:sz w:val="20"/>
                <w:szCs w:val="20"/>
                <w:color w:val="auto"/>
              </w:rPr>
            </w:pPr>
            <w:r>
              <w:rPr>
                <w:rFonts w:ascii="Arial" w:cs="Arial" w:eastAsia="Arial" w:hAnsi="Arial"/>
                <w:sz w:val="22"/>
                <w:szCs w:val="22"/>
                <w:b w:val="1"/>
                <w:bCs w:val="1"/>
                <w:color w:val="4A7EBB"/>
              </w:rPr>
              <w:t>•</w:t>
            </w:r>
          </w:p>
        </w:tc>
        <w:tc>
          <w:tcPr>
            <w:tcW w:w="1920" w:type="dxa"/>
            <w:vAlign w:val="bottom"/>
            <w:shd w:val="clear" w:color="auto" w:fill="F2F2F2"/>
          </w:tcPr>
          <w:p>
            <w:pPr>
              <w:ind w:left="80"/>
              <w:spacing w:after="0"/>
              <w:rPr>
                <w:sz w:val="20"/>
                <w:szCs w:val="20"/>
                <w:color w:val="auto"/>
              </w:rPr>
            </w:pPr>
            <w:r>
              <w:rPr>
                <w:rFonts w:ascii="Arial" w:cs="Arial" w:eastAsia="Arial" w:hAnsi="Arial"/>
                <w:sz w:val="16"/>
                <w:szCs w:val="16"/>
                <w:color w:val="auto"/>
              </w:rPr>
              <w:t>Torrid Holdings Inc.</w:t>
            </w:r>
          </w:p>
        </w:tc>
        <w:tc>
          <w:tcPr>
            <w:tcW w:w="4940" w:type="dxa"/>
            <w:vAlign w:val="bottom"/>
            <w:shd w:val="clear" w:color="auto" w:fill="F2F2F2"/>
          </w:tcPr>
          <w:p>
            <w:pPr>
              <w:ind w:left="180"/>
              <w:spacing w:after="0"/>
              <w:rPr>
                <w:sz w:val="20"/>
                <w:szCs w:val="20"/>
                <w:color w:val="auto"/>
              </w:rPr>
            </w:pPr>
            <w:r>
              <w:rPr>
                <w:rFonts w:ascii="Arial" w:cs="Arial" w:eastAsia="Arial" w:hAnsi="Arial"/>
                <w:sz w:val="16"/>
                <w:szCs w:val="16"/>
                <w:color w:val="auto"/>
              </w:rPr>
              <w:t>Board of Directors of (i) The Children’s Place from 2023 through</w:t>
            </w:r>
          </w:p>
        </w:tc>
        <w:tc>
          <w:tcPr>
            <w:tcW w:w="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40" w:type="dxa"/>
            <w:vAlign w:val="bottom"/>
            <w:shd w:val="clear" w:color="auto" w:fill="DBE5F1"/>
          </w:tcPr>
          <w:p>
            <w:pPr>
              <w:spacing w:after="0"/>
              <w:rPr>
                <w:sz w:val="18"/>
                <w:szCs w:val="18"/>
                <w:color w:val="auto"/>
              </w:rPr>
            </w:pPr>
          </w:p>
        </w:tc>
        <w:tc>
          <w:tcPr>
            <w:tcW w:w="880" w:type="dxa"/>
            <w:vAlign w:val="bottom"/>
            <w:shd w:val="clear" w:color="auto" w:fill="DBE5F1"/>
          </w:tcPr>
          <w:p>
            <w:pPr>
              <w:spacing w:after="0"/>
              <w:rPr>
                <w:sz w:val="18"/>
                <w:szCs w:val="18"/>
                <w:color w:val="auto"/>
              </w:rPr>
            </w:pPr>
          </w:p>
        </w:tc>
        <w:tc>
          <w:tcPr>
            <w:tcW w:w="440" w:type="dxa"/>
            <w:vAlign w:val="bottom"/>
            <w:shd w:val="clear" w:color="auto" w:fill="DBE5F1"/>
          </w:tcPr>
          <w:p>
            <w:pPr>
              <w:spacing w:after="0"/>
              <w:rPr>
                <w:sz w:val="18"/>
                <w:szCs w:val="18"/>
                <w:color w:val="auto"/>
              </w:rPr>
            </w:pPr>
          </w:p>
        </w:tc>
        <w:tc>
          <w:tcPr>
            <w:tcW w:w="460" w:type="dxa"/>
            <w:vAlign w:val="bottom"/>
            <w:shd w:val="clear" w:color="auto" w:fill="DBE5F1"/>
          </w:tcPr>
          <w:p>
            <w:pPr>
              <w:spacing w:after="0"/>
              <w:rPr>
                <w:sz w:val="18"/>
                <w:szCs w:val="18"/>
                <w:color w:val="auto"/>
              </w:rPr>
            </w:pPr>
          </w:p>
        </w:tc>
        <w:tc>
          <w:tcPr>
            <w:tcW w:w="320" w:type="dxa"/>
            <w:vAlign w:val="bottom"/>
            <w:shd w:val="clear" w:color="auto" w:fill="F2F2F2"/>
          </w:tcPr>
          <w:p>
            <w:pPr>
              <w:spacing w:after="0"/>
              <w:rPr>
                <w:sz w:val="18"/>
                <w:szCs w:val="18"/>
                <w:color w:val="auto"/>
              </w:rPr>
            </w:pPr>
          </w:p>
        </w:tc>
        <w:tc>
          <w:tcPr>
            <w:tcW w:w="1920" w:type="dxa"/>
            <w:vAlign w:val="bottom"/>
            <w:shd w:val="clear" w:color="auto" w:fill="F2F2F2"/>
          </w:tcPr>
          <w:p>
            <w:pPr>
              <w:spacing w:after="0"/>
              <w:rPr>
                <w:sz w:val="18"/>
                <w:szCs w:val="18"/>
                <w:color w:val="auto"/>
              </w:rPr>
            </w:pPr>
          </w:p>
        </w:tc>
        <w:tc>
          <w:tcPr>
            <w:tcW w:w="4940" w:type="dxa"/>
            <w:vAlign w:val="bottom"/>
            <w:shd w:val="clear" w:color="auto" w:fill="F2F2F2"/>
          </w:tcPr>
          <w:p>
            <w:pPr>
              <w:ind w:left="180"/>
              <w:spacing w:after="0"/>
              <w:rPr>
                <w:sz w:val="20"/>
                <w:szCs w:val="20"/>
                <w:color w:val="auto"/>
              </w:rPr>
            </w:pPr>
            <w:r>
              <w:rPr>
                <w:rFonts w:ascii="Arial" w:cs="Arial" w:eastAsia="Arial" w:hAnsi="Arial"/>
                <w:sz w:val="16"/>
                <w:szCs w:val="16"/>
                <w:color w:val="auto"/>
              </w:rPr>
              <w:t>2024 and (ii) Build-A-Bear Workshops from 2014 through 2019.</w:t>
            </w:r>
          </w:p>
        </w:tc>
        <w:tc>
          <w:tcPr>
            <w:tcW w:w="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352"/>
        </w:trPr>
        <w:tc>
          <w:tcPr>
            <w:tcW w:w="940" w:type="dxa"/>
            <w:vAlign w:val="bottom"/>
            <w:shd w:val="clear" w:color="auto" w:fill="DBE5F1"/>
          </w:tcPr>
          <w:p>
            <w:pPr>
              <w:spacing w:after="0"/>
              <w:rPr>
                <w:sz w:val="24"/>
                <w:szCs w:val="24"/>
                <w:color w:val="auto"/>
              </w:rPr>
            </w:pPr>
          </w:p>
        </w:tc>
        <w:tc>
          <w:tcPr>
            <w:tcW w:w="880" w:type="dxa"/>
            <w:vAlign w:val="bottom"/>
            <w:shd w:val="clear" w:color="auto" w:fill="DBE5F1"/>
          </w:tcPr>
          <w:p>
            <w:pPr>
              <w:spacing w:after="0"/>
              <w:rPr>
                <w:sz w:val="24"/>
                <w:szCs w:val="24"/>
                <w:color w:val="auto"/>
              </w:rPr>
            </w:pPr>
          </w:p>
        </w:tc>
        <w:tc>
          <w:tcPr>
            <w:tcW w:w="440" w:type="dxa"/>
            <w:vAlign w:val="bottom"/>
            <w:shd w:val="clear" w:color="auto" w:fill="DBE5F1"/>
          </w:tcPr>
          <w:p>
            <w:pPr>
              <w:spacing w:after="0"/>
              <w:rPr>
                <w:sz w:val="24"/>
                <w:szCs w:val="24"/>
                <w:color w:val="auto"/>
              </w:rPr>
            </w:pPr>
          </w:p>
        </w:tc>
        <w:tc>
          <w:tcPr>
            <w:tcW w:w="460" w:type="dxa"/>
            <w:vAlign w:val="bottom"/>
            <w:shd w:val="clear" w:color="auto" w:fill="DBE5F1"/>
          </w:tcPr>
          <w:p>
            <w:pPr>
              <w:spacing w:after="0"/>
              <w:rPr>
                <w:sz w:val="24"/>
                <w:szCs w:val="24"/>
                <w:color w:val="auto"/>
              </w:rPr>
            </w:pPr>
          </w:p>
        </w:tc>
        <w:tc>
          <w:tcPr>
            <w:tcW w:w="320" w:type="dxa"/>
            <w:vAlign w:val="bottom"/>
            <w:shd w:val="clear" w:color="auto" w:fill="F2F2F2"/>
          </w:tcPr>
          <w:p>
            <w:pPr>
              <w:spacing w:after="0"/>
              <w:rPr>
                <w:sz w:val="24"/>
                <w:szCs w:val="24"/>
                <w:color w:val="auto"/>
              </w:rPr>
            </w:pPr>
          </w:p>
        </w:tc>
        <w:tc>
          <w:tcPr>
            <w:tcW w:w="1920" w:type="dxa"/>
            <w:vAlign w:val="bottom"/>
            <w:shd w:val="clear" w:color="auto" w:fill="F2F2F2"/>
          </w:tcPr>
          <w:p>
            <w:pPr>
              <w:spacing w:after="0"/>
              <w:rPr>
                <w:sz w:val="24"/>
                <w:szCs w:val="24"/>
                <w:color w:val="auto"/>
              </w:rPr>
            </w:pPr>
          </w:p>
        </w:tc>
        <w:tc>
          <w:tcPr>
            <w:tcW w:w="4940" w:type="dxa"/>
            <w:vAlign w:val="bottom"/>
            <w:shd w:val="clear" w:color="auto" w:fill="F2F2F2"/>
          </w:tcPr>
          <w:p>
            <w:pPr>
              <w:ind w:left="180"/>
              <w:spacing w:after="0"/>
              <w:rPr>
                <w:sz w:val="20"/>
                <w:szCs w:val="20"/>
                <w:color w:val="auto"/>
              </w:rPr>
            </w:pPr>
            <w:r>
              <w:rPr>
                <w:rFonts w:ascii="Arial" w:cs="Arial" w:eastAsia="Arial" w:hAnsi="Arial"/>
                <w:sz w:val="16"/>
                <w:szCs w:val="16"/>
                <w:b w:val="1"/>
                <w:bCs w:val="1"/>
                <w:color w:val="4A7EBB"/>
              </w:rPr>
              <w:t>Qualifications</w:t>
            </w:r>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40" w:type="dxa"/>
            <w:vAlign w:val="bottom"/>
            <w:shd w:val="clear" w:color="auto" w:fill="DBE5F1"/>
          </w:tcPr>
          <w:p>
            <w:pPr>
              <w:spacing w:after="0"/>
              <w:rPr>
                <w:sz w:val="16"/>
                <w:szCs w:val="16"/>
                <w:color w:val="auto"/>
              </w:rPr>
            </w:pPr>
          </w:p>
        </w:tc>
        <w:tc>
          <w:tcPr>
            <w:tcW w:w="880" w:type="dxa"/>
            <w:vAlign w:val="bottom"/>
            <w:shd w:val="clear" w:color="auto" w:fill="DBE5F1"/>
          </w:tcPr>
          <w:p>
            <w:pPr>
              <w:spacing w:after="0"/>
              <w:rPr>
                <w:sz w:val="16"/>
                <w:szCs w:val="16"/>
                <w:color w:val="auto"/>
              </w:rPr>
            </w:pPr>
          </w:p>
        </w:tc>
        <w:tc>
          <w:tcPr>
            <w:tcW w:w="440" w:type="dxa"/>
            <w:vAlign w:val="bottom"/>
            <w:shd w:val="clear" w:color="auto" w:fill="DBE5F1"/>
          </w:tcPr>
          <w:p>
            <w:pPr>
              <w:spacing w:after="0"/>
              <w:rPr>
                <w:sz w:val="16"/>
                <w:szCs w:val="16"/>
                <w:color w:val="auto"/>
              </w:rPr>
            </w:pPr>
          </w:p>
        </w:tc>
        <w:tc>
          <w:tcPr>
            <w:tcW w:w="460" w:type="dxa"/>
            <w:vAlign w:val="bottom"/>
            <w:shd w:val="clear" w:color="auto" w:fill="DBE5F1"/>
          </w:tcPr>
          <w:p>
            <w:pPr>
              <w:spacing w:after="0"/>
              <w:rPr>
                <w:sz w:val="16"/>
                <w:szCs w:val="16"/>
                <w:color w:val="auto"/>
              </w:rPr>
            </w:pPr>
          </w:p>
        </w:tc>
        <w:tc>
          <w:tcPr>
            <w:tcW w:w="320" w:type="dxa"/>
            <w:vAlign w:val="bottom"/>
            <w:shd w:val="clear" w:color="auto" w:fill="F2F2F2"/>
          </w:tcPr>
          <w:p>
            <w:pPr>
              <w:spacing w:after="0"/>
              <w:rPr>
                <w:sz w:val="16"/>
                <w:szCs w:val="16"/>
                <w:color w:val="auto"/>
              </w:rPr>
            </w:pPr>
          </w:p>
        </w:tc>
        <w:tc>
          <w:tcPr>
            <w:tcW w:w="1920" w:type="dxa"/>
            <w:vAlign w:val="bottom"/>
            <w:shd w:val="clear" w:color="auto" w:fill="F2F2F2"/>
          </w:tcPr>
          <w:p>
            <w:pPr>
              <w:spacing w:after="0"/>
              <w:rPr>
                <w:sz w:val="16"/>
                <w:szCs w:val="16"/>
                <w:color w:val="auto"/>
              </w:rPr>
            </w:pPr>
          </w:p>
        </w:tc>
        <w:tc>
          <w:tcPr>
            <w:tcW w:w="4940" w:type="dxa"/>
            <w:vAlign w:val="bottom"/>
            <w:shd w:val="clear" w:color="auto" w:fill="F2F2F2"/>
          </w:tcPr>
          <w:p>
            <w:pPr>
              <w:ind w:left="180"/>
              <w:spacing w:after="0"/>
              <w:rPr>
                <w:sz w:val="20"/>
                <w:szCs w:val="20"/>
                <w:color w:val="auto"/>
              </w:rPr>
            </w:pPr>
            <w:r>
              <w:rPr>
                <w:rFonts w:ascii="Arial" w:cs="Arial" w:eastAsia="Arial" w:hAnsi="Arial"/>
                <w:sz w:val="16"/>
                <w:szCs w:val="16"/>
                <w:color w:val="auto"/>
              </w:rPr>
              <w:t>Michael Shaffer’s extensive knowledge and experience in both</w:t>
            </w:r>
          </w:p>
        </w:tc>
        <w:tc>
          <w:tcPr>
            <w:tcW w:w="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40" w:type="dxa"/>
            <w:vAlign w:val="bottom"/>
            <w:shd w:val="clear" w:color="auto" w:fill="DBE5F1"/>
          </w:tcPr>
          <w:p>
            <w:pPr>
              <w:spacing w:after="0"/>
              <w:rPr>
                <w:sz w:val="16"/>
                <w:szCs w:val="16"/>
                <w:color w:val="auto"/>
              </w:rPr>
            </w:pPr>
          </w:p>
        </w:tc>
        <w:tc>
          <w:tcPr>
            <w:tcW w:w="880" w:type="dxa"/>
            <w:vAlign w:val="bottom"/>
            <w:shd w:val="clear" w:color="auto" w:fill="DBE5F1"/>
          </w:tcPr>
          <w:p>
            <w:pPr>
              <w:spacing w:after="0"/>
              <w:rPr>
                <w:sz w:val="16"/>
                <w:szCs w:val="16"/>
                <w:color w:val="auto"/>
              </w:rPr>
            </w:pPr>
          </w:p>
        </w:tc>
        <w:tc>
          <w:tcPr>
            <w:tcW w:w="440" w:type="dxa"/>
            <w:vAlign w:val="bottom"/>
            <w:shd w:val="clear" w:color="auto" w:fill="DBE5F1"/>
          </w:tcPr>
          <w:p>
            <w:pPr>
              <w:spacing w:after="0"/>
              <w:rPr>
                <w:sz w:val="16"/>
                <w:szCs w:val="16"/>
                <w:color w:val="auto"/>
              </w:rPr>
            </w:pPr>
          </w:p>
        </w:tc>
        <w:tc>
          <w:tcPr>
            <w:tcW w:w="460" w:type="dxa"/>
            <w:vAlign w:val="bottom"/>
            <w:shd w:val="clear" w:color="auto" w:fill="DBE5F1"/>
          </w:tcPr>
          <w:p>
            <w:pPr>
              <w:spacing w:after="0"/>
              <w:rPr>
                <w:sz w:val="16"/>
                <w:szCs w:val="16"/>
                <w:color w:val="auto"/>
              </w:rPr>
            </w:pPr>
          </w:p>
        </w:tc>
        <w:tc>
          <w:tcPr>
            <w:tcW w:w="320" w:type="dxa"/>
            <w:vAlign w:val="bottom"/>
            <w:shd w:val="clear" w:color="auto" w:fill="F2F2F2"/>
          </w:tcPr>
          <w:p>
            <w:pPr>
              <w:spacing w:after="0"/>
              <w:rPr>
                <w:sz w:val="16"/>
                <w:szCs w:val="16"/>
                <w:color w:val="auto"/>
              </w:rPr>
            </w:pPr>
          </w:p>
        </w:tc>
        <w:tc>
          <w:tcPr>
            <w:tcW w:w="1920" w:type="dxa"/>
            <w:vAlign w:val="bottom"/>
            <w:shd w:val="clear" w:color="auto" w:fill="F2F2F2"/>
          </w:tcPr>
          <w:p>
            <w:pPr>
              <w:spacing w:after="0"/>
              <w:rPr>
                <w:sz w:val="16"/>
                <w:szCs w:val="16"/>
                <w:color w:val="auto"/>
              </w:rPr>
            </w:pPr>
          </w:p>
        </w:tc>
        <w:tc>
          <w:tcPr>
            <w:tcW w:w="4940" w:type="dxa"/>
            <w:vAlign w:val="bottom"/>
            <w:shd w:val="clear" w:color="auto" w:fill="F2F2F2"/>
          </w:tcPr>
          <w:p>
            <w:pPr>
              <w:ind w:left="180"/>
              <w:spacing w:after="0"/>
              <w:rPr>
                <w:sz w:val="20"/>
                <w:szCs w:val="20"/>
                <w:color w:val="auto"/>
              </w:rPr>
            </w:pPr>
            <w:r>
              <w:rPr>
                <w:rFonts w:ascii="Arial" w:cs="Arial" w:eastAsia="Arial" w:hAnsi="Arial"/>
                <w:sz w:val="16"/>
                <w:szCs w:val="16"/>
                <w:color w:val="auto"/>
              </w:rPr>
              <w:t>financial  and  business  operations  in  the  retail  and  apparel</w:t>
            </w:r>
          </w:p>
        </w:tc>
        <w:tc>
          <w:tcPr>
            <w:tcW w:w="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940" w:type="dxa"/>
            <w:vAlign w:val="bottom"/>
            <w:shd w:val="clear" w:color="auto" w:fill="DBE5F1"/>
          </w:tcPr>
          <w:p>
            <w:pPr>
              <w:spacing w:after="0"/>
              <w:rPr>
                <w:sz w:val="18"/>
                <w:szCs w:val="18"/>
                <w:color w:val="auto"/>
              </w:rPr>
            </w:pPr>
          </w:p>
        </w:tc>
        <w:tc>
          <w:tcPr>
            <w:tcW w:w="880" w:type="dxa"/>
            <w:vAlign w:val="bottom"/>
            <w:shd w:val="clear" w:color="auto" w:fill="DBE5F1"/>
          </w:tcPr>
          <w:p>
            <w:pPr>
              <w:spacing w:after="0"/>
              <w:rPr>
                <w:sz w:val="18"/>
                <w:szCs w:val="18"/>
                <w:color w:val="auto"/>
              </w:rPr>
            </w:pPr>
          </w:p>
        </w:tc>
        <w:tc>
          <w:tcPr>
            <w:tcW w:w="440" w:type="dxa"/>
            <w:vAlign w:val="bottom"/>
            <w:shd w:val="clear" w:color="auto" w:fill="DBE5F1"/>
          </w:tcPr>
          <w:p>
            <w:pPr>
              <w:spacing w:after="0"/>
              <w:rPr>
                <w:sz w:val="18"/>
                <w:szCs w:val="18"/>
                <w:color w:val="auto"/>
              </w:rPr>
            </w:pPr>
          </w:p>
        </w:tc>
        <w:tc>
          <w:tcPr>
            <w:tcW w:w="460" w:type="dxa"/>
            <w:vAlign w:val="bottom"/>
            <w:shd w:val="clear" w:color="auto" w:fill="DBE5F1"/>
          </w:tcPr>
          <w:p>
            <w:pPr>
              <w:spacing w:after="0"/>
              <w:rPr>
                <w:sz w:val="18"/>
                <w:szCs w:val="18"/>
                <w:color w:val="auto"/>
              </w:rPr>
            </w:pPr>
          </w:p>
        </w:tc>
        <w:tc>
          <w:tcPr>
            <w:tcW w:w="320" w:type="dxa"/>
            <w:vAlign w:val="bottom"/>
            <w:shd w:val="clear" w:color="auto" w:fill="F2F2F2"/>
          </w:tcPr>
          <w:p>
            <w:pPr>
              <w:spacing w:after="0"/>
              <w:rPr>
                <w:sz w:val="18"/>
                <w:szCs w:val="18"/>
                <w:color w:val="auto"/>
              </w:rPr>
            </w:pPr>
          </w:p>
        </w:tc>
        <w:tc>
          <w:tcPr>
            <w:tcW w:w="1920" w:type="dxa"/>
            <w:vAlign w:val="bottom"/>
            <w:shd w:val="clear" w:color="auto" w:fill="F2F2F2"/>
          </w:tcPr>
          <w:p>
            <w:pPr>
              <w:spacing w:after="0"/>
              <w:rPr>
                <w:sz w:val="18"/>
                <w:szCs w:val="18"/>
                <w:color w:val="auto"/>
              </w:rPr>
            </w:pPr>
          </w:p>
        </w:tc>
        <w:tc>
          <w:tcPr>
            <w:tcW w:w="4940" w:type="dxa"/>
            <w:vAlign w:val="bottom"/>
            <w:shd w:val="clear" w:color="auto" w:fill="F2F2F2"/>
          </w:tcPr>
          <w:p>
            <w:pPr>
              <w:ind w:left="180"/>
              <w:spacing w:after="0"/>
              <w:rPr>
                <w:sz w:val="20"/>
                <w:szCs w:val="20"/>
                <w:color w:val="auto"/>
              </w:rPr>
            </w:pPr>
            <w:r>
              <w:rPr>
                <w:rFonts w:ascii="Arial" w:cs="Arial" w:eastAsia="Arial" w:hAnsi="Arial"/>
                <w:sz w:val="16"/>
                <w:szCs w:val="16"/>
                <w:color w:val="auto"/>
              </w:rPr>
              <w:t>industries is of great value to us.</w:t>
            </w:r>
          </w:p>
        </w:tc>
        <w:tc>
          <w:tcPr>
            <w:tcW w:w="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820" w:type="dxa"/>
            <w:vAlign w:val="bottom"/>
            <w:gridSpan w:val="2"/>
            <w:shd w:val="clear" w:color="auto" w:fill="DBE5F1"/>
          </w:tcPr>
          <w:p>
            <w:pPr>
              <w:spacing w:after="0"/>
              <w:rPr>
                <w:sz w:val="18"/>
                <w:szCs w:val="18"/>
                <w:color w:val="auto"/>
              </w:rPr>
            </w:pPr>
          </w:p>
        </w:tc>
        <w:tc>
          <w:tcPr>
            <w:tcW w:w="440" w:type="dxa"/>
            <w:vAlign w:val="bottom"/>
            <w:shd w:val="clear" w:color="auto" w:fill="DBE5F1"/>
          </w:tcPr>
          <w:p>
            <w:pPr>
              <w:spacing w:after="0"/>
              <w:rPr>
                <w:sz w:val="18"/>
                <w:szCs w:val="18"/>
                <w:color w:val="auto"/>
              </w:rPr>
            </w:pPr>
          </w:p>
        </w:tc>
        <w:tc>
          <w:tcPr>
            <w:tcW w:w="460" w:type="dxa"/>
            <w:vAlign w:val="bottom"/>
            <w:shd w:val="clear" w:color="auto" w:fill="DBE5F1"/>
          </w:tcPr>
          <w:p>
            <w:pPr>
              <w:spacing w:after="0"/>
              <w:rPr>
                <w:sz w:val="18"/>
                <w:szCs w:val="18"/>
                <w:color w:val="auto"/>
              </w:rPr>
            </w:pPr>
          </w:p>
        </w:tc>
        <w:tc>
          <w:tcPr>
            <w:tcW w:w="2240" w:type="dxa"/>
            <w:vAlign w:val="bottom"/>
            <w:gridSpan w:val="2"/>
            <w:shd w:val="clear" w:color="auto" w:fill="F2F2F2"/>
          </w:tcPr>
          <w:p>
            <w:pPr>
              <w:spacing w:after="0"/>
              <w:rPr>
                <w:sz w:val="18"/>
                <w:szCs w:val="18"/>
                <w:color w:val="auto"/>
              </w:rPr>
            </w:pPr>
          </w:p>
        </w:tc>
        <w:tc>
          <w:tcPr>
            <w:tcW w:w="4940" w:type="dxa"/>
            <w:vAlign w:val="bottom"/>
            <w:shd w:val="clear" w:color="auto" w:fill="F2F2F2"/>
          </w:tcPr>
          <w:p>
            <w:pPr>
              <w:spacing w:after="0"/>
              <w:rPr>
                <w:sz w:val="18"/>
                <w:szCs w:val="18"/>
                <w:color w:val="auto"/>
              </w:rPr>
            </w:pPr>
          </w:p>
        </w:tc>
        <w:tc>
          <w:tcPr>
            <w:tcW w:w="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40" w:type="dxa"/>
            <w:vAlign w:val="bottom"/>
            <w:tcBorders>
              <w:top w:val="single" w:sz="8" w:color="808080"/>
              <w:bottom w:val="single" w:sz="8" w:color="808080"/>
            </w:tcBorders>
          </w:tcPr>
          <w:p>
            <w:pPr>
              <w:spacing w:after="0"/>
              <w:rPr>
                <w:sz w:val="18"/>
                <w:szCs w:val="18"/>
                <w:color w:val="auto"/>
              </w:rPr>
            </w:pPr>
          </w:p>
        </w:tc>
        <w:tc>
          <w:tcPr>
            <w:tcW w:w="880" w:type="dxa"/>
            <w:vAlign w:val="bottom"/>
            <w:tcBorders>
              <w:top w:val="single" w:sz="8" w:color="808080"/>
              <w:bottom w:val="single" w:sz="8" w:color="808080"/>
            </w:tcBorders>
          </w:tcPr>
          <w:p>
            <w:pPr>
              <w:spacing w:after="0"/>
              <w:rPr>
                <w:sz w:val="18"/>
                <w:szCs w:val="18"/>
                <w:color w:val="auto"/>
              </w:rPr>
            </w:pPr>
          </w:p>
        </w:tc>
        <w:tc>
          <w:tcPr>
            <w:tcW w:w="440" w:type="dxa"/>
            <w:vAlign w:val="bottom"/>
            <w:tcBorders>
              <w:top w:val="single" w:sz="8" w:color="808080"/>
              <w:bottom w:val="single" w:sz="8" w:color="808080"/>
            </w:tcBorders>
          </w:tcPr>
          <w:p>
            <w:pPr>
              <w:spacing w:after="0"/>
              <w:rPr>
                <w:sz w:val="18"/>
                <w:szCs w:val="18"/>
                <w:color w:val="auto"/>
              </w:rPr>
            </w:pPr>
          </w:p>
        </w:tc>
        <w:tc>
          <w:tcPr>
            <w:tcW w:w="460" w:type="dxa"/>
            <w:vAlign w:val="bottom"/>
            <w:tcBorders>
              <w:top w:val="single" w:sz="8" w:color="808080"/>
              <w:bottom w:val="single" w:sz="8" w:color="808080"/>
            </w:tcBorders>
          </w:tcPr>
          <w:p>
            <w:pPr>
              <w:spacing w:after="0"/>
              <w:rPr>
                <w:sz w:val="18"/>
                <w:szCs w:val="18"/>
                <w:color w:val="auto"/>
              </w:rPr>
            </w:pPr>
          </w:p>
        </w:tc>
        <w:tc>
          <w:tcPr>
            <w:tcW w:w="320" w:type="dxa"/>
            <w:vAlign w:val="bottom"/>
            <w:tcBorders>
              <w:top w:val="single" w:sz="8" w:color="808080"/>
              <w:bottom w:val="single" w:sz="8" w:color="808080"/>
            </w:tcBorders>
          </w:tcPr>
          <w:p>
            <w:pPr>
              <w:spacing w:after="0"/>
              <w:rPr>
                <w:sz w:val="18"/>
                <w:szCs w:val="18"/>
                <w:color w:val="auto"/>
              </w:rPr>
            </w:pPr>
          </w:p>
        </w:tc>
        <w:tc>
          <w:tcPr>
            <w:tcW w:w="1920" w:type="dxa"/>
            <w:vAlign w:val="bottom"/>
            <w:tcBorders>
              <w:top w:val="single" w:sz="8" w:color="808080"/>
              <w:bottom w:val="single" w:sz="8" w:color="808080"/>
            </w:tcBorders>
          </w:tcPr>
          <w:p>
            <w:pPr>
              <w:spacing w:after="0"/>
              <w:rPr>
                <w:sz w:val="18"/>
                <w:szCs w:val="18"/>
                <w:color w:val="auto"/>
              </w:rPr>
            </w:pPr>
          </w:p>
        </w:tc>
        <w:tc>
          <w:tcPr>
            <w:tcW w:w="4940" w:type="dxa"/>
            <w:vAlign w:val="bottom"/>
            <w:tcBorders>
              <w:top w:val="single" w:sz="8" w:color="808080"/>
              <w:bottom w:val="single" w:sz="8" w:color="808080"/>
            </w:tcBorders>
          </w:tcPr>
          <w:p>
            <w:pPr>
              <w:spacing w:after="0"/>
              <w:rPr>
                <w:sz w:val="18"/>
                <w:szCs w:val="18"/>
                <w:color w:val="auto"/>
              </w:rPr>
            </w:pPr>
          </w:p>
        </w:tc>
        <w:tc>
          <w:tcPr>
            <w:tcW w:w="20" w:type="dxa"/>
            <w:vAlign w:val="bottom"/>
            <w:tcBorders>
              <w:top w:val="single" w:sz="8" w:color="808080"/>
              <w:bottom w:val="single" w:sz="8" w:color="808080"/>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820" w:type="dxa"/>
            <w:vAlign w:val="bottom"/>
            <w:gridSpan w:val="2"/>
            <w:shd w:val="clear" w:color="auto" w:fill="DBE5F1"/>
          </w:tcPr>
          <w:p>
            <w:pPr>
              <w:ind w:left="120"/>
              <w:spacing w:after="0" w:line="169" w:lineRule="exact"/>
              <w:rPr>
                <w:sz w:val="20"/>
                <w:szCs w:val="20"/>
                <w:color w:val="auto"/>
              </w:rPr>
            </w:pPr>
            <w:r>
              <w:rPr>
                <w:rFonts w:ascii="Arial" w:cs="Arial" w:eastAsia="Arial" w:hAnsi="Arial"/>
                <w:sz w:val="19"/>
                <w:szCs w:val="19"/>
                <w:b w:val="1"/>
                <w:bCs w:val="1"/>
                <w:color w:val="auto"/>
              </w:rPr>
              <w:t>CHERYL VITALI</w:t>
            </w:r>
          </w:p>
        </w:tc>
        <w:tc>
          <w:tcPr>
            <w:tcW w:w="440" w:type="dxa"/>
            <w:vAlign w:val="bottom"/>
            <w:shd w:val="clear" w:color="auto" w:fill="DBE5F1"/>
          </w:tcPr>
          <w:p>
            <w:pPr>
              <w:spacing w:after="0"/>
              <w:rPr>
                <w:sz w:val="14"/>
                <w:szCs w:val="14"/>
                <w:color w:val="auto"/>
              </w:rPr>
            </w:pPr>
          </w:p>
        </w:tc>
        <w:tc>
          <w:tcPr>
            <w:tcW w:w="460" w:type="dxa"/>
            <w:vAlign w:val="bottom"/>
            <w:shd w:val="clear" w:color="auto" w:fill="DBE5F1"/>
          </w:tcPr>
          <w:p>
            <w:pPr>
              <w:spacing w:after="0"/>
              <w:rPr>
                <w:sz w:val="14"/>
                <w:szCs w:val="14"/>
                <w:color w:val="auto"/>
              </w:rPr>
            </w:pPr>
          </w:p>
        </w:tc>
        <w:tc>
          <w:tcPr>
            <w:tcW w:w="2240" w:type="dxa"/>
            <w:vAlign w:val="bottom"/>
            <w:gridSpan w:val="2"/>
            <w:shd w:val="clear" w:color="auto" w:fill="F2F2F2"/>
          </w:tcPr>
          <w:p>
            <w:pPr>
              <w:ind w:left="100"/>
              <w:spacing w:after="0" w:line="169" w:lineRule="exact"/>
              <w:rPr>
                <w:sz w:val="20"/>
                <w:szCs w:val="20"/>
                <w:color w:val="auto"/>
              </w:rPr>
            </w:pPr>
            <w:r>
              <w:rPr>
                <w:rFonts w:ascii="Arial" w:cs="Arial" w:eastAsia="Arial" w:hAnsi="Arial"/>
                <w:sz w:val="16"/>
                <w:szCs w:val="16"/>
                <w:b w:val="1"/>
                <w:bCs w:val="1"/>
                <w:color w:val="auto"/>
              </w:rPr>
              <w:t>Age: 65</w:t>
            </w:r>
          </w:p>
        </w:tc>
        <w:tc>
          <w:tcPr>
            <w:tcW w:w="4940" w:type="dxa"/>
            <w:vAlign w:val="bottom"/>
            <w:shd w:val="clear" w:color="auto" w:fill="F2F2F2"/>
          </w:tcPr>
          <w:p>
            <w:pPr>
              <w:ind w:left="180"/>
              <w:spacing w:after="0" w:line="169" w:lineRule="exact"/>
              <w:rPr>
                <w:sz w:val="20"/>
                <w:szCs w:val="20"/>
                <w:color w:val="auto"/>
              </w:rPr>
            </w:pPr>
            <w:r>
              <w:rPr>
                <w:rFonts w:ascii="Arial" w:cs="Arial" w:eastAsia="Arial" w:hAnsi="Arial"/>
                <w:sz w:val="16"/>
                <w:szCs w:val="16"/>
                <w:color w:val="auto"/>
              </w:rPr>
              <w:t>Cheryl Vitali is currently retired. Cheryl Vitali was employed by</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940" w:type="dxa"/>
            <w:vAlign w:val="bottom"/>
            <w:shd w:val="clear" w:color="auto" w:fill="DBE5F1"/>
          </w:tcPr>
          <w:p>
            <w:pPr>
              <w:ind w:left="120"/>
              <w:spacing w:after="0" w:line="189" w:lineRule="exact"/>
              <w:rPr>
                <w:sz w:val="20"/>
                <w:szCs w:val="20"/>
                <w:color w:val="auto"/>
              </w:rPr>
            </w:pPr>
            <w:r>
              <w:rPr>
                <w:rFonts w:ascii="Arial" w:cs="Arial" w:eastAsia="Arial" w:hAnsi="Arial"/>
                <w:sz w:val="17"/>
                <w:szCs w:val="17"/>
                <w:color w:val="auto"/>
              </w:rPr>
              <w:t>Retired</w:t>
            </w:r>
          </w:p>
        </w:tc>
        <w:tc>
          <w:tcPr>
            <w:tcW w:w="880" w:type="dxa"/>
            <w:vAlign w:val="bottom"/>
            <w:shd w:val="clear" w:color="auto" w:fill="DBE5F1"/>
          </w:tcPr>
          <w:p>
            <w:pPr>
              <w:ind w:left="60"/>
              <w:spacing w:after="0" w:line="189" w:lineRule="exact"/>
              <w:rPr>
                <w:sz w:val="20"/>
                <w:szCs w:val="20"/>
                <w:color w:val="auto"/>
              </w:rPr>
            </w:pPr>
            <w:r>
              <w:rPr>
                <w:rFonts w:ascii="Arial" w:cs="Arial" w:eastAsia="Arial" w:hAnsi="Arial"/>
                <w:sz w:val="17"/>
                <w:szCs w:val="17"/>
                <w:color w:val="auto"/>
              </w:rPr>
              <w:t>Global</w:t>
            </w:r>
          </w:p>
        </w:tc>
        <w:tc>
          <w:tcPr>
            <w:tcW w:w="900" w:type="dxa"/>
            <w:vAlign w:val="bottom"/>
            <w:gridSpan w:val="2"/>
            <w:shd w:val="clear" w:color="auto" w:fill="DBE5F1"/>
          </w:tcPr>
          <w:p>
            <w:pPr>
              <w:jc w:val="right"/>
              <w:ind w:right="35"/>
              <w:spacing w:after="0" w:line="189" w:lineRule="exact"/>
              <w:rPr>
                <w:sz w:val="20"/>
                <w:szCs w:val="20"/>
                <w:color w:val="auto"/>
              </w:rPr>
            </w:pPr>
            <w:r>
              <w:rPr>
                <w:rFonts w:ascii="Arial" w:cs="Arial" w:eastAsia="Arial" w:hAnsi="Arial"/>
                <w:sz w:val="17"/>
                <w:szCs w:val="17"/>
                <w:color w:val="auto"/>
                <w:w w:val="99"/>
              </w:rPr>
              <w:t>President,</w:t>
            </w:r>
          </w:p>
        </w:tc>
        <w:tc>
          <w:tcPr>
            <w:tcW w:w="320" w:type="dxa"/>
            <w:vAlign w:val="bottom"/>
            <w:shd w:val="clear" w:color="auto" w:fill="F2F2F2"/>
          </w:tcPr>
          <w:p>
            <w:pPr>
              <w:spacing w:after="0"/>
              <w:rPr>
                <w:sz w:val="16"/>
                <w:szCs w:val="16"/>
                <w:color w:val="auto"/>
              </w:rPr>
            </w:pPr>
          </w:p>
        </w:tc>
        <w:tc>
          <w:tcPr>
            <w:tcW w:w="1920" w:type="dxa"/>
            <w:vAlign w:val="bottom"/>
            <w:shd w:val="clear" w:color="auto" w:fill="F2F2F2"/>
          </w:tcPr>
          <w:p>
            <w:pPr>
              <w:spacing w:after="0"/>
              <w:rPr>
                <w:sz w:val="16"/>
                <w:szCs w:val="16"/>
                <w:color w:val="auto"/>
              </w:rPr>
            </w:pPr>
          </w:p>
        </w:tc>
        <w:tc>
          <w:tcPr>
            <w:tcW w:w="4940" w:type="dxa"/>
            <w:vAlign w:val="bottom"/>
            <w:shd w:val="clear" w:color="auto" w:fill="F2F2F2"/>
          </w:tcPr>
          <w:p>
            <w:pPr>
              <w:ind w:left="180"/>
              <w:spacing w:after="0"/>
              <w:rPr>
                <w:sz w:val="20"/>
                <w:szCs w:val="20"/>
                <w:color w:val="auto"/>
              </w:rPr>
            </w:pPr>
            <w:r>
              <w:rPr>
                <w:rFonts w:ascii="Arial" w:cs="Arial" w:eastAsia="Arial" w:hAnsi="Arial"/>
                <w:sz w:val="16"/>
                <w:szCs w:val="16"/>
                <w:color w:val="auto"/>
              </w:rPr>
              <w:t>L’Oréal for 22 years and served in various capacities. She was</w:t>
            </w:r>
          </w:p>
        </w:tc>
        <w:tc>
          <w:tcPr>
            <w:tcW w:w="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40" w:type="dxa"/>
            <w:vAlign w:val="bottom"/>
            <w:shd w:val="clear" w:color="auto" w:fill="DBE5F1"/>
          </w:tcPr>
          <w:p>
            <w:pPr>
              <w:ind w:left="120"/>
              <w:spacing w:after="0" w:line="189" w:lineRule="exact"/>
              <w:rPr>
                <w:sz w:val="20"/>
                <w:szCs w:val="20"/>
                <w:color w:val="auto"/>
              </w:rPr>
            </w:pPr>
            <w:r>
              <w:rPr>
                <w:rFonts w:ascii="Arial" w:cs="Arial" w:eastAsia="Arial" w:hAnsi="Arial"/>
                <w:sz w:val="17"/>
                <w:szCs w:val="17"/>
                <w:color w:val="auto"/>
              </w:rPr>
              <w:t>L’Oreal’s</w:t>
            </w:r>
          </w:p>
        </w:tc>
        <w:tc>
          <w:tcPr>
            <w:tcW w:w="880" w:type="dxa"/>
            <w:vAlign w:val="bottom"/>
            <w:shd w:val="clear" w:color="auto" w:fill="DBE5F1"/>
          </w:tcPr>
          <w:p>
            <w:pPr>
              <w:ind w:left="140"/>
              <w:spacing w:after="0" w:line="189" w:lineRule="exact"/>
              <w:rPr>
                <w:sz w:val="20"/>
                <w:szCs w:val="20"/>
                <w:color w:val="auto"/>
              </w:rPr>
            </w:pPr>
            <w:r>
              <w:rPr>
                <w:rFonts w:ascii="Arial" w:cs="Arial" w:eastAsia="Arial" w:hAnsi="Arial"/>
                <w:sz w:val="17"/>
                <w:szCs w:val="17"/>
                <w:color w:val="auto"/>
              </w:rPr>
              <w:t>American</w:t>
            </w:r>
          </w:p>
        </w:tc>
        <w:tc>
          <w:tcPr>
            <w:tcW w:w="900" w:type="dxa"/>
            <w:vAlign w:val="bottom"/>
            <w:gridSpan w:val="2"/>
            <w:shd w:val="clear" w:color="auto" w:fill="DBE5F1"/>
          </w:tcPr>
          <w:p>
            <w:pPr>
              <w:jc w:val="right"/>
              <w:ind w:right="35"/>
              <w:spacing w:after="0" w:line="189" w:lineRule="exact"/>
              <w:rPr>
                <w:sz w:val="20"/>
                <w:szCs w:val="20"/>
                <w:color w:val="auto"/>
              </w:rPr>
            </w:pPr>
            <w:r>
              <w:rPr>
                <w:rFonts w:ascii="Arial" w:cs="Arial" w:eastAsia="Arial" w:hAnsi="Arial"/>
                <w:sz w:val="17"/>
                <w:szCs w:val="17"/>
                <w:color w:val="auto"/>
              </w:rPr>
              <w:t>Luxury</w:t>
            </w:r>
          </w:p>
        </w:tc>
        <w:tc>
          <w:tcPr>
            <w:tcW w:w="2240" w:type="dxa"/>
            <w:vAlign w:val="bottom"/>
            <w:gridSpan w:val="2"/>
            <w:shd w:val="clear" w:color="auto" w:fill="F2F2F2"/>
          </w:tcPr>
          <w:p>
            <w:pPr>
              <w:ind w:left="100"/>
              <w:spacing w:after="0"/>
              <w:rPr>
                <w:sz w:val="20"/>
                <w:szCs w:val="20"/>
                <w:color w:val="auto"/>
              </w:rPr>
            </w:pPr>
            <w:r>
              <w:rPr>
                <w:rFonts w:ascii="Arial" w:cs="Arial" w:eastAsia="Arial" w:hAnsi="Arial"/>
                <w:sz w:val="16"/>
                <w:szCs w:val="16"/>
                <w:b w:val="1"/>
                <w:bCs w:val="1"/>
                <w:color w:val="auto"/>
              </w:rPr>
              <w:t>Director since: 2011</w:t>
            </w:r>
          </w:p>
        </w:tc>
        <w:tc>
          <w:tcPr>
            <w:tcW w:w="4940" w:type="dxa"/>
            <w:vAlign w:val="bottom"/>
            <w:shd w:val="clear" w:color="auto" w:fill="F2F2F2"/>
          </w:tcPr>
          <w:p>
            <w:pPr>
              <w:ind w:left="180"/>
              <w:spacing w:after="0"/>
              <w:rPr>
                <w:sz w:val="20"/>
                <w:szCs w:val="20"/>
                <w:color w:val="auto"/>
              </w:rPr>
            </w:pPr>
            <w:r>
              <w:rPr>
                <w:rFonts w:ascii="Arial" w:cs="Arial" w:eastAsia="Arial" w:hAnsi="Arial"/>
                <w:sz w:val="16"/>
                <w:szCs w:val="16"/>
                <w:color w:val="auto"/>
              </w:rPr>
              <w:t>Global President of L’Oréal’s American Luxury Brands from 2020</w:t>
            </w:r>
          </w:p>
        </w:tc>
        <w:tc>
          <w:tcPr>
            <w:tcW w:w="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40" w:type="dxa"/>
            <w:vAlign w:val="bottom"/>
            <w:shd w:val="clear" w:color="auto" w:fill="DBE5F1"/>
          </w:tcPr>
          <w:p>
            <w:pPr>
              <w:ind w:left="120"/>
              <w:spacing w:after="0" w:line="189" w:lineRule="exact"/>
              <w:rPr>
                <w:sz w:val="20"/>
                <w:szCs w:val="20"/>
                <w:color w:val="auto"/>
              </w:rPr>
            </w:pPr>
            <w:r>
              <w:rPr>
                <w:rFonts w:ascii="Arial" w:cs="Arial" w:eastAsia="Arial" w:hAnsi="Arial"/>
                <w:sz w:val="17"/>
                <w:szCs w:val="17"/>
                <w:color w:val="auto"/>
              </w:rPr>
              <w:t>Brands</w:t>
            </w:r>
          </w:p>
        </w:tc>
        <w:tc>
          <w:tcPr>
            <w:tcW w:w="880" w:type="dxa"/>
            <w:vAlign w:val="bottom"/>
            <w:shd w:val="clear" w:color="auto" w:fill="DBE5F1"/>
          </w:tcPr>
          <w:p>
            <w:pPr>
              <w:spacing w:after="0"/>
              <w:rPr>
                <w:sz w:val="16"/>
                <w:szCs w:val="16"/>
                <w:color w:val="auto"/>
              </w:rPr>
            </w:pPr>
          </w:p>
        </w:tc>
        <w:tc>
          <w:tcPr>
            <w:tcW w:w="440" w:type="dxa"/>
            <w:vAlign w:val="bottom"/>
            <w:shd w:val="clear" w:color="auto" w:fill="DBE5F1"/>
          </w:tcPr>
          <w:p>
            <w:pPr>
              <w:spacing w:after="0"/>
              <w:rPr>
                <w:sz w:val="16"/>
                <w:szCs w:val="16"/>
                <w:color w:val="auto"/>
              </w:rPr>
            </w:pPr>
          </w:p>
        </w:tc>
        <w:tc>
          <w:tcPr>
            <w:tcW w:w="460" w:type="dxa"/>
            <w:vAlign w:val="bottom"/>
            <w:shd w:val="clear" w:color="auto" w:fill="DBE5F1"/>
          </w:tcPr>
          <w:p>
            <w:pPr>
              <w:spacing w:after="0"/>
              <w:rPr>
                <w:sz w:val="16"/>
                <w:szCs w:val="16"/>
                <w:color w:val="auto"/>
              </w:rPr>
            </w:pPr>
          </w:p>
        </w:tc>
        <w:tc>
          <w:tcPr>
            <w:tcW w:w="2240" w:type="dxa"/>
            <w:vAlign w:val="bottom"/>
            <w:gridSpan w:val="2"/>
            <w:vMerge w:val="restart"/>
            <w:shd w:val="clear" w:color="auto" w:fill="F2F2F2"/>
          </w:tcPr>
          <w:p>
            <w:pPr>
              <w:ind w:left="100"/>
              <w:spacing w:after="0"/>
              <w:rPr>
                <w:sz w:val="20"/>
                <w:szCs w:val="20"/>
                <w:color w:val="auto"/>
              </w:rPr>
            </w:pPr>
            <w:r>
              <w:rPr>
                <w:rFonts w:ascii="Arial" w:cs="Arial" w:eastAsia="Arial" w:hAnsi="Arial"/>
                <w:sz w:val="16"/>
                <w:szCs w:val="16"/>
                <w:b w:val="1"/>
                <w:bCs w:val="1"/>
                <w:color w:val="auto"/>
              </w:rPr>
              <w:t>Committees:</w:t>
            </w:r>
          </w:p>
        </w:tc>
        <w:tc>
          <w:tcPr>
            <w:tcW w:w="4940" w:type="dxa"/>
            <w:vAlign w:val="bottom"/>
            <w:shd w:val="clear" w:color="auto" w:fill="F2F2F2"/>
          </w:tcPr>
          <w:p>
            <w:pPr>
              <w:ind w:left="180"/>
              <w:spacing w:after="0"/>
              <w:rPr>
                <w:sz w:val="20"/>
                <w:szCs w:val="20"/>
                <w:color w:val="auto"/>
              </w:rPr>
            </w:pPr>
            <w:r>
              <w:rPr>
                <w:rFonts w:ascii="Arial" w:cs="Arial" w:eastAsia="Arial" w:hAnsi="Arial"/>
                <w:sz w:val="16"/>
                <w:szCs w:val="16"/>
                <w:color w:val="auto"/>
              </w:rPr>
              <w:t>to 2023 overseeing the global brand equity and brand strategy</w:t>
            </w:r>
          </w:p>
        </w:tc>
        <w:tc>
          <w:tcPr>
            <w:tcW w:w="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940" w:type="dxa"/>
            <w:vAlign w:val="bottom"/>
            <w:shd w:val="clear" w:color="auto" w:fill="DBE5F1"/>
          </w:tcPr>
          <w:p>
            <w:pPr>
              <w:spacing w:after="0"/>
              <w:rPr>
                <w:sz w:val="15"/>
                <w:szCs w:val="15"/>
                <w:color w:val="auto"/>
              </w:rPr>
            </w:pPr>
          </w:p>
        </w:tc>
        <w:tc>
          <w:tcPr>
            <w:tcW w:w="880" w:type="dxa"/>
            <w:vAlign w:val="bottom"/>
            <w:shd w:val="clear" w:color="auto" w:fill="DBE5F1"/>
          </w:tcPr>
          <w:p>
            <w:pPr>
              <w:spacing w:after="0"/>
              <w:rPr>
                <w:sz w:val="15"/>
                <w:szCs w:val="15"/>
                <w:color w:val="auto"/>
              </w:rPr>
            </w:pPr>
          </w:p>
        </w:tc>
        <w:tc>
          <w:tcPr>
            <w:tcW w:w="440" w:type="dxa"/>
            <w:vAlign w:val="bottom"/>
            <w:shd w:val="clear" w:color="auto" w:fill="DBE5F1"/>
          </w:tcPr>
          <w:p>
            <w:pPr>
              <w:spacing w:after="0"/>
              <w:rPr>
                <w:sz w:val="15"/>
                <w:szCs w:val="15"/>
                <w:color w:val="auto"/>
              </w:rPr>
            </w:pPr>
          </w:p>
        </w:tc>
        <w:tc>
          <w:tcPr>
            <w:tcW w:w="460" w:type="dxa"/>
            <w:vAlign w:val="bottom"/>
            <w:shd w:val="clear" w:color="auto" w:fill="DBE5F1"/>
          </w:tcPr>
          <w:p>
            <w:pPr>
              <w:spacing w:after="0"/>
              <w:rPr>
                <w:sz w:val="15"/>
                <w:szCs w:val="15"/>
                <w:color w:val="auto"/>
              </w:rPr>
            </w:pPr>
          </w:p>
        </w:tc>
        <w:tc>
          <w:tcPr>
            <w:tcW w:w="2240" w:type="dxa"/>
            <w:vAlign w:val="bottom"/>
            <w:gridSpan w:val="2"/>
            <w:vMerge w:val="continue"/>
            <w:shd w:val="clear" w:color="auto" w:fill="F2F2F2"/>
          </w:tcPr>
          <w:p>
            <w:pPr>
              <w:spacing w:after="0"/>
              <w:rPr>
                <w:sz w:val="15"/>
                <w:szCs w:val="15"/>
                <w:color w:val="auto"/>
              </w:rPr>
            </w:pPr>
          </w:p>
        </w:tc>
        <w:tc>
          <w:tcPr>
            <w:tcW w:w="4940" w:type="dxa"/>
            <w:vAlign w:val="bottom"/>
            <w:shd w:val="clear" w:color="auto" w:fill="F2F2F2"/>
          </w:tcPr>
          <w:p>
            <w:pPr>
              <w:ind w:left="180"/>
              <w:spacing w:after="0" w:line="175" w:lineRule="exact"/>
              <w:rPr>
                <w:sz w:val="20"/>
                <w:szCs w:val="20"/>
                <w:color w:val="auto"/>
              </w:rPr>
            </w:pPr>
            <w:r>
              <w:rPr>
                <w:rFonts w:ascii="Arial" w:cs="Arial" w:eastAsia="Arial" w:hAnsi="Arial"/>
                <w:sz w:val="16"/>
                <w:szCs w:val="16"/>
                <w:color w:val="auto"/>
              </w:rPr>
              <w:t>for Kiehl’s, Urban Decay, IT Cosmetics and Clarisonic. Prior to</w:t>
            </w: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820" w:type="dxa"/>
            <w:vAlign w:val="bottom"/>
            <w:gridSpan w:val="2"/>
            <w:shd w:val="clear" w:color="auto" w:fill="DBE5F1"/>
          </w:tcPr>
          <w:p>
            <w:pPr>
              <w:ind w:left="400"/>
              <w:spacing w:after="0"/>
              <w:rPr>
                <w:sz w:val="20"/>
                <w:szCs w:val="20"/>
                <w:color w:val="auto"/>
              </w:rPr>
            </w:pPr>
            <w:r>
              <w:rPr>
                <w:rFonts w:ascii="Arial" w:cs="Arial" w:eastAsia="Arial" w:hAnsi="Arial"/>
                <w:sz w:val="16"/>
                <w:szCs w:val="16"/>
                <w:color w:val="auto"/>
              </w:rPr>
              <w:t>Independent</w:t>
            </w:r>
          </w:p>
        </w:tc>
        <w:tc>
          <w:tcPr>
            <w:tcW w:w="440" w:type="dxa"/>
            <w:vAlign w:val="bottom"/>
            <w:shd w:val="clear" w:color="auto" w:fill="DBE5F1"/>
          </w:tcPr>
          <w:p>
            <w:pPr>
              <w:spacing w:after="0"/>
              <w:rPr>
                <w:sz w:val="18"/>
                <w:szCs w:val="18"/>
                <w:color w:val="auto"/>
              </w:rPr>
            </w:pPr>
          </w:p>
        </w:tc>
        <w:tc>
          <w:tcPr>
            <w:tcW w:w="460" w:type="dxa"/>
            <w:vAlign w:val="bottom"/>
            <w:shd w:val="clear" w:color="auto" w:fill="DBE5F1"/>
          </w:tcPr>
          <w:p>
            <w:pPr>
              <w:spacing w:after="0"/>
              <w:rPr>
                <w:sz w:val="18"/>
                <w:szCs w:val="18"/>
                <w:color w:val="auto"/>
              </w:rPr>
            </w:pPr>
          </w:p>
        </w:tc>
        <w:tc>
          <w:tcPr>
            <w:tcW w:w="320" w:type="dxa"/>
            <w:vAlign w:val="bottom"/>
            <w:shd w:val="clear" w:color="auto" w:fill="F2F2F2"/>
          </w:tcPr>
          <w:p>
            <w:pPr>
              <w:ind w:left="160"/>
              <w:spacing w:after="0" w:line="218" w:lineRule="exact"/>
              <w:rPr>
                <w:sz w:val="20"/>
                <w:szCs w:val="20"/>
                <w:color w:val="auto"/>
              </w:rPr>
            </w:pPr>
            <w:r>
              <w:rPr>
                <w:rFonts w:ascii="Arial" w:cs="Arial" w:eastAsia="Arial" w:hAnsi="Arial"/>
                <w:sz w:val="22"/>
                <w:szCs w:val="22"/>
                <w:b w:val="1"/>
                <w:bCs w:val="1"/>
                <w:color w:val="4A7EBB"/>
              </w:rPr>
              <w:t>•</w:t>
            </w:r>
          </w:p>
        </w:tc>
        <w:tc>
          <w:tcPr>
            <w:tcW w:w="1920" w:type="dxa"/>
            <w:vAlign w:val="bottom"/>
            <w:shd w:val="clear" w:color="auto" w:fill="F2F2F2"/>
          </w:tcPr>
          <w:p>
            <w:pPr>
              <w:ind w:left="80"/>
              <w:spacing w:after="0"/>
              <w:rPr>
                <w:sz w:val="20"/>
                <w:szCs w:val="20"/>
                <w:color w:val="auto"/>
              </w:rPr>
            </w:pPr>
            <w:r>
              <w:rPr>
                <w:rFonts w:ascii="Arial" w:cs="Arial" w:eastAsia="Arial" w:hAnsi="Arial"/>
                <w:sz w:val="16"/>
                <w:szCs w:val="16"/>
                <w:color w:val="auto"/>
              </w:rPr>
              <w:t>Nominating and</w:t>
            </w:r>
          </w:p>
        </w:tc>
        <w:tc>
          <w:tcPr>
            <w:tcW w:w="4940" w:type="dxa"/>
            <w:vAlign w:val="bottom"/>
            <w:shd w:val="clear" w:color="auto" w:fill="F2F2F2"/>
          </w:tcPr>
          <w:p>
            <w:pPr>
              <w:ind w:left="180"/>
              <w:spacing w:after="0"/>
              <w:rPr>
                <w:sz w:val="20"/>
                <w:szCs w:val="20"/>
                <w:color w:val="auto"/>
              </w:rPr>
            </w:pPr>
            <w:r>
              <w:rPr>
                <w:rFonts w:ascii="Arial" w:cs="Arial" w:eastAsia="Arial" w:hAnsi="Arial"/>
                <w:sz w:val="16"/>
                <w:szCs w:val="16"/>
                <w:color w:val="auto"/>
              </w:rPr>
              <w:t>that, she was the General Manager for the Kiehl’s Worldwide</w:t>
            </w:r>
          </w:p>
        </w:tc>
        <w:tc>
          <w:tcPr>
            <w:tcW w:w="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940" w:type="dxa"/>
            <w:vAlign w:val="bottom"/>
            <w:shd w:val="clear" w:color="auto" w:fill="DBE5F1"/>
          </w:tcPr>
          <w:p>
            <w:pPr>
              <w:spacing w:after="0"/>
              <w:rPr>
                <w:sz w:val="16"/>
                <w:szCs w:val="16"/>
                <w:color w:val="auto"/>
              </w:rPr>
            </w:pPr>
          </w:p>
        </w:tc>
        <w:tc>
          <w:tcPr>
            <w:tcW w:w="880" w:type="dxa"/>
            <w:vAlign w:val="bottom"/>
            <w:shd w:val="clear" w:color="auto" w:fill="DBE5F1"/>
          </w:tcPr>
          <w:p>
            <w:pPr>
              <w:spacing w:after="0"/>
              <w:rPr>
                <w:sz w:val="16"/>
                <w:szCs w:val="16"/>
                <w:color w:val="auto"/>
              </w:rPr>
            </w:pPr>
          </w:p>
        </w:tc>
        <w:tc>
          <w:tcPr>
            <w:tcW w:w="440" w:type="dxa"/>
            <w:vAlign w:val="bottom"/>
            <w:shd w:val="clear" w:color="auto" w:fill="DBE5F1"/>
          </w:tcPr>
          <w:p>
            <w:pPr>
              <w:spacing w:after="0"/>
              <w:rPr>
                <w:sz w:val="16"/>
                <w:szCs w:val="16"/>
                <w:color w:val="auto"/>
              </w:rPr>
            </w:pPr>
          </w:p>
        </w:tc>
        <w:tc>
          <w:tcPr>
            <w:tcW w:w="460" w:type="dxa"/>
            <w:vAlign w:val="bottom"/>
            <w:shd w:val="clear" w:color="auto" w:fill="DBE5F1"/>
          </w:tcPr>
          <w:p>
            <w:pPr>
              <w:spacing w:after="0"/>
              <w:rPr>
                <w:sz w:val="16"/>
                <w:szCs w:val="16"/>
                <w:color w:val="auto"/>
              </w:rPr>
            </w:pPr>
          </w:p>
        </w:tc>
        <w:tc>
          <w:tcPr>
            <w:tcW w:w="320" w:type="dxa"/>
            <w:vAlign w:val="bottom"/>
            <w:shd w:val="clear" w:color="auto" w:fill="F2F2F2"/>
          </w:tcPr>
          <w:p>
            <w:pPr>
              <w:spacing w:after="0"/>
              <w:rPr>
                <w:sz w:val="16"/>
                <w:szCs w:val="16"/>
                <w:color w:val="auto"/>
              </w:rPr>
            </w:pPr>
          </w:p>
        </w:tc>
        <w:tc>
          <w:tcPr>
            <w:tcW w:w="1920" w:type="dxa"/>
            <w:vAlign w:val="bottom"/>
            <w:shd w:val="clear" w:color="auto" w:fill="F2F2F2"/>
          </w:tcPr>
          <w:p>
            <w:pPr>
              <w:ind w:left="80"/>
              <w:spacing w:after="0"/>
              <w:rPr>
                <w:sz w:val="20"/>
                <w:szCs w:val="20"/>
                <w:color w:val="auto"/>
              </w:rPr>
            </w:pPr>
            <w:r>
              <w:rPr>
                <w:rFonts w:ascii="Arial" w:cs="Arial" w:eastAsia="Arial" w:hAnsi="Arial"/>
                <w:sz w:val="16"/>
                <w:szCs w:val="16"/>
                <w:color w:val="auto"/>
              </w:rPr>
              <w:t>Corporate Governance</w:t>
            </w:r>
          </w:p>
        </w:tc>
        <w:tc>
          <w:tcPr>
            <w:tcW w:w="4940" w:type="dxa"/>
            <w:vAlign w:val="bottom"/>
            <w:shd w:val="clear" w:color="auto" w:fill="F2F2F2"/>
          </w:tcPr>
          <w:p>
            <w:pPr>
              <w:ind w:left="180"/>
              <w:spacing w:after="0"/>
              <w:rPr>
                <w:sz w:val="20"/>
                <w:szCs w:val="20"/>
                <w:color w:val="auto"/>
              </w:rPr>
            </w:pPr>
            <w:r>
              <w:rPr>
                <w:rFonts w:ascii="Arial" w:cs="Arial" w:eastAsia="Arial" w:hAnsi="Arial"/>
                <w:sz w:val="16"/>
                <w:szCs w:val="16"/>
                <w:color w:val="auto"/>
              </w:rPr>
              <w:t>division of L’Oréal for ten years. Other positions with L’Oréal</w:t>
            </w:r>
          </w:p>
        </w:tc>
        <w:tc>
          <w:tcPr>
            <w:tcW w:w="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940" w:type="dxa"/>
            <w:vAlign w:val="bottom"/>
            <w:shd w:val="clear" w:color="auto" w:fill="DBE5F1"/>
          </w:tcPr>
          <w:p>
            <w:pPr>
              <w:spacing w:after="0"/>
              <w:rPr>
                <w:sz w:val="15"/>
                <w:szCs w:val="15"/>
                <w:color w:val="auto"/>
              </w:rPr>
            </w:pPr>
          </w:p>
        </w:tc>
        <w:tc>
          <w:tcPr>
            <w:tcW w:w="880" w:type="dxa"/>
            <w:vAlign w:val="bottom"/>
            <w:shd w:val="clear" w:color="auto" w:fill="DBE5F1"/>
          </w:tcPr>
          <w:p>
            <w:pPr>
              <w:spacing w:after="0"/>
              <w:rPr>
                <w:sz w:val="15"/>
                <w:szCs w:val="15"/>
                <w:color w:val="auto"/>
              </w:rPr>
            </w:pPr>
          </w:p>
        </w:tc>
        <w:tc>
          <w:tcPr>
            <w:tcW w:w="440" w:type="dxa"/>
            <w:vAlign w:val="bottom"/>
            <w:shd w:val="clear" w:color="auto" w:fill="DBE5F1"/>
          </w:tcPr>
          <w:p>
            <w:pPr>
              <w:spacing w:after="0"/>
              <w:rPr>
                <w:sz w:val="15"/>
                <w:szCs w:val="15"/>
                <w:color w:val="auto"/>
              </w:rPr>
            </w:pPr>
          </w:p>
        </w:tc>
        <w:tc>
          <w:tcPr>
            <w:tcW w:w="460" w:type="dxa"/>
            <w:vAlign w:val="bottom"/>
            <w:shd w:val="clear" w:color="auto" w:fill="DBE5F1"/>
          </w:tcPr>
          <w:p>
            <w:pPr>
              <w:spacing w:after="0"/>
              <w:rPr>
                <w:sz w:val="15"/>
                <w:szCs w:val="15"/>
                <w:color w:val="auto"/>
              </w:rPr>
            </w:pPr>
          </w:p>
        </w:tc>
        <w:tc>
          <w:tcPr>
            <w:tcW w:w="320" w:type="dxa"/>
            <w:vAlign w:val="bottom"/>
            <w:shd w:val="clear" w:color="auto" w:fill="F2F2F2"/>
          </w:tcPr>
          <w:p>
            <w:pPr>
              <w:spacing w:after="0"/>
              <w:rPr>
                <w:sz w:val="15"/>
                <w:szCs w:val="15"/>
                <w:color w:val="auto"/>
              </w:rPr>
            </w:pPr>
          </w:p>
        </w:tc>
        <w:tc>
          <w:tcPr>
            <w:tcW w:w="1920" w:type="dxa"/>
            <w:vAlign w:val="bottom"/>
            <w:shd w:val="clear" w:color="auto" w:fill="F2F2F2"/>
          </w:tcPr>
          <w:p>
            <w:pPr>
              <w:spacing w:after="0"/>
              <w:rPr>
                <w:sz w:val="15"/>
                <w:szCs w:val="15"/>
                <w:color w:val="auto"/>
              </w:rPr>
            </w:pPr>
          </w:p>
        </w:tc>
        <w:tc>
          <w:tcPr>
            <w:tcW w:w="4940" w:type="dxa"/>
            <w:vAlign w:val="bottom"/>
            <w:shd w:val="clear" w:color="auto" w:fill="F2F2F2"/>
          </w:tcPr>
          <w:p>
            <w:pPr>
              <w:ind w:left="180"/>
              <w:spacing w:after="0" w:line="175" w:lineRule="exact"/>
              <w:rPr>
                <w:sz w:val="20"/>
                <w:szCs w:val="20"/>
                <w:color w:val="auto"/>
              </w:rPr>
            </w:pPr>
            <w:r>
              <w:rPr>
                <w:rFonts w:ascii="Arial" w:cs="Arial" w:eastAsia="Arial" w:hAnsi="Arial"/>
                <w:sz w:val="16"/>
                <w:szCs w:val="16"/>
                <w:color w:val="auto"/>
              </w:rPr>
              <w:t>included serving as Senior Vice President-Marketing for the</w:t>
            </w: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40" w:type="dxa"/>
            <w:vAlign w:val="bottom"/>
            <w:shd w:val="clear" w:color="auto" w:fill="DBE5F1"/>
          </w:tcPr>
          <w:p>
            <w:pPr>
              <w:spacing w:after="0"/>
              <w:rPr>
                <w:sz w:val="16"/>
                <w:szCs w:val="16"/>
                <w:color w:val="auto"/>
              </w:rPr>
            </w:pPr>
          </w:p>
        </w:tc>
        <w:tc>
          <w:tcPr>
            <w:tcW w:w="880" w:type="dxa"/>
            <w:vAlign w:val="bottom"/>
            <w:shd w:val="clear" w:color="auto" w:fill="DBE5F1"/>
          </w:tcPr>
          <w:p>
            <w:pPr>
              <w:spacing w:after="0"/>
              <w:rPr>
                <w:sz w:val="16"/>
                <w:szCs w:val="16"/>
                <w:color w:val="auto"/>
              </w:rPr>
            </w:pPr>
          </w:p>
        </w:tc>
        <w:tc>
          <w:tcPr>
            <w:tcW w:w="440" w:type="dxa"/>
            <w:vAlign w:val="bottom"/>
            <w:shd w:val="clear" w:color="auto" w:fill="DBE5F1"/>
          </w:tcPr>
          <w:p>
            <w:pPr>
              <w:spacing w:after="0"/>
              <w:rPr>
                <w:sz w:val="16"/>
                <w:szCs w:val="16"/>
                <w:color w:val="auto"/>
              </w:rPr>
            </w:pPr>
          </w:p>
        </w:tc>
        <w:tc>
          <w:tcPr>
            <w:tcW w:w="460" w:type="dxa"/>
            <w:vAlign w:val="bottom"/>
            <w:shd w:val="clear" w:color="auto" w:fill="DBE5F1"/>
          </w:tcPr>
          <w:p>
            <w:pPr>
              <w:spacing w:after="0"/>
              <w:rPr>
                <w:sz w:val="16"/>
                <w:szCs w:val="16"/>
                <w:color w:val="auto"/>
              </w:rPr>
            </w:pPr>
          </w:p>
        </w:tc>
        <w:tc>
          <w:tcPr>
            <w:tcW w:w="320" w:type="dxa"/>
            <w:vAlign w:val="bottom"/>
            <w:shd w:val="clear" w:color="auto" w:fill="F2F2F2"/>
          </w:tcPr>
          <w:p>
            <w:pPr>
              <w:spacing w:after="0"/>
              <w:rPr>
                <w:sz w:val="16"/>
                <w:szCs w:val="16"/>
                <w:color w:val="auto"/>
              </w:rPr>
            </w:pPr>
          </w:p>
        </w:tc>
        <w:tc>
          <w:tcPr>
            <w:tcW w:w="1920" w:type="dxa"/>
            <w:vAlign w:val="bottom"/>
            <w:shd w:val="clear" w:color="auto" w:fill="F2F2F2"/>
          </w:tcPr>
          <w:p>
            <w:pPr>
              <w:spacing w:after="0"/>
              <w:rPr>
                <w:sz w:val="16"/>
                <w:szCs w:val="16"/>
                <w:color w:val="auto"/>
              </w:rPr>
            </w:pPr>
          </w:p>
        </w:tc>
        <w:tc>
          <w:tcPr>
            <w:tcW w:w="4940" w:type="dxa"/>
            <w:vAlign w:val="bottom"/>
            <w:shd w:val="clear" w:color="auto" w:fill="F2F2F2"/>
          </w:tcPr>
          <w:p>
            <w:pPr>
              <w:ind w:left="180"/>
              <w:spacing w:after="0"/>
              <w:rPr>
                <w:sz w:val="20"/>
                <w:szCs w:val="20"/>
                <w:color w:val="auto"/>
              </w:rPr>
            </w:pPr>
            <w:r>
              <w:rPr>
                <w:rFonts w:ascii="Arial" w:cs="Arial" w:eastAsia="Arial" w:hAnsi="Arial"/>
                <w:sz w:val="16"/>
                <w:szCs w:val="16"/>
                <w:color w:val="auto"/>
              </w:rPr>
              <w:t>Lancôme brand from 2009 to 2010 and for the Maybelline New</w:t>
            </w:r>
          </w:p>
        </w:tc>
        <w:tc>
          <w:tcPr>
            <w:tcW w:w="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40" w:type="dxa"/>
            <w:vAlign w:val="bottom"/>
            <w:shd w:val="clear" w:color="auto" w:fill="DBE5F1"/>
          </w:tcPr>
          <w:p>
            <w:pPr>
              <w:spacing w:after="0"/>
              <w:rPr>
                <w:sz w:val="16"/>
                <w:szCs w:val="16"/>
                <w:color w:val="auto"/>
              </w:rPr>
            </w:pPr>
          </w:p>
        </w:tc>
        <w:tc>
          <w:tcPr>
            <w:tcW w:w="880" w:type="dxa"/>
            <w:vAlign w:val="bottom"/>
            <w:shd w:val="clear" w:color="auto" w:fill="DBE5F1"/>
          </w:tcPr>
          <w:p>
            <w:pPr>
              <w:spacing w:after="0"/>
              <w:rPr>
                <w:sz w:val="16"/>
                <w:szCs w:val="16"/>
                <w:color w:val="auto"/>
              </w:rPr>
            </w:pPr>
          </w:p>
        </w:tc>
        <w:tc>
          <w:tcPr>
            <w:tcW w:w="440" w:type="dxa"/>
            <w:vAlign w:val="bottom"/>
            <w:shd w:val="clear" w:color="auto" w:fill="DBE5F1"/>
          </w:tcPr>
          <w:p>
            <w:pPr>
              <w:spacing w:after="0"/>
              <w:rPr>
                <w:sz w:val="16"/>
                <w:szCs w:val="16"/>
                <w:color w:val="auto"/>
              </w:rPr>
            </w:pPr>
          </w:p>
        </w:tc>
        <w:tc>
          <w:tcPr>
            <w:tcW w:w="460" w:type="dxa"/>
            <w:vAlign w:val="bottom"/>
            <w:shd w:val="clear" w:color="auto" w:fill="DBE5F1"/>
          </w:tcPr>
          <w:p>
            <w:pPr>
              <w:spacing w:after="0"/>
              <w:rPr>
                <w:sz w:val="16"/>
                <w:szCs w:val="16"/>
                <w:color w:val="auto"/>
              </w:rPr>
            </w:pPr>
          </w:p>
        </w:tc>
        <w:tc>
          <w:tcPr>
            <w:tcW w:w="320" w:type="dxa"/>
            <w:vAlign w:val="bottom"/>
            <w:shd w:val="clear" w:color="auto" w:fill="F2F2F2"/>
          </w:tcPr>
          <w:p>
            <w:pPr>
              <w:spacing w:after="0"/>
              <w:rPr>
                <w:sz w:val="16"/>
                <w:szCs w:val="16"/>
                <w:color w:val="auto"/>
              </w:rPr>
            </w:pPr>
          </w:p>
        </w:tc>
        <w:tc>
          <w:tcPr>
            <w:tcW w:w="1920" w:type="dxa"/>
            <w:vAlign w:val="bottom"/>
            <w:shd w:val="clear" w:color="auto" w:fill="F2F2F2"/>
          </w:tcPr>
          <w:p>
            <w:pPr>
              <w:spacing w:after="0"/>
              <w:rPr>
                <w:sz w:val="16"/>
                <w:szCs w:val="16"/>
                <w:color w:val="auto"/>
              </w:rPr>
            </w:pPr>
          </w:p>
        </w:tc>
        <w:tc>
          <w:tcPr>
            <w:tcW w:w="4940" w:type="dxa"/>
            <w:vAlign w:val="bottom"/>
            <w:shd w:val="clear" w:color="auto" w:fill="F2F2F2"/>
          </w:tcPr>
          <w:p>
            <w:pPr>
              <w:ind w:left="180"/>
              <w:spacing w:after="0"/>
              <w:rPr>
                <w:sz w:val="20"/>
                <w:szCs w:val="20"/>
                <w:color w:val="auto"/>
              </w:rPr>
            </w:pPr>
            <w:r>
              <w:rPr>
                <w:rFonts w:ascii="Arial" w:cs="Arial" w:eastAsia="Arial" w:hAnsi="Arial"/>
                <w:sz w:val="16"/>
                <w:szCs w:val="16"/>
                <w:color w:val="auto"/>
              </w:rPr>
              <w:t>York/Garnier brand from 2003 to 2009. Prior to L’Oréal, she held</w:t>
            </w:r>
          </w:p>
        </w:tc>
        <w:tc>
          <w:tcPr>
            <w:tcW w:w="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40" w:type="dxa"/>
            <w:vAlign w:val="bottom"/>
            <w:shd w:val="clear" w:color="auto" w:fill="DBE5F1"/>
          </w:tcPr>
          <w:p>
            <w:pPr>
              <w:spacing w:after="0"/>
              <w:rPr>
                <w:sz w:val="16"/>
                <w:szCs w:val="16"/>
                <w:color w:val="auto"/>
              </w:rPr>
            </w:pPr>
          </w:p>
        </w:tc>
        <w:tc>
          <w:tcPr>
            <w:tcW w:w="880" w:type="dxa"/>
            <w:vAlign w:val="bottom"/>
            <w:shd w:val="clear" w:color="auto" w:fill="DBE5F1"/>
          </w:tcPr>
          <w:p>
            <w:pPr>
              <w:spacing w:after="0"/>
              <w:rPr>
                <w:sz w:val="16"/>
                <w:szCs w:val="16"/>
                <w:color w:val="auto"/>
              </w:rPr>
            </w:pPr>
          </w:p>
        </w:tc>
        <w:tc>
          <w:tcPr>
            <w:tcW w:w="440" w:type="dxa"/>
            <w:vAlign w:val="bottom"/>
            <w:shd w:val="clear" w:color="auto" w:fill="DBE5F1"/>
          </w:tcPr>
          <w:p>
            <w:pPr>
              <w:spacing w:after="0"/>
              <w:rPr>
                <w:sz w:val="16"/>
                <w:szCs w:val="16"/>
                <w:color w:val="auto"/>
              </w:rPr>
            </w:pPr>
          </w:p>
        </w:tc>
        <w:tc>
          <w:tcPr>
            <w:tcW w:w="460" w:type="dxa"/>
            <w:vAlign w:val="bottom"/>
            <w:shd w:val="clear" w:color="auto" w:fill="DBE5F1"/>
          </w:tcPr>
          <w:p>
            <w:pPr>
              <w:spacing w:after="0"/>
              <w:rPr>
                <w:sz w:val="16"/>
                <w:szCs w:val="16"/>
                <w:color w:val="auto"/>
              </w:rPr>
            </w:pPr>
          </w:p>
        </w:tc>
        <w:tc>
          <w:tcPr>
            <w:tcW w:w="320" w:type="dxa"/>
            <w:vAlign w:val="bottom"/>
            <w:shd w:val="clear" w:color="auto" w:fill="F2F2F2"/>
          </w:tcPr>
          <w:p>
            <w:pPr>
              <w:spacing w:after="0"/>
              <w:rPr>
                <w:sz w:val="16"/>
                <w:szCs w:val="16"/>
                <w:color w:val="auto"/>
              </w:rPr>
            </w:pPr>
          </w:p>
        </w:tc>
        <w:tc>
          <w:tcPr>
            <w:tcW w:w="1920" w:type="dxa"/>
            <w:vAlign w:val="bottom"/>
            <w:shd w:val="clear" w:color="auto" w:fill="F2F2F2"/>
          </w:tcPr>
          <w:p>
            <w:pPr>
              <w:spacing w:after="0"/>
              <w:rPr>
                <w:sz w:val="16"/>
                <w:szCs w:val="16"/>
                <w:color w:val="auto"/>
              </w:rPr>
            </w:pPr>
          </w:p>
        </w:tc>
        <w:tc>
          <w:tcPr>
            <w:tcW w:w="4940" w:type="dxa"/>
            <w:vAlign w:val="bottom"/>
            <w:shd w:val="clear" w:color="auto" w:fill="F2F2F2"/>
          </w:tcPr>
          <w:p>
            <w:pPr>
              <w:ind w:left="180"/>
              <w:spacing w:after="0"/>
              <w:rPr>
                <w:sz w:val="20"/>
                <w:szCs w:val="20"/>
                <w:color w:val="auto"/>
              </w:rPr>
            </w:pPr>
            <w:r>
              <w:rPr>
                <w:rFonts w:ascii="Arial" w:cs="Arial" w:eastAsia="Arial" w:hAnsi="Arial"/>
                <w:sz w:val="16"/>
                <w:szCs w:val="16"/>
                <w:color w:val="auto"/>
              </w:rPr>
              <w:t>various executive positions with Revlon Consumer Products</w:t>
            </w:r>
          </w:p>
        </w:tc>
        <w:tc>
          <w:tcPr>
            <w:tcW w:w="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40" w:type="dxa"/>
            <w:vAlign w:val="bottom"/>
            <w:shd w:val="clear" w:color="auto" w:fill="DBE5F1"/>
          </w:tcPr>
          <w:p>
            <w:pPr>
              <w:spacing w:after="0"/>
              <w:rPr>
                <w:sz w:val="16"/>
                <w:szCs w:val="16"/>
                <w:color w:val="auto"/>
              </w:rPr>
            </w:pPr>
          </w:p>
        </w:tc>
        <w:tc>
          <w:tcPr>
            <w:tcW w:w="880" w:type="dxa"/>
            <w:vAlign w:val="bottom"/>
            <w:shd w:val="clear" w:color="auto" w:fill="DBE5F1"/>
          </w:tcPr>
          <w:p>
            <w:pPr>
              <w:spacing w:after="0"/>
              <w:rPr>
                <w:sz w:val="16"/>
                <w:szCs w:val="16"/>
                <w:color w:val="auto"/>
              </w:rPr>
            </w:pPr>
          </w:p>
        </w:tc>
        <w:tc>
          <w:tcPr>
            <w:tcW w:w="440" w:type="dxa"/>
            <w:vAlign w:val="bottom"/>
            <w:shd w:val="clear" w:color="auto" w:fill="DBE5F1"/>
          </w:tcPr>
          <w:p>
            <w:pPr>
              <w:spacing w:after="0"/>
              <w:rPr>
                <w:sz w:val="16"/>
                <w:szCs w:val="16"/>
                <w:color w:val="auto"/>
              </w:rPr>
            </w:pPr>
          </w:p>
        </w:tc>
        <w:tc>
          <w:tcPr>
            <w:tcW w:w="460" w:type="dxa"/>
            <w:vAlign w:val="bottom"/>
            <w:shd w:val="clear" w:color="auto" w:fill="DBE5F1"/>
          </w:tcPr>
          <w:p>
            <w:pPr>
              <w:spacing w:after="0"/>
              <w:rPr>
                <w:sz w:val="16"/>
                <w:szCs w:val="16"/>
                <w:color w:val="auto"/>
              </w:rPr>
            </w:pPr>
          </w:p>
        </w:tc>
        <w:tc>
          <w:tcPr>
            <w:tcW w:w="320" w:type="dxa"/>
            <w:vAlign w:val="bottom"/>
            <w:shd w:val="clear" w:color="auto" w:fill="F2F2F2"/>
          </w:tcPr>
          <w:p>
            <w:pPr>
              <w:spacing w:after="0"/>
              <w:rPr>
                <w:sz w:val="16"/>
                <w:szCs w:val="16"/>
                <w:color w:val="auto"/>
              </w:rPr>
            </w:pPr>
          </w:p>
        </w:tc>
        <w:tc>
          <w:tcPr>
            <w:tcW w:w="1920" w:type="dxa"/>
            <w:vAlign w:val="bottom"/>
            <w:shd w:val="clear" w:color="auto" w:fill="F2F2F2"/>
          </w:tcPr>
          <w:p>
            <w:pPr>
              <w:spacing w:after="0"/>
              <w:rPr>
                <w:sz w:val="16"/>
                <w:szCs w:val="16"/>
                <w:color w:val="auto"/>
              </w:rPr>
            </w:pPr>
          </w:p>
        </w:tc>
        <w:tc>
          <w:tcPr>
            <w:tcW w:w="4940" w:type="dxa"/>
            <w:vAlign w:val="bottom"/>
            <w:shd w:val="clear" w:color="auto" w:fill="F2F2F2"/>
          </w:tcPr>
          <w:p>
            <w:pPr>
              <w:ind w:left="180"/>
              <w:spacing w:after="0"/>
              <w:rPr>
                <w:sz w:val="20"/>
                <w:szCs w:val="20"/>
                <w:color w:val="auto"/>
              </w:rPr>
            </w:pPr>
            <w:r>
              <w:rPr>
                <w:rFonts w:ascii="Arial" w:cs="Arial" w:eastAsia="Arial" w:hAnsi="Arial"/>
                <w:sz w:val="16"/>
                <w:szCs w:val="16"/>
                <w:color w:val="auto"/>
              </w:rPr>
              <w:t>Company, a cosmetics and beauty care company, and Procter</w:t>
            </w:r>
          </w:p>
        </w:tc>
        <w:tc>
          <w:tcPr>
            <w:tcW w:w="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40" w:type="dxa"/>
            <w:vAlign w:val="bottom"/>
            <w:shd w:val="clear" w:color="auto" w:fill="DBE5F1"/>
          </w:tcPr>
          <w:p>
            <w:pPr>
              <w:spacing w:after="0"/>
              <w:rPr>
                <w:sz w:val="16"/>
                <w:szCs w:val="16"/>
                <w:color w:val="auto"/>
              </w:rPr>
            </w:pPr>
          </w:p>
        </w:tc>
        <w:tc>
          <w:tcPr>
            <w:tcW w:w="880" w:type="dxa"/>
            <w:vAlign w:val="bottom"/>
            <w:shd w:val="clear" w:color="auto" w:fill="DBE5F1"/>
          </w:tcPr>
          <w:p>
            <w:pPr>
              <w:spacing w:after="0"/>
              <w:rPr>
                <w:sz w:val="16"/>
                <w:szCs w:val="16"/>
                <w:color w:val="auto"/>
              </w:rPr>
            </w:pPr>
          </w:p>
        </w:tc>
        <w:tc>
          <w:tcPr>
            <w:tcW w:w="440" w:type="dxa"/>
            <w:vAlign w:val="bottom"/>
            <w:shd w:val="clear" w:color="auto" w:fill="DBE5F1"/>
          </w:tcPr>
          <w:p>
            <w:pPr>
              <w:spacing w:after="0"/>
              <w:rPr>
                <w:sz w:val="16"/>
                <w:szCs w:val="16"/>
                <w:color w:val="auto"/>
              </w:rPr>
            </w:pPr>
          </w:p>
        </w:tc>
        <w:tc>
          <w:tcPr>
            <w:tcW w:w="460" w:type="dxa"/>
            <w:vAlign w:val="bottom"/>
            <w:shd w:val="clear" w:color="auto" w:fill="DBE5F1"/>
          </w:tcPr>
          <w:p>
            <w:pPr>
              <w:spacing w:after="0"/>
              <w:rPr>
                <w:sz w:val="16"/>
                <w:szCs w:val="16"/>
                <w:color w:val="auto"/>
              </w:rPr>
            </w:pPr>
          </w:p>
        </w:tc>
        <w:tc>
          <w:tcPr>
            <w:tcW w:w="320" w:type="dxa"/>
            <w:vAlign w:val="bottom"/>
            <w:shd w:val="clear" w:color="auto" w:fill="F2F2F2"/>
          </w:tcPr>
          <w:p>
            <w:pPr>
              <w:spacing w:after="0"/>
              <w:rPr>
                <w:sz w:val="16"/>
                <w:szCs w:val="16"/>
                <w:color w:val="auto"/>
              </w:rPr>
            </w:pPr>
          </w:p>
        </w:tc>
        <w:tc>
          <w:tcPr>
            <w:tcW w:w="1920" w:type="dxa"/>
            <w:vAlign w:val="bottom"/>
            <w:shd w:val="clear" w:color="auto" w:fill="F2F2F2"/>
          </w:tcPr>
          <w:p>
            <w:pPr>
              <w:spacing w:after="0"/>
              <w:rPr>
                <w:sz w:val="16"/>
                <w:szCs w:val="16"/>
                <w:color w:val="auto"/>
              </w:rPr>
            </w:pPr>
          </w:p>
        </w:tc>
        <w:tc>
          <w:tcPr>
            <w:tcW w:w="4940" w:type="dxa"/>
            <w:vAlign w:val="bottom"/>
            <w:shd w:val="clear" w:color="auto" w:fill="F2F2F2"/>
          </w:tcPr>
          <w:p>
            <w:pPr>
              <w:ind w:left="180"/>
              <w:spacing w:after="0"/>
              <w:rPr>
                <w:sz w:val="20"/>
                <w:szCs w:val="20"/>
                <w:color w:val="auto"/>
              </w:rPr>
            </w:pPr>
            <w:r>
              <w:rPr>
                <w:rFonts w:ascii="Arial" w:cs="Arial" w:eastAsia="Arial" w:hAnsi="Arial"/>
                <w:sz w:val="16"/>
                <w:szCs w:val="16"/>
                <w:color w:val="auto"/>
              </w:rPr>
              <w:t>and Gamble. Cheryl Vitali served on the Board of Directors of</w:t>
            </w:r>
          </w:p>
        </w:tc>
        <w:tc>
          <w:tcPr>
            <w:tcW w:w="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40" w:type="dxa"/>
            <w:vAlign w:val="bottom"/>
            <w:shd w:val="clear" w:color="auto" w:fill="DBE5F1"/>
          </w:tcPr>
          <w:p>
            <w:pPr>
              <w:spacing w:after="0"/>
              <w:rPr>
                <w:sz w:val="16"/>
                <w:szCs w:val="16"/>
                <w:color w:val="auto"/>
              </w:rPr>
            </w:pPr>
          </w:p>
        </w:tc>
        <w:tc>
          <w:tcPr>
            <w:tcW w:w="880" w:type="dxa"/>
            <w:vAlign w:val="bottom"/>
            <w:shd w:val="clear" w:color="auto" w:fill="DBE5F1"/>
          </w:tcPr>
          <w:p>
            <w:pPr>
              <w:spacing w:after="0"/>
              <w:rPr>
                <w:sz w:val="16"/>
                <w:szCs w:val="16"/>
                <w:color w:val="auto"/>
              </w:rPr>
            </w:pPr>
          </w:p>
        </w:tc>
        <w:tc>
          <w:tcPr>
            <w:tcW w:w="440" w:type="dxa"/>
            <w:vAlign w:val="bottom"/>
            <w:shd w:val="clear" w:color="auto" w:fill="DBE5F1"/>
          </w:tcPr>
          <w:p>
            <w:pPr>
              <w:spacing w:after="0"/>
              <w:rPr>
                <w:sz w:val="16"/>
                <w:szCs w:val="16"/>
                <w:color w:val="auto"/>
              </w:rPr>
            </w:pPr>
          </w:p>
        </w:tc>
        <w:tc>
          <w:tcPr>
            <w:tcW w:w="460" w:type="dxa"/>
            <w:vAlign w:val="bottom"/>
            <w:shd w:val="clear" w:color="auto" w:fill="DBE5F1"/>
          </w:tcPr>
          <w:p>
            <w:pPr>
              <w:spacing w:after="0"/>
              <w:rPr>
                <w:sz w:val="16"/>
                <w:szCs w:val="16"/>
                <w:color w:val="auto"/>
              </w:rPr>
            </w:pPr>
          </w:p>
        </w:tc>
        <w:tc>
          <w:tcPr>
            <w:tcW w:w="320" w:type="dxa"/>
            <w:vAlign w:val="bottom"/>
            <w:shd w:val="clear" w:color="auto" w:fill="F2F2F2"/>
          </w:tcPr>
          <w:p>
            <w:pPr>
              <w:spacing w:after="0"/>
              <w:rPr>
                <w:sz w:val="16"/>
                <w:szCs w:val="16"/>
                <w:color w:val="auto"/>
              </w:rPr>
            </w:pPr>
          </w:p>
        </w:tc>
        <w:tc>
          <w:tcPr>
            <w:tcW w:w="1920" w:type="dxa"/>
            <w:vAlign w:val="bottom"/>
            <w:shd w:val="clear" w:color="auto" w:fill="F2F2F2"/>
          </w:tcPr>
          <w:p>
            <w:pPr>
              <w:spacing w:after="0"/>
              <w:rPr>
                <w:sz w:val="16"/>
                <w:szCs w:val="16"/>
                <w:color w:val="auto"/>
              </w:rPr>
            </w:pPr>
          </w:p>
        </w:tc>
        <w:tc>
          <w:tcPr>
            <w:tcW w:w="4940" w:type="dxa"/>
            <w:vAlign w:val="bottom"/>
            <w:shd w:val="clear" w:color="auto" w:fill="F2F2F2"/>
          </w:tcPr>
          <w:p>
            <w:pPr>
              <w:ind w:left="180"/>
              <w:spacing w:after="0"/>
              <w:rPr>
                <w:sz w:val="20"/>
                <w:szCs w:val="20"/>
                <w:color w:val="auto"/>
              </w:rPr>
            </w:pPr>
            <w:r>
              <w:rPr>
                <w:rFonts w:ascii="Arial" w:cs="Arial" w:eastAsia="Arial" w:hAnsi="Arial"/>
                <w:sz w:val="16"/>
                <w:szCs w:val="16"/>
                <w:color w:val="auto"/>
              </w:rPr>
              <w:t>(i) Wilsons Leather from 2000 through 2024 and (ii) Autism</w:t>
            </w:r>
          </w:p>
        </w:tc>
        <w:tc>
          <w:tcPr>
            <w:tcW w:w="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940" w:type="dxa"/>
            <w:vAlign w:val="bottom"/>
            <w:shd w:val="clear" w:color="auto" w:fill="DBE5F1"/>
          </w:tcPr>
          <w:p>
            <w:pPr>
              <w:spacing w:after="0"/>
              <w:rPr>
                <w:sz w:val="18"/>
                <w:szCs w:val="18"/>
                <w:color w:val="auto"/>
              </w:rPr>
            </w:pPr>
          </w:p>
        </w:tc>
        <w:tc>
          <w:tcPr>
            <w:tcW w:w="880" w:type="dxa"/>
            <w:vAlign w:val="bottom"/>
            <w:shd w:val="clear" w:color="auto" w:fill="DBE5F1"/>
          </w:tcPr>
          <w:p>
            <w:pPr>
              <w:spacing w:after="0"/>
              <w:rPr>
                <w:sz w:val="18"/>
                <w:szCs w:val="18"/>
                <w:color w:val="auto"/>
              </w:rPr>
            </w:pPr>
          </w:p>
        </w:tc>
        <w:tc>
          <w:tcPr>
            <w:tcW w:w="440" w:type="dxa"/>
            <w:vAlign w:val="bottom"/>
            <w:shd w:val="clear" w:color="auto" w:fill="DBE5F1"/>
          </w:tcPr>
          <w:p>
            <w:pPr>
              <w:spacing w:after="0"/>
              <w:rPr>
                <w:sz w:val="18"/>
                <w:szCs w:val="18"/>
                <w:color w:val="auto"/>
              </w:rPr>
            </w:pPr>
          </w:p>
        </w:tc>
        <w:tc>
          <w:tcPr>
            <w:tcW w:w="460" w:type="dxa"/>
            <w:vAlign w:val="bottom"/>
            <w:shd w:val="clear" w:color="auto" w:fill="DBE5F1"/>
          </w:tcPr>
          <w:p>
            <w:pPr>
              <w:spacing w:after="0"/>
              <w:rPr>
                <w:sz w:val="18"/>
                <w:szCs w:val="18"/>
                <w:color w:val="auto"/>
              </w:rPr>
            </w:pPr>
          </w:p>
        </w:tc>
        <w:tc>
          <w:tcPr>
            <w:tcW w:w="320" w:type="dxa"/>
            <w:vAlign w:val="bottom"/>
            <w:shd w:val="clear" w:color="auto" w:fill="F2F2F2"/>
          </w:tcPr>
          <w:p>
            <w:pPr>
              <w:spacing w:after="0"/>
              <w:rPr>
                <w:sz w:val="18"/>
                <w:szCs w:val="18"/>
                <w:color w:val="auto"/>
              </w:rPr>
            </w:pPr>
          </w:p>
        </w:tc>
        <w:tc>
          <w:tcPr>
            <w:tcW w:w="1920" w:type="dxa"/>
            <w:vAlign w:val="bottom"/>
            <w:shd w:val="clear" w:color="auto" w:fill="F2F2F2"/>
          </w:tcPr>
          <w:p>
            <w:pPr>
              <w:spacing w:after="0"/>
              <w:rPr>
                <w:sz w:val="18"/>
                <w:szCs w:val="18"/>
                <w:color w:val="auto"/>
              </w:rPr>
            </w:pPr>
          </w:p>
        </w:tc>
        <w:tc>
          <w:tcPr>
            <w:tcW w:w="4940" w:type="dxa"/>
            <w:vAlign w:val="bottom"/>
            <w:shd w:val="clear" w:color="auto" w:fill="F2F2F2"/>
          </w:tcPr>
          <w:p>
            <w:pPr>
              <w:ind w:left="180"/>
              <w:spacing w:after="0"/>
              <w:rPr>
                <w:sz w:val="20"/>
                <w:szCs w:val="20"/>
                <w:color w:val="auto"/>
              </w:rPr>
            </w:pPr>
            <w:r>
              <w:rPr>
                <w:rFonts w:ascii="Arial" w:cs="Arial" w:eastAsia="Arial" w:hAnsi="Arial"/>
                <w:sz w:val="16"/>
                <w:szCs w:val="16"/>
                <w:color w:val="auto"/>
              </w:rPr>
              <w:t>Speaks from 2018 through 2023.</w:t>
            </w:r>
          </w:p>
        </w:tc>
        <w:tc>
          <w:tcPr>
            <w:tcW w:w="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352"/>
        </w:trPr>
        <w:tc>
          <w:tcPr>
            <w:tcW w:w="940" w:type="dxa"/>
            <w:vAlign w:val="bottom"/>
            <w:shd w:val="clear" w:color="auto" w:fill="DBE5F1"/>
          </w:tcPr>
          <w:p>
            <w:pPr>
              <w:spacing w:after="0"/>
              <w:rPr>
                <w:sz w:val="24"/>
                <w:szCs w:val="24"/>
                <w:color w:val="auto"/>
              </w:rPr>
            </w:pPr>
          </w:p>
        </w:tc>
        <w:tc>
          <w:tcPr>
            <w:tcW w:w="880" w:type="dxa"/>
            <w:vAlign w:val="bottom"/>
            <w:shd w:val="clear" w:color="auto" w:fill="DBE5F1"/>
          </w:tcPr>
          <w:p>
            <w:pPr>
              <w:spacing w:after="0"/>
              <w:rPr>
                <w:sz w:val="24"/>
                <w:szCs w:val="24"/>
                <w:color w:val="auto"/>
              </w:rPr>
            </w:pPr>
          </w:p>
        </w:tc>
        <w:tc>
          <w:tcPr>
            <w:tcW w:w="440" w:type="dxa"/>
            <w:vAlign w:val="bottom"/>
            <w:shd w:val="clear" w:color="auto" w:fill="DBE5F1"/>
          </w:tcPr>
          <w:p>
            <w:pPr>
              <w:spacing w:after="0"/>
              <w:rPr>
                <w:sz w:val="24"/>
                <w:szCs w:val="24"/>
                <w:color w:val="auto"/>
              </w:rPr>
            </w:pPr>
          </w:p>
        </w:tc>
        <w:tc>
          <w:tcPr>
            <w:tcW w:w="460" w:type="dxa"/>
            <w:vAlign w:val="bottom"/>
            <w:shd w:val="clear" w:color="auto" w:fill="DBE5F1"/>
          </w:tcPr>
          <w:p>
            <w:pPr>
              <w:spacing w:after="0"/>
              <w:rPr>
                <w:sz w:val="24"/>
                <w:szCs w:val="24"/>
                <w:color w:val="auto"/>
              </w:rPr>
            </w:pPr>
          </w:p>
        </w:tc>
        <w:tc>
          <w:tcPr>
            <w:tcW w:w="320" w:type="dxa"/>
            <w:vAlign w:val="bottom"/>
            <w:shd w:val="clear" w:color="auto" w:fill="F2F2F2"/>
          </w:tcPr>
          <w:p>
            <w:pPr>
              <w:spacing w:after="0"/>
              <w:rPr>
                <w:sz w:val="24"/>
                <w:szCs w:val="24"/>
                <w:color w:val="auto"/>
              </w:rPr>
            </w:pPr>
          </w:p>
        </w:tc>
        <w:tc>
          <w:tcPr>
            <w:tcW w:w="1920" w:type="dxa"/>
            <w:vAlign w:val="bottom"/>
            <w:shd w:val="clear" w:color="auto" w:fill="F2F2F2"/>
          </w:tcPr>
          <w:p>
            <w:pPr>
              <w:spacing w:after="0"/>
              <w:rPr>
                <w:sz w:val="24"/>
                <w:szCs w:val="24"/>
                <w:color w:val="auto"/>
              </w:rPr>
            </w:pPr>
          </w:p>
        </w:tc>
        <w:tc>
          <w:tcPr>
            <w:tcW w:w="4940" w:type="dxa"/>
            <w:vAlign w:val="bottom"/>
            <w:shd w:val="clear" w:color="auto" w:fill="F2F2F2"/>
          </w:tcPr>
          <w:p>
            <w:pPr>
              <w:ind w:left="180"/>
              <w:spacing w:after="0"/>
              <w:rPr>
                <w:sz w:val="20"/>
                <w:szCs w:val="20"/>
                <w:color w:val="auto"/>
              </w:rPr>
            </w:pPr>
            <w:r>
              <w:rPr>
                <w:rFonts w:ascii="Arial" w:cs="Arial" w:eastAsia="Arial" w:hAnsi="Arial"/>
                <w:sz w:val="16"/>
                <w:szCs w:val="16"/>
                <w:b w:val="1"/>
                <w:bCs w:val="1"/>
                <w:color w:val="4A7EBB"/>
              </w:rPr>
              <w:t>Qualifications</w:t>
            </w:r>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40" w:type="dxa"/>
            <w:vAlign w:val="bottom"/>
            <w:shd w:val="clear" w:color="auto" w:fill="DBE5F1"/>
          </w:tcPr>
          <w:p>
            <w:pPr>
              <w:spacing w:after="0"/>
              <w:rPr>
                <w:sz w:val="16"/>
                <w:szCs w:val="16"/>
                <w:color w:val="auto"/>
              </w:rPr>
            </w:pPr>
          </w:p>
        </w:tc>
        <w:tc>
          <w:tcPr>
            <w:tcW w:w="880" w:type="dxa"/>
            <w:vAlign w:val="bottom"/>
            <w:shd w:val="clear" w:color="auto" w:fill="DBE5F1"/>
          </w:tcPr>
          <w:p>
            <w:pPr>
              <w:spacing w:after="0"/>
              <w:rPr>
                <w:sz w:val="16"/>
                <w:szCs w:val="16"/>
                <w:color w:val="auto"/>
              </w:rPr>
            </w:pPr>
          </w:p>
        </w:tc>
        <w:tc>
          <w:tcPr>
            <w:tcW w:w="440" w:type="dxa"/>
            <w:vAlign w:val="bottom"/>
            <w:shd w:val="clear" w:color="auto" w:fill="DBE5F1"/>
          </w:tcPr>
          <w:p>
            <w:pPr>
              <w:spacing w:after="0"/>
              <w:rPr>
                <w:sz w:val="16"/>
                <w:szCs w:val="16"/>
                <w:color w:val="auto"/>
              </w:rPr>
            </w:pPr>
          </w:p>
        </w:tc>
        <w:tc>
          <w:tcPr>
            <w:tcW w:w="460" w:type="dxa"/>
            <w:vAlign w:val="bottom"/>
            <w:shd w:val="clear" w:color="auto" w:fill="DBE5F1"/>
          </w:tcPr>
          <w:p>
            <w:pPr>
              <w:spacing w:after="0"/>
              <w:rPr>
                <w:sz w:val="16"/>
                <w:szCs w:val="16"/>
                <w:color w:val="auto"/>
              </w:rPr>
            </w:pPr>
          </w:p>
        </w:tc>
        <w:tc>
          <w:tcPr>
            <w:tcW w:w="320" w:type="dxa"/>
            <w:vAlign w:val="bottom"/>
            <w:shd w:val="clear" w:color="auto" w:fill="F2F2F2"/>
          </w:tcPr>
          <w:p>
            <w:pPr>
              <w:spacing w:after="0"/>
              <w:rPr>
                <w:sz w:val="16"/>
                <w:szCs w:val="16"/>
                <w:color w:val="auto"/>
              </w:rPr>
            </w:pPr>
          </w:p>
        </w:tc>
        <w:tc>
          <w:tcPr>
            <w:tcW w:w="1920" w:type="dxa"/>
            <w:vAlign w:val="bottom"/>
            <w:shd w:val="clear" w:color="auto" w:fill="F2F2F2"/>
          </w:tcPr>
          <w:p>
            <w:pPr>
              <w:spacing w:after="0"/>
              <w:rPr>
                <w:sz w:val="16"/>
                <w:szCs w:val="16"/>
                <w:color w:val="auto"/>
              </w:rPr>
            </w:pPr>
          </w:p>
        </w:tc>
        <w:tc>
          <w:tcPr>
            <w:tcW w:w="4940" w:type="dxa"/>
            <w:vAlign w:val="bottom"/>
            <w:shd w:val="clear" w:color="auto" w:fill="F2F2F2"/>
          </w:tcPr>
          <w:p>
            <w:pPr>
              <w:ind w:left="180"/>
              <w:spacing w:after="0"/>
              <w:rPr>
                <w:sz w:val="20"/>
                <w:szCs w:val="20"/>
                <w:color w:val="auto"/>
              </w:rPr>
            </w:pPr>
            <w:r>
              <w:rPr>
                <w:rFonts w:ascii="Arial" w:cs="Arial" w:eastAsia="Arial" w:hAnsi="Arial"/>
                <w:sz w:val="16"/>
                <w:szCs w:val="16"/>
                <w:color w:val="auto"/>
              </w:rPr>
              <w:t>Cheryl  Vitali  is  an  experienced  business  executive  with</w:t>
            </w:r>
          </w:p>
        </w:tc>
        <w:tc>
          <w:tcPr>
            <w:tcW w:w="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40" w:type="dxa"/>
            <w:vAlign w:val="bottom"/>
            <w:shd w:val="clear" w:color="auto" w:fill="DBE5F1"/>
          </w:tcPr>
          <w:p>
            <w:pPr>
              <w:spacing w:after="0"/>
              <w:rPr>
                <w:sz w:val="16"/>
                <w:szCs w:val="16"/>
                <w:color w:val="auto"/>
              </w:rPr>
            </w:pPr>
          </w:p>
        </w:tc>
        <w:tc>
          <w:tcPr>
            <w:tcW w:w="880" w:type="dxa"/>
            <w:vAlign w:val="bottom"/>
            <w:shd w:val="clear" w:color="auto" w:fill="DBE5F1"/>
          </w:tcPr>
          <w:p>
            <w:pPr>
              <w:spacing w:after="0"/>
              <w:rPr>
                <w:sz w:val="16"/>
                <w:szCs w:val="16"/>
                <w:color w:val="auto"/>
              </w:rPr>
            </w:pPr>
          </w:p>
        </w:tc>
        <w:tc>
          <w:tcPr>
            <w:tcW w:w="440" w:type="dxa"/>
            <w:vAlign w:val="bottom"/>
            <w:shd w:val="clear" w:color="auto" w:fill="DBE5F1"/>
          </w:tcPr>
          <w:p>
            <w:pPr>
              <w:spacing w:after="0"/>
              <w:rPr>
                <w:sz w:val="16"/>
                <w:szCs w:val="16"/>
                <w:color w:val="auto"/>
              </w:rPr>
            </w:pPr>
          </w:p>
        </w:tc>
        <w:tc>
          <w:tcPr>
            <w:tcW w:w="460" w:type="dxa"/>
            <w:vAlign w:val="bottom"/>
            <w:shd w:val="clear" w:color="auto" w:fill="DBE5F1"/>
          </w:tcPr>
          <w:p>
            <w:pPr>
              <w:spacing w:after="0"/>
              <w:rPr>
                <w:sz w:val="16"/>
                <w:szCs w:val="16"/>
                <w:color w:val="auto"/>
              </w:rPr>
            </w:pPr>
          </w:p>
        </w:tc>
        <w:tc>
          <w:tcPr>
            <w:tcW w:w="320" w:type="dxa"/>
            <w:vAlign w:val="bottom"/>
            <w:shd w:val="clear" w:color="auto" w:fill="F2F2F2"/>
          </w:tcPr>
          <w:p>
            <w:pPr>
              <w:spacing w:after="0"/>
              <w:rPr>
                <w:sz w:val="16"/>
                <w:szCs w:val="16"/>
                <w:color w:val="auto"/>
              </w:rPr>
            </w:pPr>
          </w:p>
        </w:tc>
        <w:tc>
          <w:tcPr>
            <w:tcW w:w="1920" w:type="dxa"/>
            <w:vAlign w:val="bottom"/>
            <w:shd w:val="clear" w:color="auto" w:fill="F2F2F2"/>
          </w:tcPr>
          <w:p>
            <w:pPr>
              <w:spacing w:after="0"/>
              <w:rPr>
                <w:sz w:val="16"/>
                <w:szCs w:val="16"/>
                <w:color w:val="auto"/>
              </w:rPr>
            </w:pPr>
          </w:p>
        </w:tc>
        <w:tc>
          <w:tcPr>
            <w:tcW w:w="4940" w:type="dxa"/>
            <w:vAlign w:val="bottom"/>
            <w:shd w:val="clear" w:color="auto" w:fill="F2F2F2"/>
          </w:tcPr>
          <w:p>
            <w:pPr>
              <w:ind w:left="180"/>
              <w:spacing w:after="0"/>
              <w:rPr>
                <w:sz w:val="20"/>
                <w:szCs w:val="20"/>
                <w:color w:val="auto"/>
              </w:rPr>
            </w:pPr>
            <w:r>
              <w:rPr>
                <w:rFonts w:ascii="Arial" w:cs="Arial" w:eastAsia="Arial" w:hAnsi="Arial"/>
                <w:sz w:val="16"/>
                <w:szCs w:val="16"/>
                <w:color w:val="auto"/>
              </w:rPr>
              <w:t>significant retail, marketing and consumer product and branding</w:t>
            </w:r>
          </w:p>
        </w:tc>
        <w:tc>
          <w:tcPr>
            <w:tcW w:w="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940" w:type="dxa"/>
            <w:vAlign w:val="bottom"/>
            <w:shd w:val="clear" w:color="auto" w:fill="DBE5F1"/>
          </w:tcPr>
          <w:p>
            <w:pPr>
              <w:spacing w:after="0"/>
              <w:rPr>
                <w:sz w:val="18"/>
                <w:szCs w:val="18"/>
                <w:color w:val="auto"/>
              </w:rPr>
            </w:pPr>
          </w:p>
        </w:tc>
        <w:tc>
          <w:tcPr>
            <w:tcW w:w="880" w:type="dxa"/>
            <w:vAlign w:val="bottom"/>
            <w:shd w:val="clear" w:color="auto" w:fill="DBE5F1"/>
          </w:tcPr>
          <w:p>
            <w:pPr>
              <w:spacing w:after="0"/>
              <w:rPr>
                <w:sz w:val="18"/>
                <w:szCs w:val="18"/>
                <w:color w:val="auto"/>
              </w:rPr>
            </w:pPr>
          </w:p>
        </w:tc>
        <w:tc>
          <w:tcPr>
            <w:tcW w:w="440" w:type="dxa"/>
            <w:vAlign w:val="bottom"/>
            <w:shd w:val="clear" w:color="auto" w:fill="DBE5F1"/>
          </w:tcPr>
          <w:p>
            <w:pPr>
              <w:spacing w:after="0"/>
              <w:rPr>
                <w:sz w:val="18"/>
                <w:szCs w:val="18"/>
                <w:color w:val="auto"/>
              </w:rPr>
            </w:pPr>
          </w:p>
        </w:tc>
        <w:tc>
          <w:tcPr>
            <w:tcW w:w="460" w:type="dxa"/>
            <w:vAlign w:val="bottom"/>
            <w:shd w:val="clear" w:color="auto" w:fill="DBE5F1"/>
          </w:tcPr>
          <w:p>
            <w:pPr>
              <w:spacing w:after="0"/>
              <w:rPr>
                <w:sz w:val="18"/>
                <w:szCs w:val="18"/>
                <w:color w:val="auto"/>
              </w:rPr>
            </w:pPr>
          </w:p>
        </w:tc>
        <w:tc>
          <w:tcPr>
            <w:tcW w:w="320" w:type="dxa"/>
            <w:vAlign w:val="bottom"/>
            <w:shd w:val="clear" w:color="auto" w:fill="F2F2F2"/>
          </w:tcPr>
          <w:p>
            <w:pPr>
              <w:spacing w:after="0"/>
              <w:rPr>
                <w:sz w:val="18"/>
                <w:szCs w:val="18"/>
                <w:color w:val="auto"/>
              </w:rPr>
            </w:pPr>
          </w:p>
        </w:tc>
        <w:tc>
          <w:tcPr>
            <w:tcW w:w="1920" w:type="dxa"/>
            <w:vAlign w:val="bottom"/>
            <w:shd w:val="clear" w:color="auto" w:fill="F2F2F2"/>
          </w:tcPr>
          <w:p>
            <w:pPr>
              <w:spacing w:after="0"/>
              <w:rPr>
                <w:sz w:val="18"/>
                <w:szCs w:val="18"/>
                <w:color w:val="auto"/>
              </w:rPr>
            </w:pPr>
          </w:p>
        </w:tc>
        <w:tc>
          <w:tcPr>
            <w:tcW w:w="4940" w:type="dxa"/>
            <w:vAlign w:val="bottom"/>
            <w:shd w:val="clear" w:color="auto" w:fill="F2F2F2"/>
          </w:tcPr>
          <w:p>
            <w:pPr>
              <w:ind w:left="180"/>
              <w:spacing w:after="0"/>
              <w:rPr>
                <w:sz w:val="20"/>
                <w:szCs w:val="20"/>
                <w:color w:val="auto"/>
              </w:rPr>
            </w:pPr>
            <w:r>
              <w:rPr>
                <w:rFonts w:ascii="Arial" w:cs="Arial" w:eastAsia="Arial" w:hAnsi="Arial"/>
                <w:sz w:val="16"/>
                <w:szCs w:val="16"/>
                <w:color w:val="auto"/>
              </w:rPr>
              <w:t>expertise that is of great benefit to our Board.</w:t>
            </w:r>
          </w:p>
        </w:tc>
        <w:tc>
          <w:tcPr>
            <w:tcW w:w="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940" w:type="dxa"/>
            <w:vAlign w:val="bottom"/>
            <w:tcBorders>
              <w:bottom w:val="single" w:sz="8" w:color="808080"/>
            </w:tcBorders>
            <w:shd w:val="clear" w:color="auto" w:fill="DBE5F1"/>
          </w:tcPr>
          <w:p>
            <w:pPr>
              <w:spacing w:after="0"/>
              <w:rPr>
                <w:sz w:val="24"/>
                <w:szCs w:val="24"/>
                <w:color w:val="auto"/>
              </w:rPr>
            </w:pPr>
          </w:p>
        </w:tc>
        <w:tc>
          <w:tcPr>
            <w:tcW w:w="880" w:type="dxa"/>
            <w:vAlign w:val="bottom"/>
            <w:tcBorders>
              <w:bottom w:val="single" w:sz="8" w:color="808080"/>
            </w:tcBorders>
            <w:shd w:val="clear" w:color="auto" w:fill="DBE5F1"/>
          </w:tcPr>
          <w:p>
            <w:pPr>
              <w:spacing w:after="0"/>
              <w:rPr>
                <w:sz w:val="24"/>
                <w:szCs w:val="24"/>
                <w:color w:val="auto"/>
              </w:rPr>
            </w:pPr>
          </w:p>
        </w:tc>
        <w:tc>
          <w:tcPr>
            <w:tcW w:w="440" w:type="dxa"/>
            <w:vAlign w:val="bottom"/>
            <w:tcBorders>
              <w:bottom w:val="single" w:sz="8" w:color="808080"/>
            </w:tcBorders>
            <w:shd w:val="clear" w:color="auto" w:fill="DBE5F1"/>
          </w:tcPr>
          <w:p>
            <w:pPr>
              <w:spacing w:after="0"/>
              <w:rPr>
                <w:sz w:val="24"/>
                <w:szCs w:val="24"/>
                <w:color w:val="auto"/>
              </w:rPr>
            </w:pPr>
          </w:p>
        </w:tc>
        <w:tc>
          <w:tcPr>
            <w:tcW w:w="460" w:type="dxa"/>
            <w:vAlign w:val="bottom"/>
            <w:tcBorders>
              <w:bottom w:val="single" w:sz="8" w:color="808080"/>
            </w:tcBorders>
            <w:shd w:val="clear" w:color="auto" w:fill="DBE5F1"/>
          </w:tcPr>
          <w:p>
            <w:pPr>
              <w:spacing w:after="0"/>
              <w:rPr>
                <w:sz w:val="24"/>
                <w:szCs w:val="24"/>
                <w:color w:val="auto"/>
              </w:rPr>
            </w:pPr>
          </w:p>
        </w:tc>
        <w:tc>
          <w:tcPr>
            <w:tcW w:w="320" w:type="dxa"/>
            <w:vAlign w:val="bottom"/>
            <w:tcBorders>
              <w:bottom w:val="single" w:sz="8" w:color="808080"/>
            </w:tcBorders>
            <w:shd w:val="clear" w:color="auto" w:fill="F2F2F2"/>
          </w:tcPr>
          <w:p>
            <w:pPr>
              <w:spacing w:after="0"/>
              <w:rPr>
                <w:sz w:val="24"/>
                <w:szCs w:val="24"/>
                <w:color w:val="auto"/>
              </w:rPr>
            </w:pPr>
          </w:p>
        </w:tc>
        <w:tc>
          <w:tcPr>
            <w:tcW w:w="1920" w:type="dxa"/>
            <w:vAlign w:val="bottom"/>
            <w:tcBorders>
              <w:bottom w:val="single" w:sz="8" w:color="808080"/>
            </w:tcBorders>
            <w:shd w:val="clear" w:color="auto" w:fill="F2F2F2"/>
          </w:tcPr>
          <w:p>
            <w:pPr>
              <w:spacing w:after="0"/>
              <w:rPr>
                <w:sz w:val="24"/>
                <w:szCs w:val="24"/>
                <w:color w:val="auto"/>
              </w:rPr>
            </w:pPr>
          </w:p>
        </w:tc>
        <w:tc>
          <w:tcPr>
            <w:tcW w:w="4940" w:type="dxa"/>
            <w:vAlign w:val="bottom"/>
            <w:tcBorders>
              <w:bottom w:val="single" w:sz="8" w:color="808080"/>
            </w:tcBorders>
            <w:shd w:val="clear" w:color="auto" w:fill="F2F2F2"/>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-5185410</wp:posOffset>
            </wp:positionV>
            <wp:extent cx="6292215" cy="562356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292215" cy="5623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7560"/>
        <w:spacing w:after="0"/>
        <w:rPr>
          <w:sz w:val="20"/>
          <w:szCs w:val="20"/>
          <w:color w:val="auto"/>
        </w:rPr>
      </w:pPr>
      <w:r>
        <w:rPr>
          <w:rFonts w:ascii="Arial" w:cs="Arial" w:eastAsia="Arial" w:hAnsi="Arial"/>
          <w:sz w:val="16"/>
          <w:szCs w:val="16"/>
          <w:color w:val="auto"/>
        </w:rPr>
        <w:t xml:space="preserve">2026 PROXY STATEMENT </w:t>
      </w:r>
      <w:r>
        <w:rPr>
          <w:rFonts w:ascii="Arial" w:cs="Arial" w:eastAsia="Arial" w:hAnsi="Arial"/>
          <w:sz w:val="19"/>
          <w:szCs w:val="19"/>
          <w:color w:val="808080"/>
        </w:rPr>
        <w:t>/</w:t>
      </w:r>
      <w:r>
        <w:rPr>
          <w:rFonts w:ascii="Arial" w:cs="Arial" w:eastAsia="Arial" w:hAnsi="Arial"/>
          <w:sz w:val="16"/>
          <w:szCs w:val="16"/>
          <w:color w:val="auto"/>
        </w:rPr>
        <w:t xml:space="preserve"> </w:t>
      </w:r>
      <w:r>
        <w:rPr>
          <w:rFonts w:ascii="Arial" w:cs="Arial" w:eastAsia="Arial" w:hAnsi="Arial"/>
          <w:sz w:val="19"/>
          <w:szCs w:val="19"/>
          <w:b w:val="1"/>
          <w:bCs w:val="1"/>
          <w:color w:val="4A7EBB"/>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365125</wp:posOffset>
            </wp:positionV>
            <wp:extent cx="6292215" cy="260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4A7EBB"/>
        </w:rPr>
        <w:t xml:space="preserve">Proposal No. 1 </w:t>
      </w:r>
      <w:r>
        <w:rPr>
          <w:rFonts w:ascii="Arial" w:cs="Arial" w:eastAsia="Arial" w:hAnsi="Arial"/>
          <w:sz w:val="18"/>
          <w:szCs w:val="18"/>
          <w:color w:val="000000"/>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17780</wp:posOffset>
            </wp:positionV>
            <wp:extent cx="6292215" cy="525462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292215" cy="5254625"/>
                    </a:xfrm>
                    <a:prstGeom prst="rect">
                      <a:avLst/>
                    </a:prstGeom>
                    <a:noFill/>
                  </pic:spPr>
                </pic:pic>
              </a:graphicData>
            </a:graphic>
          </wp:anchor>
        </w:drawing>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720" w:type="dxa"/>
            <w:vAlign w:val="bottom"/>
            <w:tcBorders>
              <w:top w:val="single" w:sz="8" w:color="4A7EBB"/>
            </w:tcBorders>
            <w:shd w:val="clear" w:color="auto" w:fill="DBE5F1"/>
          </w:tcPr>
          <w:p>
            <w:pPr>
              <w:ind w:left="120"/>
              <w:spacing w:after="0" w:line="189" w:lineRule="exact"/>
              <w:rPr>
                <w:sz w:val="20"/>
                <w:szCs w:val="20"/>
                <w:color w:val="auto"/>
              </w:rPr>
            </w:pPr>
            <w:r>
              <w:rPr>
                <w:rFonts w:ascii="Arial" w:cs="Arial" w:eastAsia="Arial" w:hAnsi="Arial"/>
                <w:sz w:val="20"/>
                <w:szCs w:val="20"/>
                <w:b w:val="1"/>
                <w:bCs w:val="1"/>
                <w:color w:val="auto"/>
              </w:rPr>
              <w:t>RICHARD WHITE</w:t>
            </w:r>
          </w:p>
        </w:tc>
        <w:tc>
          <w:tcPr>
            <w:tcW w:w="2280" w:type="dxa"/>
            <w:vAlign w:val="bottom"/>
            <w:tcBorders>
              <w:top w:val="single" w:sz="8" w:color="4A7EBB"/>
            </w:tcBorders>
            <w:gridSpan w:val="2"/>
            <w:shd w:val="clear" w:color="auto" w:fill="F2F2F2"/>
          </w:tcPr>
          <w:p>
            <w:pPr>
              <w:ind w:left="100"/>
              <w:spacing w:after="0"/>
              <w:rPr>
                <w:sz w:val="20"/>
                <w:szCs w:val="20"/>
                <w:color w:val="auto"/>
              </w:rPr>
            </w:pPr>
            <w:r>
              <w:rPr>
                <w:rFonts w:ascii="Arial" w:cs="Arial" w:eastAsia="Arial" w:hAnsi="Arial"/>
                <w:sz w:val="16"/>
                <w:szCs w:val="16"/>
                <w:b w:val="1"/>
                <w:bCs w:val="1"/>
                <w:color w:val="auto"/>
              </w:rPr>
              <w:t>Age: 72</w:t>
            </w:r>
          </w:p>
        </w:tc>
        <w:tc>
          <w:tcPr>
            <w:tcW w:w="4900" w:type="dxa"/>
            <w:vAlign w:val="bottom"/>
            <w:tcBorders>
              <w:top w:val="single" w:sz="8" w:color="4A7EBB"/>
            </w:tcBorders>
            <w:shd w:val="clear" w:color="auto" w:fill="F2F2F2"/>
          </w:tcPr>
          <w:p>
            <w:pPr>
              <w:ind w:left="140"/>
              <w:spacing w:after="0"/>
              <w:rPr>
                <w:sz w:val="20"/>
                <w:szCs w:val="20"/>
                <w:color w:val="auto"/>
              </w:rPr>
            </w:pPr>
            <w:r>
              <w:rPr>
                <w:rFonts w:ascii="Arial" w:cs="Arial" w:eastAsia="Arial" w:hAnsi="Arial"/>
                <w:sz w:val="16"/>
                <w:szCs w:val="16"/>
                <w:color w:val="auto"/>
              </w:rPr>
              <w:t>Richard  White  has  been  Chief  Executive  Officer  of  Aeolus</w:t>
            </w:r>
          </w:p>
        </w:tc>
        <w:tc>
          <w:tcPr>
            <w:tcW w:w="20" w:type="dxa"/>
            <w:vAlign w:val="bottom"/>
            <w:tcBorders>
              <w:top w:val="single" w:sz="8" w:color="4A7EBB"/>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20" w:type="dxa"/>
            <w:vAlign w:val="bottom"/>
            <w:shd w:val="clear" w:color="auto" w:fill="DBE5F1"/>
          </w:tcPr>
          <w:p>
            <w:pPr>
              <w:ind w:left="120"/>
              <w:spacing w:after="0" w:line="189" w:lineRule="exact"/>
              <w:rPr>
                <w:sz w:val="20"/>
                <w:szCs w:val="20"/>
                <w:color w:val="auto"/>
              </w:rPr>
            </w:pPr>
            <w:r>
              <w:rPr>
                <w:rFonts w:ascii="Arial" w:cs="Arial" w:eastAsia="Arial" w:hAnsi="Arial"/>
                <w:sz w:val="17"/>
                <w:szCs w:val="17"/>
                <w:color w:val="auto"/>
              </w:rPr>
              <w:t>Chief Executive Officer, Aeolus</w:t>
            </w:r>
          </w:p>
        </w:tc>
        <w:tc>
          <w:tcPr>
            <w:tcW w:w="300" w:type="dxa"/>
            <w:vAlign w:val="bottom"/>
            <w:shd w:val="clear" w:color="auto" w:fill="F2F2F2"/>
          </w:tcPr>
          <w:p>
            <w:pPr>
              <w:spacing w:after="0"/>
              <w:rPr>
                <w:sz w:val="16"/>
                <w:szCs w:val="16"/>
                <w:color w:val="auto"/>
              </w:rPr>
            </w:pPr>
          </w:p>
        </w:tc>
        <w:tc>
          <w:tcPr>
            <w:tcW w:w="1980" w:type="dxa"/>
            <w:vAlign w:val="bottom"/>
            <w:shd w:val="clear" w:color="auto" w:fill="F2F2F2"/>
          </w:tcPr>
          <w:p>
            <w:pPr>
              <w:spacing w:after="0"/>
              <w:rPr>
                <w:sz w:val="16"/>
                <w:szCs w:val="16"/>
                <w:color w:val="auto"/>
              </w:rPr>
            </w:pPr>
          </w:p>
        </w:tc>
        <w:tc>
          <w:tcPr>
            <w:tcW w:w="4900" w:type="dxa"/>
            <w:vAlign w:val="bottom"/>
            <w:shd w:val="clear" w:color="auto" w:fill="F2F2F2"/>
          </w:tcPr>
          <w:p>
            <w:pPr>
              <w:ind w:left="140"/>
              <w:spacing w:after="0"/>
              <w:rPr>
                <w:sz w:val="20"/>
                <w:szCs w:val="20"/>
                <w:color w:val="auto"/>
              </w:rPr>
            </w:pPr>
            <w:r>
              <w:rPr>
                <w:rFonts w:ascii="Arial" w:cs="Arial" w:eastAsia="Arial" w:hAnsi="Arial"/>
                <w:sz w:val="16"/>
                <w:szCs w:val="16"/>
                <w:color w:val="auto"/>
              </w:rPr>
              <w:t>Capital  Group  LLC,  a  financial  and  strategic  management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20" w:type="dxa"/>
            <w:vAlign w:val="bottom"/>
            <w:shd w:val="clear" w:color="auto" w:fill="DBE5F1"/>
          </w:tcPr>
          <w:p>
            <w:pPr>
              <w:ind w:left="120"/>
              <w:spacing w:after="0" w:line="189" w:lineRule="exact"/>
              <w:rPr>
                <w:sz w:val="20"/>
                <w:szCs w:val="20"/>
                <w:color w:val="auto"/>
              </w:rPr>
            </w:pPr>
            <w:r>
              <w:rPr>
                <w:rFonts w:ascii="Arial" w:cs="Arial" w:eastAsia="Arial" w:hAnsi="Arial"/>
                <w:sz w:val="17"/>
                <w:szCs w:val="17"/>
                <w:color w:val="auto"/>
              </w:rPr>
              <w:t>Capital Group LLC</w:t>
            </w:r>
          </w:p>
        </w:tc>
        <w:tc>
          <w:tcPr>
            <w:tcW w:w="2280" w:type="dxa"/>
            <w:vAlign w:val="bottom"/>
            <w:gridSpan w:val="2"/>
            <w:shd w:val="clear" w:color="auto" w:fill="F2F2F2"/>
          </w:tcPr>
          <w:p>
            <w:pPr>
              <w:ind w:left="100"/>
              <w:spacing w:after="0"/>
              <w:rPr>
                <w:sz w:val="20"/>
                <w:szCs w:val="20"/>
                <w:color w:val="auto"/>
              </w:rPr>
            </w:pPr>
            <w:r>
              <w:rPr>
                <w:rFonts w:ascii="Arial" w:cs="Arial" w:eastAsia="Arial" w:hAnsi="Arial"/>
                <w:sz w:val="16"/>
                <w:szCs w:val="16"/>
                <w:b w:val="1"/>
                <w:bCs w:val="1"/>
                <w:color w:val="auto"/>
              </w:rPr>
              <w:t>Director since: 2003</w:t>
            </w:r>
          </w:p>
        </w:tc>
        <w:tc>
          <w:tcPr>
            <w:tcW w:w="4900" w:type="dxa"/>
            <w:vAlign w:val="bottom"/>
            <w:shd w:val="clear" w:color="auto" w:fill="F2F2F2"/>
          </w:tcPr>
          <w:p>
            <w:pPr>
              <w:ind w:left="140"/>
              <w:spacing w:after="0"/>
              <w:rPr>
                <w:sz w:val="20"/>
                <w:szCs w:val="20"/>
                <w:color w:val="auto"/>
              </w:rPr>
            </w:pPr>
            <w:r>
              <w:rPr>
                <w:rFonts w:ascii="Arial" w:cs="Arial" w:eastAsia="Arial" w:hAnsi="Arial"/>
                <w:sz w:val="16"/>
                <w:szCs w:val="16"/>
                <w:color w:val="auto"/>
              </w:rPr>
              <w:t>advisory firm, since May 2017. From June 2004 until April 2017,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720" w:type="dxa"/>
            <w:vAlign w:val="bottom"/>
            <w:shd w:val="clear" w:color="auto" w:fill="DBE5F1"/>
          </w:tcPr>
          <w:p>
            <w:pPr>
              <w:spacing w:after="0"/>
              <w:rPr>
                <w:sz w:val="16"/>
                <w:szCs w:val="16"/>
                <w:color w:val="auto"/>
              </w:rPr>
            </w:pPr>
          </w:p>
        </w:tc>
        <w:tc>
          <w:tcPr>
            <w:tcW w:w="300" w:type="dxa"/>
            <w:vAlign w:val="bottom"/>
            <w:shd w:val="clear" w:color="auto" w:fill="F2F2F2"/>
          </w:tcPr>
          <w:p>
            <w:pPr>
              <w:spacing w:after="0"/>
              <w:rPr>
                <w:sz w:val="16"/>
                <w:szCs w:val="16"/>
                <w:color w:val="auto"/>
              </w:rPr>
            </w:pPr>
          </w:p>
        </w:tc>
        <w:tc>
          <w:tcPr>
            <w:tcW w:w="1980" w:type="dxa"/>
            <w:vAlign w:val="bottom"/>
            <w:shd w:val="clear" w:color="auto" w:fill="F2F2F2"/>
          </w:tcPr>
          <w:p>
            <w:pPr>
              <w:spacing w:after="0"/>
              <w:rPr>
                <w:sz w:val="16"/>
                <w:szCs w:val="16"/>
                <w:color w:val="auto"/>
              </w:rPr>
            </w:pPr>
          </w:p>
        </w:tc>
        <w:tc>
          <w:tcPr>
            <w:tcW w:w="4900" w:type="dxa"/>
            <w:vAlign w:val="bottom"/>
            <w:shd w:val="clear" w:color="auto" w:fill="F2F2F2"/>
          </w:tcPr>
          <w:p>
            <w:pPr>
              <w:ind w:left="140"/>
              <w:spacing w:after="0"/>
              <w:rPr>
                <w:sz w:val="20"/>
                <w:szCs w:val="20"/>
                <w:color w:val="auto"/>
              </w:rPr>
            </w:pPr>
            <w:r>
              <w:rPr>
                <w:rFonts w:ascii="Arial" w:cs="Arial" w:eastAsia="Arial" w:hAnsi="Arial"/>
                <w:sz w:val="16"/>
                <w:szCs w:val="16"/>
                <w:color w:val="auto"/>
              </w:rPr>
              <w:t>Richard White was a Managing Director and head of the Private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720" w:type="dxa"/>
            <w:vAlign w:val="bottom"/>
            <w:shd w:val="clear" w:color="auto" w:fill="DBE5F1"/>
          </w:tcPr>
          <w:p>
            <w:pPr>
              <w:ind w:left="400"/>
              <w:spacing w:after="0"/>
              <w:rPr>
                <w:sz w:val="20"/>
                <w:szCs w:val="20"/>
                <w:color w:val="auto"/>
              </w:rPr>
            </w:pPr>
            <w:r>
              <w:rPr>
                <w:rFonts w:ascii="Arial" w:cs="Arial" w:eastAsia="Arial" w:hAnsi="Arial"/>
                <w:sz w:val="16"/>
                <w:szCs w:val="16"/>
                <w:color w:val="auto"/>
              </w:rPr>
              <w:t>Independent</w:t>
            </w:r>
          </w:p>
        </w:tc>
        <w:tc>
          <w:tcPr>
            <w:tcW w:w="2280" w:type="dxa"/>
            <w:vAlign w:val="bottom"/>
            <w:gridSpan w:val="2"/>
            <w:shd w:val="clear" w:color="auto" w:fill="F2F2F2"/>
          </w:tcPr>
          <w:p>
            <w:pPr>
              <w:ind w:left="100"/>
              <w:spacing w:after="0"/>
              <w:rPr>
                <w:sz w:val="20"/>
                <w:szCs w:val="20"/>
                <w:color w:val="auto"/>
              </w:rPr>
            </w:pPr>
            <w:r>
              <w:rPr>
                <w:rFonts w:ascii="Arial" w:cs="Arial" w:eastAsia="Arial" w:hAnsi="Arial"/>
                <w:sz w:val="16"/>
                <w:szCs w:val="16"/>
                <w:b w:val="1"/>
                <w:bCs w:val="1"/>
                <w:color w:val="auto"/>
              </w:rPr>
              <w:t>Committees:</w:t>
            </w:r>
          </w:p>
        </w:tc>
        <w:tc>
          <w:tcPr>
            <w:tcW w:w="4900" w:type="dxa"/>
            <w:vAlign w:val="bottom"/>
            <w:shd w:val="clear" w:color="auto" w:fill="F2F2F2"/>
          </w:tcPr>
          <w:p>
            <w:pPr>
              <w:ind w:left="140"/>
              <w:spacing w:after="0"/>
              <w:rPr>
                <w:sz w:val="20"/>
                <w:szCs w:val="20"/>
                <w:color w:val="auto"/>
              </w:rPr>
            </w:pPr>
            <w:r>
              <w:rPr>
                <w:rFonts w:ascii="Arial" w:cs="Arial" w:eastAsia="Arial" w:hAnsi="Arial"/>
                <w:sz w:val="16"/>
                <w:szCs w:val="16"/>
                <w:color w:val="auto"/>
              </w:rPr>
              <w:t>Equity and Special Investments Department of Oppenheimer &amp;</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DBE5F1"/>
          </w:tcPr>
          <w:p>
            <w:pPr>
              <w:spacing w:after="0"/>
              <w:rPr>
                <w:sz w:val="18"/>
                <w:szCs w:val="18"/>
                <w:color w:val="auto"/>
              </w:rPr>
            </w:pPr>
          </w:p>
        </w:tc>
        <w:tc>
          <w:tcPr>
            <w:tcW w:w="300" w:type="dxa"/>
            <w:vAlign w:val="bottom"/>
            <w:shd w:val="clear" w:color="auto" w:fill="F2F2F2"/>
          </w:tcPr>
          <w:p>
            <w:pPr>
              <w:ind w:left="160"/>
              <w:spacing w:after="0" w:line="216" w:lineRule="exact"/>
              <w:rPr>
                <w:sz w:val="20"/>
                <w:szCs w:val="20"/>
                <w:color w:val="auto"/>
              </w:rPr>
            </w:pPr>
            <w:r>
              <w:rPr>
                <w:rFonts w:ascii="Arial" w:cs="Arial" w:eastAsia="Arial" w:hAnsi="Arial"/>
                <w:sz w:val="22"/>
                <w:szCs w:val="22"/>
                <w:b w:val="1"/>
                <w:bCs w:val="1"/>
                <w:color w:val="4A7EBB"/>
              </w:rPr>
              <w:t>•</w:t>
            </w:r>
          </w:p>
        </w:tc>
        <w:tc>
          <w:tcPr>
            <w:tcW w:w="1980" w:type="dxa"/>
            <w:vAlign w:val="bottom"/>
            <w:shd w:val="clear" w:color="auto" w:fill="F2F2F2"/>
          </w:tcPr>
          <w:p>
            <w:pPr>
              <w:ind w:left="100"/>
              <w:spacing w:after="0"/>
              <w:rPr>
                <w:sz w:val="20"/>
                <w:szCs w:val="20"/>
                <w:color w:val="auto"/>
              </w:rPr>
            </w:pPr>
            <w:r>
              <w:rPr>
                <w:rFonts w:ascii="Arial" w:cs="Arial" w:eastAsia="Arial" w:hAnsi="Arial"/>
                <w:sz w:val="16"/>
                <w:szCs w:val="16"/>
                <w:color w:val="auto"/>
              </w:rPr>
              <w:t>Audit</w:t>
            </w:r>
          </w:p>
        </w:tc>
        <w:tc>
          <w:tcPr>
            <w:tcW w:w="4900" w:type="dxa"/>
            <w:vAlign w:val="bottom"/>
            <w:shd w:val="clear" w:color="auto" w:fill="F2F2F2"/>
          </w:tcPr>
          <w:p>
            <w:pPr>
              <w:ind w:left="140"/>
              <w:spacing w:after="0"/>
              <w:rPr>
                <w:sz w:val="20"/>
                <w:szCs w:val="20"/>
                <w:color w:val="auto"/>
              </w:rPr>
            </w:pPr>
            <w:r>
              <w:rPr>
                <w:rFonts w:ascii="Arial" w:cs="Arial" w:eastAsia="Arial" w:hAnsi="Arial"/>
                <w:sz w:val="16"/>
                <w:szCs w:val="16"/>
                <w:color w:val="auto"/>
              </w:rPr>
              <w:t>Co. Inc. From 2002 to June 2004, he served as President of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720" w:type="dxa"/>
            <w:vAlign w:val="bottom"/>
            <w:shd w:val="clear" w:color="auto" w:fill="DBE5F1"/>
          </w:tcPr>
          <w:p>
            <w:pPr>
              <w:spacing w:after="0"/>
              <w:rPr>
                <w:sz w:val="12"/>
                <w:szCs w:val="12"/>
                <w:color w:val="auto"/>
              </w:rPr>
            </w:pPr>
          </w:p>
        </w:tc>
        <w:tc>
          <w:tcPr>
            <w:tcW w:w="300" w:type="dxa"/>
            <w:vAlign w:val="bottom"/>
            <w:shd w:val="clear" w:color="auto" w:fill="F2F2F2"/>
          </w:tcPr>
          <w:p>
            <w:pPr>
              <w:spacing w:after="0"/>
              <w:rPr>
                <w:sz w:val="12"/>
                <w:szCs w:val="12"/>
                <w:color w:val="auto"/>
              </w:rPr>
            </w:pPr>
          </w:p>
        </w:tc>
        <w:tc>
          <w:tcPr>
            <w:tcW w:w="1980" w:type="dxa"/>
            <w:vAlign w:val="bottom"/>
            <w:shd w:val="clear" w:color="auto" w:fill="F2F2F2"/>
          </w:tcPr>
          <w:p>
            <w:pPr>
              <w:spacing w:after="0"/>
              <w:rPr>
                <w:sz w:val="12"/>
                <w:szCs w:val="12"/>
                <w:color w:val="auto"/>
              </w:rPr>
            </w:pPr>
          </w:p>
        </w:tc>
        <w:tc>
          <w:tcPr>
            <w:tcW w:w="4900" w:type="dxa"/>
            <w:vAlign w:val="bottom"/>
            <w:shd w:val="clear" w:color="auto" w:fill="F2F2F2"/>
          </w:tcPr>
          <w:p>
            <w:pPr>
              <w:ind w:left="140"/>
              <w:spacing w:after="0" w:line="148" w:lineRule="exact"/>
              <w:rPr>
                <w:sz w:val="20"/>
                <w:szCs w:val="20"/>
                <w:color w:val="auto"/>
              </w:rPr>
            </w:pPr>
            <w:r>
              <w:rPr>
                <w:rFonts w:ascii="Arial" w:cs="Arial" w:eastAsia="Arial" w:hAnsi="Arial"/>
                <w:sz w:val="16"/>
                <w:szCs w:val="16"/>
                <w:color w:val="auto"/>
              </w:rPr>
              <w:t>Aeolus Capital Group LLC. From 1997 until 2002, he was a</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720" w:type="dxa"/>
            <w:vAlign w:val="bottom"/>
            <w:shd w:val="clear" w:color="auto" w:fill="DBE5F1"/>
          </w:tcPr>
          <w:p>
            <w:pPr>
              <w:spacing w:after="0"/>
              <w:rPr>
                <w:sz w:val="16"/>
                <w:szCs w:val="16"/>
                <w:color w:val="auto"/>
              </w:rPr>
            </w:pPr>
          </w:p>
        </w:tc>
        <w:tc>
          <w:tcPr>
            <w:tcW w:w="300" w:type="dxa"/>
            <w:vAlign w:val="bottom"/>
            <w:vMerge w:val="restart"/>
            <w:shd w:val="clear" w:color="auto" w:fill="F2F2F2"/>
          </w:tcPr>
          <w:p>
            <w:pPr>
              <w:ind w:left="160"/>
              <w:spacing w:after="0"/>
              <w:rPr>
                <w:sz w:val="20"/>
                <w:szCs w:val="20"/>
                <w:color w:val="auto"/>
              </w:rPr>
            </w:pPr>
            <w:r>
              <w:rPr>
                <w:rFonts w:ascii="Arial" w:cs="Arial" w:eastAsia="Arial" w:hAnsi="Arial"/>
                <w:sz w:val="22"/>
                <w:szCs w:val="22"/>
                <w:b w:val="1"/>
                <w:bCs w:val="1"/>
                <w:color w:val="4A7EBB"/>
              </w:rPr>
              <w:t>•</w:t>
            </w:r>
          </w:p>
        </w:tc>
        <w:tc>
          <w:tcPr>
            <w:tcW w:w="1980" w:type="dxa"/>
            <w:vAlign w:val="bottom"/>
            <w:vMerge w:val="restart"/>
            <w:shd w:val="clear" w:color="auto" w:fill="F2F2F2"/>
          </w:tcPr>
          <w:p>
            <w:pPr>
              <w:ind w:left="100"/>
              <w:spacing w:after="0"/>
              <w:rPr>
                <w:sz w:val="20"/>
                <w:szCs w:val="20"/>
                <w:color w:val="auto"/>
              </w:rPr>
            </w:pPr>
            <w:r>
              <w:rPr>
                <w:rFonts w:ascii="Arial" w:cs="Arial" w:eastAsia="Arial" w:hAnsi="Arial"/>
                <w:sz w:val="16"/>
                <w:szCs w:val="16"/>
                <w:color w:val="auto"/>
              </w:rPr>
              <w:t>Compensation</w:t>
            </w:r>
          </w:p>
        </w:tc>
        <w:tc>
          <w:tcPr>
            <w:tcW w:w="4900" w:type="dxa"/>
            <w:vAlign w:val="bottom"/>
            <w:shd w:val="clear" w:color="auto" w:fill="F2F2F2"/>
          </w:tcPr>
          <w:p>
            <w:pPr>
              <w:ind w:left="140"/>
              <w:spacing w:after="0"/>
              <w:rPr>
                <w:sz w:val="20"/>
                <w:szCs w:val="20"/>
                <w:color w:val="auto"/>
              </w:rPr>
            </w:pPr>
            <w:r>
              <w:rPr>
                <w:rFonts w:ascii="Arial" w:cs="Arial" w:eastAsia="Arial" w:hAnsi="Arial"/>
                <w:sz w:val="16"/>
                <w:szCs w:val="16"/>
                <w:color w:val="auto"/>
              </w:rPr>
              <w:t>Managing Director at CIBC Capital Partners, an affiliate of CIBC</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720" w:type="dxa"/>
            <w:vAlign w:val="bottom"/>
            <w:shd w:val="clear" w:color="auto" w:fill="DBE5F1"/>
          </w:tcPr>
          <w:p>
            <w:pPr>
              <w:spacing w:after="0"/>
              <w:rPr>
                <w:sz w:val="11"/>
                <w:szCs w:val="11"/>
                <w:color w:val="auto"/>
              </w:rPr>
            </w:pPr>
          </w:p>
        </w:tc>
        <w:tc>
          <w:tcPr>
            <w:tcW w:w="300" w:type="dxa"/>
            <w:vAlign w:val="bottom"/>
            <w:vMerge w:val="continue"/>
            <w:shd w:val="clear" w:color="auto" w:fill="F2F2F2"/>
          </w:tcPr>
          <w:p>
            <w:pPr>
              <w:spacing w:after="0"/>
              <w:rPr>
                <w:sz w:val="11"/>
                <w:szCs w:val="11"/>
                <w:color w:val="auto"/>
              </w:rPr>
            </w:pPr>
          </w:p>
        </w:tc>
        <w:tc>
          <w:tcPr>
            <w:tcW w:w="1980" w:type="dxa"/>
            <w:vAlign w:val="bottom"/>
            <w:vMerge w:val="continue"/>
            <w:shd w:val="clear" w:color="auto" w:fill="F2F2F2"/>
          </w:tcPr>
          <w:p>
            <w:pPr>
              <w:spacing w:after="0"/>
              <w:rPr>
                <w:sz w:val="11"/>
                <w:szCs w:val="11"/>
                <w:color w:val="auto"/>
              </w:rPr>
            </w:pPr>
          </w:p>
        </w:tc>
        <w:tc>
          <w:tcPr>
            <w:tcW w:w="4900" w:type="dxa"/>
            <w:vAlign w:val="bottom"/>
            <w:vMerge w:val="restart"/>
            <w:shd w:val="clear" w:color="auto" w:fill="F2F2F2"/>
          </w:tcPr>
          <w:p>
            <w:pPr>
              <w:ind w:left="140"/>
              <w:spacing w:after="0"/>
              <w:rPr>
                <w:sz w:val="20"/>
                <w:szCs w:val="20"/>
                <w:color w:val="auto"/>
              </w:rPr>
            </w:pPr>
            <w:r>
              <w:rPr>
                <w:rFonts w:ascii="Arial" w:cs="Arial" w:eastAsia="Arial" w:hAnsi="Arial"/>
                <w:sz w:val="16"/>
                <w:szCs w:val="16"/>
                <w:color w:val="auto"/>
              </w:rPr>
              <w:t>World Markets, the successor to Oppenheimer &amp; Co., Inc. by</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2720" w:type="dxa"/>
            <w:vAlign w:val="bottom"/>
            <w:shd w:val="clear" w:color="auto" w:fill="DBE5F1"/>
          </w:tcPr>
          <w:p>
            <w:pPr>
              <w:spacing w:after="0"/>
              <w:rPr>
                <w:sz w:val="4"/>
                <w:szCs w:val="4"/>
                <w:color w:val="auto"/>
              </w:rPr>
            </w:pPr>
          </w:p>
        </w:tc>
        <w:tc>
          <w:tcPr>
            <w:tcW w:w="300" w:type="dxa"/>
            <w:vAlign w:val="bottom"/>
            <w:shd w:val="clear" w:color="auto" w:fill="F2F2F2"/>
          </w:tcPr>
          <w:p>
            <w:pPr>
              <w:spacing w:after="0"/>
              <w:rPr>
                <w:sz w:val="4"/>
                <w:szCs w:val="4"/>
                <w:color w:val="auto"/>
              </w:rPr>
            </w:pPr>
          </w:p>
        </w:tc>
        <w:tc>
          <w:tcPr>
            <w:tcW w:w="1980" w:type="dxa"/>
            <w:vAlign w:val="bottom"/>
            <w:shd w:val="clear" w:color="auto" w:fill="F2F2F2"/>
          </w:tcPr>
          <w:p>
            <w:pPr>
              <w:spacing w:after="0"/>
              <w:rPr>
                <w:sz w:val="4"/>
                <w:szCs w:val="4"/>
                <w:color w:val="auto"/>
              </w:rPr>
            </w:pPr>
          </w:p>
        </w:tc>
        <w:tc>
          <w:tcPr>
            <w:tcW w:w="4900" w:type="dxa"/>
            <w:vAlign w:val="bottom"/>
            <w:vMerge w:val="continue"/>
            <w:shd w:val="clear" w:color="auto" w:fill="F2F2F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720" w:type="dxa"/>
            <w:vAlign w:val="bottom"/>
            <w:shd w:val="clear" w:color="auto" w:fill="DBE5F1"/>
          </w:tcPr>
          <w:p>
            <w:pPr>
              <w:spacing w:after="0"/>
              <w:rPr>
                <w:sz w:val="16"/>
                <w:szCs w:val="16"/>
                <w:color w:val="auto"/>
              </w:rPr>
            </w:pPr>
          </w:p>
        </w:tc>
        <w:tc>
          <w:tcPr>
            <w:tcW w:w="300" w:type="dxa"/>
            <w:vAlign w:val="bottom"/>
            <w:vMerge w:val="restart"/>
            <w:shd w:val="clear" w:color="auto" w:fill="F2F2F2"/>
          </w:tcPr>
          <w:p>
            <w:pPr>
              <w:ind w:left="160"/>
              <w:spacing w:after="0"/>
              <w:rPr>
                <w:sz w:val="20"/>
                <w:szCs w:val="20"/>
                <w:color w:val="auto"/>
              </w:rPr>
            </w:pPr>
            <w:r>
              <w:rPr>
                <w:rFonts w:ascii="Arial" w:cs="Arial" w:eastAsia="Arial" w:hAnsi="Arial"/>
                <w:sz w:val="22"/>
                <w:szCs w:val="22"/>
                <w:b w:val="1"/>
                <w:bCs w:val="1"/>
                <w:color w:val="4A7EBB"/>
              </w:rPr>
              <w:t>•</w:t>
            </w:r>
          </w:p>
        </w:tc>
        <w:tc>
          <w:tcPr>
            <w:tcW w:w="1980" w:type="dxa"/>
            <w:vAlign w:val="bottom"/>
            <w:vMerge w:val="restart"/>
            <w:shd w:val="clear" w:color="auto" w:fill="F2F2F2"/>
          </w:tcPr>
          <w:p>
            <w:pPr>
              <w:ind w:left="100"/>
              <w:spacing w:after="0"/>
              <w:rPr>
                <w:sz w:val="20"/>
                <w:szCs w:val="20"/>
                <w:color w:val="auto"/>
              </w:rPr>
            </w:pPr>
            <w:r>
              <w:rPr>
                <w:rFonts w:ascii="Arial" w:cs="Arial" w:eastAsia="Arial" w:hAnsi="Arial"/>
                <w:sz w:val="16"/>
                <w:szCs w:val="16"/>
                <w:color w:val="auto"/>
              </w:rPr>
              <w:t>Nominating and</w:t>
            </w:r>
          </w:p>
        </w:tc>
        <w:tc>
          <w:tcPr>
            <w:tcW w:w="4900" w:type="dxa"/>
            <w:vAlign w:val="bottom"/>
            <w:shd w:val="clear" w:color="auto" w:fill="F2F2F2"/>
          </w:tcPr>
          <w:p>
            <w:pPr>
              <w:ind w:left="140"/>
              <w:spacing w:after="0"/>
              <w:rPr>
                <w:sz w:val="20"/>
                <w:szCs w:val="20"/>
                <w:color w:val="auto"/>
              </w:rPr>
            </w:pPr>
            <w:r>
              <w:rPr>
                <w:rFonts w:ascii="Arial" w:cs="Arial" w:eastAsia="Arial" w:hAnsi="Arial"/>
                <w:sz w:val="16"/>
                <w:szCs w:val="16"/>
                <w:color w:val="auto"/>
              </w:rPr>
              <w:t>acquisition.  From  1985  until  1997,  Richard  White  was  a</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720" w:type="dxa"/>
            <w:vAlign w:val="bottom"/>
            <w:shd w:val="clear" w:color="auto" w:fill="DBE5F1"/>
          </w:tcPr>
          <w:p>
            <w:pPr>
              <w:spacing w:after="0"/>
              <w:rPr>
                <w:sz w:val="14"/>
                <w:szCs w:val="14"/>
                <w:color w:val="auto"/>
              </w:rPr>
            </w:pPr>
          </w:p>
        </w:tc>
        <w:tc>
          <w:tcPr>
            <w:tcW w:w="300" w:type="dxa"/>
            <w:vAlign w:val="bottom"/>
            <w:vMerge w:val="continue"/>
            <w:shd w:val="clear" w:color="auto" w:fill="F2F2F2"/>
          </w:tcPr>
          <w:p>
            <w:pPr>
              <w:spacing w:after="0"/>
              <w:rPr>
                <w:sz w:val="14"/>
                <w:szCs w:val="14"/>
                <w:color w:val="auto"/>
              </w:rPr>
            </w:pPr>
          </w:p>
        </w:tc>
        <w:tc>
          <w:tcPr>
            <w:tcW w:w="1980" w:type="dxa"/>
            <w:vAlign w:val="bottom"/>
            <w:vMerge w:val="continue"/>
            <w:shd w:val="clear" w:color="auto" w:fill="F2F2F2"/>
          </w:tcPr>
          <w:p>
            <w:pPr>
              <w:spacing w:after="0"/>
              <w:rPr>
                <w:sz w:val="14"/>
                <w:szCs w:val="14"/>
                <w:color w:val="auto"/>
              </w:rPr>
            </w:pPr>
          </w:p>
        </w:tc>
        <w:tc>
          <w:tcPr>
            <w:tcW w:w="4900" w:type="dxa"/>
            <w:vAlign w:val="bottom"/>
            <w:shd w:val="clear" w:color="auto" w:fill="F2F2F2"/>
          </w:tcPr>
          <w:p>
            <w:pPr>
              <w:ind w:left="140"/>
              <w:spacing w:after="0" w:line="163" w:lineRule="exact"/>
              <w:rPr>
                <w:sz w:val="20"/>
                <w:szCs w:val="20"/>
                <w:color w:val="auto"/>
              </w:rPr>
            </w:pPr>
            <w:r>
              <w:rPr>
                <w:rFonts w:ascii="Arial" w:cs="Arial" w:eastAsia="Arial" w:hAnsi="Arial"/>
                <w:sz w:val="16"/>
                <w:szCs w:val="16"/>
                <w:color w:val="auto"/>
              </w:rPr>
              <w:t>Managing Director of and a General Partner in Oppenheimer &amp;</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720" w:type="dxa"/>
            <w:vAlign w:val="bottom"/>
            <w:shd w:val="clear" w:color="auto" w:fill="DBE5F1"/>
          </w:tcPr>
          <w:p>
            <w:pPr>
              <w:spacing w:after="0"/>
              <w:rPr>
                <w:sz w:val="18"/>
                <w:szCs w:val="18"/>
                <w:color w:val="auto"/>
              </w:rPr>
            </w:pPr>
          </w:p>
        </w:tc>
        <w:tc>
          <w:tcPr>
            <w:tcW w:w="300" w:type="dxa"/>
            <w:vAlign w:val="bottom"/>
            <w:shd w:val="clear" w:color="auto" w:fill="F2F2F2"/>
          </w:tcPr>
          <w:p>
            <w:pPr>
              <w:spacing w:after="0"/>
              <w:rPr>
                <w:sz w:val="18"/>
                <w:szCs w:val="18"/>
                <w:color w:val="auto"/>
              </w:rPr>
            </w:pPr>
          </w:p>
        </w:tc>
        <w:tc>
          <w:tcPr>
            <w:tcW w:w="1980" w:type="dxa"/>
            <w:vAlign w:val="bottom"/>
            <w:shd w:val="clear" w:color="auto" w:fill="F2F2F2"/>
          </w:tcPr>
          <w:p>
            <w:pPr>
              <w:ind w:left="100"/>
              <w:spacing w:after="0"/>
              <w:rPr>
                <w:sz w:val="20"/>
                <w:szCs w:val="20"/>
                <w:color w:val="auto"/>
              </w:rPr>
            </w:pPr>
            <w:r>
              <w:rPr>
                <w:rFonts w:ascii="Arial" w:cs="Arial" w:eastAsia="Arial" w:hAnsi="Arial"/>
                <w:sz w:val="16"/>
                <w:szCs w:val="16"/>
                <w:color w:val="auto"/>
              </w:rPr>
              <w:t>Corporate Governance</w:t>
            </w:r>
          </w:p>
        </w:tc>
        <w:tc>
          <w:tcPr>
            <w:tcW w:w="4900" w:type="dxa"/>
            <w:vAlign w:val="bottom"/>
            <w:shd w:val="clear" w:color="auto" w:fill="F2F2F2"/>
          </w:tcPr>
          <w:p>
            <w:pPr>
              <w:ind w:left="140"/>
              <w:spacing w:after="0"/>
              <w:rPr>
                <w:sz w:val="20"/>
                <w:szCs w:val="20"/>
                <w:color w:val="auto"/>
              </w:rPr>
            </w:pPr>
            <w:r>
              <w:rPr>
                <w:rFonts w:ascii="Arial" w:cs="Arial" w:eastAsia="Arial" w:hAnsi="Arial"/>
                <w:sz w:val="16"/>
                <w:szCs w:val="16"/>
                <w:color w:val="auto"/>
              </w:rPr>
              <w:t>Co., Inc., the predecessor firm to CIBC World Markets. From</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720" w:type="dxa"/>
            <w:vAlign w:val="bottom"/>
            <w:shd w:val="clear" w:color="auto" w:fill="DBE5F1"/>
          </w:tcPr>
          <w:p>
            <w:pPr>
              <w:spacing w:after="0"/>
              <w:rPr>
                <w:sz w:val="16"/>
                <w:szCs w:val="16"/>
                <w:color w:val="auto"/>
              </w:rPr>
            </w:pPr>
          </w:p>
        </w:tc>
        <w:tc>
          <w:tcPr>
            <w:tcW w:w="300" w:type="dxa"/>
            <w:vAlign w:val="bottom"/>
            <w:shd w:val="clear" w:color="auto" w:fill="F2F2F2"/>
          </w:tcPr>
          <w:p>
            <w:pPr>
              <w:spacing w:after="0"/>
              <w:rPr>
                <w:sz w:val="16"/>
                <w:szCs w:val="16"/>
                <w:color w:val="auto"/>
              </w:rPr>
            </w:pPr>
          </w:p>
        </w:tc>
        <w:tc>
          <w:tcPr>
            <w:tcW w:w="1980" w:type="dxa"/>
            <w:vAlign w:val="bottom"/>
            <w:vMerge w:val="restart"/>
            <w:shd w:val="clear" w:color="auto" w:fill="F2F2F2"/>
          </w:tcPr>
          <w:p>
            <w:pPr>
              <w:ind w:left="60"/>
              <w:spacing w:after="0"/>
              <w:rPr>
                <w:sz w:val="20"/>
                <w:szCs w:val="20"/>
                <w:color w:val="auto"/>
              </w:rPr>
            </w:pPr>
            <w:r>
              <w:rPr>
                <w:rFonts w:ascii="Arial" w:cs="Arial" w:eastAsia="Arial" w:hAnsi="Arial"/>
                <w:sz w:val="16"/>
                <w:szCs w:val="16"/>
                <w:color w:val="auto"/>
              </w:rPr>
              <w:t>Financial Expert</w:t>
            </w:r>
          </w:p>
        </w:tc>
        <w:tc>
          <w:tcPr>
            <w:tcW w:w="4900" w:type="dxa"/>
            <w:vAlign w:val="bottom"/>
            <w:shd w:val="clear" w:color="auto" w:fill="F2F2F2"/>
          </w:tcPr>
          <w:p>
            <w:pPr>
              <w:ind w:left="140"/>
              <w:spacing w:after="0"/>
              <w:rPr>
                <w:sz w:val="20"/>
                <w:szCs w:val="20"/>
                <w:color w:val="auto"/>
              </w:rPr>
            </w:pPr>
            <w:r>
              <w:rPr>
                <w:rFonts w:ascii="Arial" w:cs="Arial" w:eastAsia="Arial" w:hAnsi="Arial"/>
                <w:sz w:val="16"/>
                <w:szCs w:val="16"/>
                <w:color w:val="auto"/>
              </w:rPr>
              <w:t>2004 until May 2020, Richard White was a director of Escalade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720" w:type="dxa"/>
            <w:vAlign w:val="bottom"/>
            <w:shd w:val="clear" w:color="auto" w:fill="DBE5F1"/>
          </w:tcPr>
          <w:p>
            <w:pPr>
              <w:spacing w:after="0"/>
              <w:rPr>
                <w:sz w:val="9"/>
                <w:szCs w:val="9"/>
                <w:color w:val="auto"/>
              </w:rPr>
            </w:pPr>
          </w:p>
        </w:tc>
        <w:tc>
          <w:tcPr>
            <w:tcW w:w="300" w:type="dxa"/>
            <w:vAlign w:val="bottom"/>
            <w:shd w:val="clear" w:color="auto" w:fill="F2F2F2"/>
          </w:tcPr>
          <w:p>
            <w:pPr>
              <w:spacing w:after="0"/>
              <w:rPr>
                <w:sz w:val="9"/>
                <w:szCs w:val="9"/>
                <w:color w:val="auto"/>
              </w:rPr>
            </w:pPr>
          </w:p>
        </w:tc>
        <w:tc>
          <w:tcPr>
            <w:tcW w:w="1980" w:type="dxa"/>
            <w:vAlign w:val="bottom"/>
            <w:vMerge w:val="continue"/>
            <w:shd w:val="clear" w:color="auto" w:fill="F2F2F2"/>
          </w:tcPr>
          <w:p>
            <w:pPr>
              <w:spacing w:after="0"/>
              <w:rPr>
                <w:sz w:val="9"/>
                <w:szCs w:val="9"/>
                <w:color w:val="auto"/>
              </w:rPr>
            </w:pPr>
          </w:p>
        </w:tc>
        <w:tc>
          <w:tcPr>
            <w:tcW w:w="4900" w:type="dxa"/>
            <w:vAlign w:val="bottom"/>
            <w:vMerge w:val="restart"/>
            <w:shd w:val="clear" w:color="auto" w:fill="F2F2F2"/>
          </w:tcPr>
          <w:p>
            <w:pPr>
              <w:ind w:left="140"/>
              <w:spacing w:after="0"/>
              <w:rPr>
                <w:sz w:val="20"/>
                <w:szCs w:val="20"/>
                <w:color w:val="auto"/>
              </w:rPr>
            </w:pPr>
            <w:r>
              <w:rPr>
                <w:rFonts w:ascii="Arial" w:cs="Arial" w:eastAsia="Arial" w:hAnsi="Arial"/>
                <w:sz w:val="16"/>
                <w:szCs w:val="16"/>
                <w:color w:val="auto"/>
              </w:rPr>
              <w:t>Inc., a manufacturer, importer and distributor of sporting goods.</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2720" w:type="dxa"/>
            <w:vAlign w:val="bottom"/>
            <w:shd w:val="clear" w:color="auto" w:fill="DBE5F1"/>
          </w:tcPr>
          <w:p>
            <w:pPr>
              <w:spacing w:after="0"/>
              <w:rPr>
                <w:sz w:val="7"/>
                <w:szCs w:val="7"/>
                <w:color w:val="auto"/>
              </w:rPr>
            </w:pPr>
          </w:p>
        </w:tc>
        <w:tc>
          <w:tcPr>
            <w:tcW w:w="300" w:type="dxa"/>
            <w:vAlign w:val="bottom"/>
            <w:shd w:val="clear" w:color="auto" w:fill="F2F2F2"/>
          </w:tcPr>
          <w:p>
            <w:pPr>
              <w:spacing w:after="0"/>
              <w:rPr>
                <w:sz w:val="7"/>
                <w:szCs w:val="7"/>
                <w:color w:val="auto"/>
              </w:rPr>
            </w:pPr>
          </w:p>
        </w:tc>
        <w:tc>
          <w:tcPr>
            <w:tcW w:w="1980" w:type="dxa"/>
            <w:vAlign w:val="bottom"/>
            <w:shd w:val="clear" w:color="auto" w:fill="F2F2F2"/>
          </w:tcPr>
          <w:p>
            <w:pPr>
              <w:spacing w:after="0"/>
              <w:rPr>
                <w:sz w:val="7"/>
                <w:szCs w:val="7"/>
                <w:color w:val="auto"/>
              </w:rPr>
            </w:pPr>
          </w:p>
        </w:tc>
        <w:tc>
          <w:tcPr>
            <w:tcW w:w="4900" w:type="dxa"/>
            <w:vAlign w:val="bottom"/>
            <w:vMerge w:val="continue"/>
            <w:shd w:val="clear" w:color="auto" w:fill="F2F2F2"/>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720" w:type="dxa"/>
            <w:vAlign w:val="bottom"/>
            <w:shd w:val="clear" w:color="auto" w:fill="DBE5F1"/>
          </w:tcPr>
          <w:p>
            <w:pPr>
              <w:spacing w:after="0"/>
              <w:rPr>
                <w:sz w:val="16"/>
                <w:szCs w:val="16"/>
                <w:color w:val="auto"/>
              </w:rPr>
            </w:pPr>
          </w:p>
        </w:tc>
        <w:tc>
          <w:tcPr>
            <w:tcW w:w="2280" w:type="dxa"/>
            <w:vAlign w:val="bottom"/>
            <w:gridSpan w:val="2"/>
            <w:vMerge w:val="restart"/>
            <w:shd w:val="clear" w:color="auto" w:fill="F2F2F2"/>
          </w:tcPr>
          <w:p>
            <w:pPr>
              <w:ind w:left="100"/>
              <w:spacing w:after="0"/>
              <w:rPr>
                <w:sz w:val="20"/>
                <w:szCs w:val="20"/>
                <w:color w:val="auto"/>
              </w:rPr>
            </w:pPr>
            <w:r>
              <w:rPr>
                <w:rFonts w:ascii="Arial" w:cs="Arial" w:eastAsia="Arial" w:hAnsi="Arial"/>
                <w:sz w:val="16"/>
                <w:szCs w:val="16"/>
                <w:b w:val="1"/>
                <w:bCs w:val="1"/>
                <w:color w:val="auto"/>
              </w:rPr>
              <w:t>Lead Independent Director</w:t>
            </w:r>
          </w:p>
        </w:tc>
        <w:tc>
          <w:tcPr>
            <w:tcW w:w="4900" w:type="dxa"/>
            <w:vAlign w:val="bottom"/>
            <w:shd w:val="clear" w:color="auto" w:fill="F2F2F2"/>
          </w:tcPr>
          <w:p>
            <w:pPr>
              <w:ind w:left="140"/>
              <w:spacing w:after="0"/>
              <w:rPr>
                <w:sz w:val="20"/>
                <w:szCs w:val="20"/>
                <w:color w:val="auto"/>
              </w:rPr>
            </w:pPr>
            <w:r>
              <w:rPr>
                <w:rFonts w:ascii="Arial" w:cs="Arial" w:eastAsia="Arial" w:hAnsi="Arial"/>
                <w:sz w:val="16"/>
                <w:szCs w:val="16"/>
                <w:color w:val="auto"/>
              </w:rPr>
              <w:t>From 2017 to February 2023, Richard White served as a director</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2720" w:type="dxa"/>
            <w:vAlign w:val="bottom"/>
            <w:shd w:val="clear" w:color="auto" w:fill="DBE5F1"/>
          </w:tcPr>
          <w:p>
            <w:pPr>
              <w:spacing w:after="0"/>
              <w:rPr>
                <w:sz w:val="9"/>
                <w:szCs w:val="9"/>
                <w:color w:val="auto"/>
              </w:rPr>
            </w:pPr>
          </w:p>
        </w:tc>
        <w:tc>
          <w:tcPr>
            <w:tcW w:w="2280" w:type="dxa"/>
            <w:vAlign w:val="bottom"/>
            <w:gridSpan w:val="2"/>
            <w:vMerge w:val="continue"/>
            <w:shd w:val="clear" w:color="auto" w:fill="F2F2F2"/>
          </w:tcPr>
          <w:p>
            <w:pPr>
              <w:spacing w:after="0"/>
              <w:rPr>
                <w:sz w:val="9"/>
                <w:szCs w:val="9"/>
                <w:color w:val="auto"/>
              </w:rPr>
            </w:pPr>
          </w:p>
        </w:tc>
        <w:tc>
          <w:tcPr>
            <w:tcW w:w="4900" w:type="dxa"/>
            <w:vAlign w:val="bottom"/>
            <w:vMerge w:val="restart"/>
            <w:shd w:val="clear" w:color="auto" w:fill="F2F2F2"/>
          </w:tcPr>
          <w:p>
            <w:pPr>
              <w:ind w:left="140"/>
              <w:spacing w:after="0"/>
              <w:rPr>
                <w:sz w:val="20"/>
                <w:szCs w:val="20"/>
                <w:color w:val="auto"/>
              </w:rPr>
            </w:pPr>
            <w:r>
              <w:rPr>
                <w:rFonts w:ascii="Arial" w:cs="Arial" w:eastAsia="Arial" w:hAnsi="Arial"/>
                <w:sz w:val="16"/>
                <w:szCs w:val="16"/>
                <w:color w:val="auto"/>
              </w:rPr>
              <w:t>of PARTS iD, Inc., formerly Legacy Acquisition Corp. Richard</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2720" w:type="dxa"/>
            <w:vAlign w:val="bottom"/>
            <w:shd w:val="clear" w:color="auto" w:fill="DBE5F1"/>
          </w:tcPr>
          <w:p>
            <w:pPr>
              <w:spacing w:after="0"/>
              <w:rPr>
                <w:sz w:val="6"/>
                <w:szCs w:val="6"/>
                <w:color w:val="auto"/>
              </w:rPr>
            </w:pPr>
          </w:p>
        </w:tc>
        <w:tc>
          <w:tcPr>
            <w:tcW w:w="300" w:type="dxa"/>
            <w:vAlign w:val="bottom"/>
            <w:shd w:val="clear" w:color="auto" w:fill="F2F2F2"/>
          </w:tcPr>
          <w:p>
            <w:pPr>
              <w:spacing w:after="0"/>
              <w:rPr>
                <w:sz w:val="6"/>
                <w:szCs w:val="6"/>
                <w:color w:val="auto"/>
              </w:rPr>
            </w:pPr>
          </w:p>
        </w:tc>
        <w:tc>
          <w:tcPr>
            <w:tcW w:w="1980" w:type="dxa"/>
            <w:vAlign w:val="bottom"/>
            <w:shd w:val="clear" w:color="auto" w:fill="F2F2F2"/>
          </w:tcPr>
          <w:p>
            <w:pPr>
              <w:spacing w:after="0"/>
              <w:rPr>
                <w:sz w:val="6"/>
                <w:szCs w:val="6"/>
                <w:color w:val="auto"/>
              </w:rPr>
            </w:pPr>
          </w:p>
        </w:tc>
        <w:tc>
          <w:tcPr>
            <w:tcW w:w="4900" w:type="dxa"/>
            <w:vAlign w:val="bottom"/>
            <w:vMerge w:val="continue"/>
            <w:shd w:val="clear" w:color="auto" w:fill="F2F2F2"/>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720" w:type="dxa"/>
            <w:vAlign w:val="bottom"/>
            <w:shd w:val="clear" w:color="auto" w:fill="DBE5F1"/>
          </w:tcPr>
          <w:p>
            <w:pPr>
              <w:spacing w:after="0"/>
              <w:rPr>
                <w:sz w:val="16"/>
                <w:szCs w:val="16"/>
                <w:color w:val="auto"/>
              </w:rPr>
            </w:pPr>
          </w:p>
        </w:tc>
        <w:tc>
          <w:tcPr>
            <w:tcW w:w="300" w:type="dxa"/>
            <w:vAlign w:val="bottom"/>
            <w:shd w:val="clear" w:color="auto" w:fill="F2F2F2"/>
          </w:tcPr>
          <w:p>
            <w:pPr>
              <w:spacing w:after="0"/>
              <w:rPr>
                <w:sz w:val="16"/>
                <w:szCs w:val="16"/>
                <w:color w:val="auto"/>
              </w:rPr>
            </w:pPr>
          </w:p>
        </w:tc>
        <w:tc>
          <w:tcPr>
            <w:tcW w:w="1980" w:type="dxa"/>
            <w:vAlign w:val="bottom"/>
            <w:shd w:val="clear" w:color="auto" w:fill="F2F2F2"/>
          </w:tcPr>
          <w:p>
            <w:pPr>
              <w:spacing w:after="0"/>
              <w:rPr>
                <w:sz w:val="16"/>
                <w:szCs w:val="16"/>
                <w:color w:val="auto"/>
              </w:rPr>
            </w:pPr>
          </w:p>
        </w:tc>
        <w:tc>
          <w:tcPr>
            <w:tcW w:w="4900" w:type="dxa"/>
            <w:vAlign w:val="bottom"/>
            <w:shd w:val="clear" w:color="auto" w:fill="F2F2F2"/>
          </w:tcPr>
          <w:p>
            <w:pPr>
              <w:ind w:left="140"/>
              <w:spacing w:after="0"/>
              <w:rPr>
                <w:sz w:val="20"/>
                <w:szCs w:val="20"/>
                <w:color w:val="auto"/>
              </w:rPr>
            </w:pPr>
            <w:r>
              <w:rPr>
                <w:rFonts w:ascii="Arial" w:cs="Arial" w:eastAsia="Arial" w:hAnsi="Arial"/>
                <w:sz w:val="16"/>
                <w:szCs w:val="16"/>
                <w:color w:val="auto"/>
              </w:rPr>
              <w:t>White previously served as a director of G-III from November</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720" w:type="dxa"/>
            <w:vAlign w:val="bottom"/>
            <w:shd w:val="clear" w:color="auto" w:fill="DBE5F1"/>
          </w:tcPr>
          <w:p>
            <w:pPr>
              <w:spacing w:after="0"/>
              <w:rPr>
                <w:sz w:val="18"/>
                <w:szCs w:val="18"/>
                <w:color w:val="auto"/>
              </w:rPr>
            </w:pPr>
          </w:p>
        </w:tc>
        <w:tc>
          <w:tcPr>
            <w:tcW w:w="300" w:type="dxa"/>
            <w:vAlign w:val="bottom"/>
            <w:shd w:val="clear" w:color="auto" w:fill="F2F2F2"/>
          </w:tcPr>
          <w:p>
            <w:pPr>
              <w:spacing w:after="0"/>
              <w:rPr>
                <w:sz w:val="18"/>
                <w:szCs w:val="18"/>
                <w:color w:val="auto"/>
              </w:rPr>
            </w:pPr>
          </w:p>
        </w:tc>
        <w:tc>
          <w:tcPr>
            <w:tcW w:w="1980" w:type="dxa"/>
            <w:vAlign w:val="bottom"/>
            <w:shd w:val="clear" w:color="auto" w:fill="F2F2F2"/>
          </w:tcPr>
          <w:p>
            <w:pPr>
              <w:spacing w:after="0"/>
              <w:rPr>
                <w:sz w:val="18"/>
                <w:szCs w:val="18"/>
                <w:color w:val="auto"/>
              </w:rPr>
            </w:pPr>
          </w:p>
        </w:tc>
        <w:tc>
          <w:tcPr>
            <w:tcW w:w="4900" w:type="dxa"/>
            <w:vAlign w:val="bottom"/>
            <w:shd w:val="clear" w:color="auto" w:fill="F2F2F2"/>
          </w:tcPr>
          <w:p>
            <w:pPr>
              <w:ind w:left="140"/>
              <w:spacing w:after="0"/>
              <w:rPr>
                <w:sz w:val="20"/>
                <w:szCs w:val="20"/>
                <w:color w:val="auto"/>
              </w:rPr>
            </w:pPr>
            <w:r>
              <w:rPr>
                <w:rFonts w:ascii="Arial" w:cs="Arial" w:eastAsia="Arial" w:hAnsi="Arial"/>
                <w:sz w:val="16"/>
                <w:szCs w:val="16"/>
                <w:color w:val="auto"/>
              </w:rPr>
              <w:t>1991 to July 1993.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2"/>
        </w:trPr>
        <w:tc>
          <w:tcPr>
            <w:tcW w:w="2720" w:type="dxa"/>
            <w:vAlign w:val="bottom"/>
            <w:shd w:val="clear" w:color="auto" w:fill="DBE5F1"/>
          </w:tcPr>
          <w:p>
            <w:pPr>
              <w:spacing w:after="0"/>
              <w:rPr>
                <w:sz w:val="24"/>
                <w:szCs w:val="24"/>
                <w:color w:val="auto"/>
              </w:rPr>
            </w:pPr>
          </w:p>
        </w:tc>
        <w:tc>
          <w:tcPr>
            <w:tcW w:w="300" w:type="dxa"/>
            <w:vAlign w:val="bottom"/>
            <w:shd w:val="clear" w:color="auto" w:fill="F2F2F2"/>
          </w:tcPr>
          <w:p>
            <w:pPr>
              <w:spacing w:after="0"/>
              <w:rPr>
                <w:sz w:val="24"/>
                <w:szCs w:val="24"/>
                <w:color w:val="auto"/>
              </w:rPr>
            </w:pPr>
          </w:p>
        </w:tc>
        <w:tc>
          <w:tcPr>
            <w:tcW w:w="1980" w:type="dxa"/>
            <w:vAlign w:val="bottom"/>
            <w:shd w:val="clear" w:color="auto" w:fill="F2F2F2"/>
          </w:tcPr>
          <w:p>
            <w:pPr>
              <w:spacing w:after="0"/>
              <w:rPr>
                <w:sz w:val="24"/>
                <w:szCs w:val="24"/>
                <w:color w:val="auto"/>
              </w:rPr>
            </w:pPr>
          </w:p>
        </w:tc>
        <w:tc>
          <w:tcPr>
            <w:tcW w:w="4900" w:type="dxa"/>
            <w:vAlign w:val="bottom"/>
            <w:shd w:val="clear" w:color="auto" w:fill="F2F2F2"/>
          </w:tcPr>
          <w:p>
            <w:pPr>
              <w:ind w:left="140"/>
              <w:spacing w:after="0"/>
              <w:rPr>
                <w:sz w:val="20"/>
                <w:szCs w:val="20"/>
                <w:color w:val="auto"/>
              </w:rPr>
            </w:pPr>
            <w:r>
              <w:rPr>
                <w:rFonts w:ascii="Arial" w:cs="Arial" w:eastAsia="Arial" w:hAnsi="Arial"/>
                <w:sz w:val="16"/>
                <w:szCs w:val="16"/>
                <w:b w:val="1"/>
                <w:bCs w:val="1"/>
                <w:color w:val="4A7EBB"/>
              </w:rPr>
              <w:t>Qualifications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720" w:type="dxa"/>
            <w:vAlign w:val="bottom"/>
            <w:shd w:val="clear" w:color="auto" w:fill="DBE5F1"/>
          </w:tcPr>
          <w:p>
            <w:pPr>
              <w:spacing w:after="0"/>
              <w:rPr>
                <w:sz w:val="16"/>
                <w:szCs w:val="16"/>
                <w:color w:val="auto"/>
              </w:rPr>
            </w:pPr>
          </w:p>
        </w:tc>
        <w:tc>
          <w:tcPr>
            <w:tcW w:w="300" w:type="dxa"/>
            <w:vAlign w:val="bottom"/>
            <w:shd w:val="clear" w:color="auto" w:fill="F2F2F2"/>
          </w:tcPr>
          <w:p>
            <w:pPr>
              <w:spacing w:after="0"/>
              <w:rPr>
                <w:sz w:val="16"/>
                <w:szCs w:val="16"/>
                <w:color w:val="auto"/>
              </w:rPr>
            </w:pPr>
          </w:p>
        </w:tc>
        <w:tc>
          <w:tcPr>
            <w:tcW w:w="1980" w:type="dxa"/>
            <w:vAlign w:val="bottom"/>
            <w:shd w:val="clear" w:color="auto" w:fill="F2F2F2"/>
          </w:tcPr>
          <w:p>
            <w:pPr>
              <w:spacing w:after="0"/>
              <w:rPr>
                <w:sz w:val="16"/>
                <w:szCs w:val="16"/>
                <w:color w:val="auto"/>
              </w:rPr>
            </w:pPr>
          </w:p>
        </w:tc>
        <w:tc>
          <w:tcPr>
            <w:tcW w:w="4900" w:type="dxa"/>
            <w:vAlign w:val="bottom"/>
            <w:shd w:val="clear" w:color="auto" w:fill="F2F2F2"/>
          </w:tcPr>
          <w:p>
            <w:pPr>
              <w:ind w:left="140"/>
              <w:spacing w:after="0"/>
              <w:rPr>
                <w:sz w:val="20"/>
                <w:szCs w:val="20"/>
                <w:color w:val="auto"/>
              </w:rPr>
            </w:pPr>
            <w:r>
              <w:rPr>
                <w:rFonts w:ascii="Arial" w:cs="Arial" w:eastAsia="Arial" w:hAnsi="Arial"/>
                <w:sz w:val="16"/>
                <w:szCs w:val="16"/>
                <w:color w:val="auto"/>
              </w:rPr>
              <w:t>Richard White has been a high-level participant in private equity</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20" w:type="dxa"/>
            <w:vAlign w:val="bottom"/>
            <w:shd w:val="clear" w:color="auto" w:fill="DBE5F1"/>
          </w:tcPr>
          <w:p>
            <w:pPr>
              <w:spacing w:after="0"/>
              <w:rPr>
                <w:sz w:val="16"/>
                <w:szCs w:val="16"/>
                <w:color w:val="auto"/>
              </w:rPr>
            </w:pPr>
          </w:p>
        </w:tc>
        <w:tc>
          <w:tcPr>
            <w:tcW w:w="300" w:type="dxa"/>
            <w:vAlign w:val="bottom"/>
            <w:shd w:val="clear" w:color="auto" w:fill="F2F2F2"/>
          </w:tcPr>
          <w:p>
            <w:pPr>
              <w:spacing w:after="0"/>
              <w:rPr>
                <w:sz w:val="16"/>
                <w:szCs w:val="16"/>
                <w:color w:val="auto"/>
              </w:rPr>
            </w:pPr>
          </w:p>
        </w:tc>
        <w:tc>
          <w:tcPr>
            <w:tcW w:w="1980" w:type="dxa"/>
            <w:vAlign w:val="bottom"/>
            <w:shd w:val="clear" w:color="auto" w:fill="F2F2F2"/>
          </w:tcPr>
          <w:p>
            <w:pPr>
              <w:spacing w:after="0"/>
              <w:rPr>
                <w:sz w:val="16"/>
                <w:szCs w:val="16"/>
                <w:color w:val="auto"/>
              </w:rPr>
            </w:pPr>
          </w:p>
        </w:tc>
        <w:tc>
          <w:tcPr>
            <w:tcW w:w="4900" w:type="dxa"/>
            <w:vAlign w:val="bottom"/>
            <w:shd w:val="clear" w:color="auto" w:fill="F2F2F2"/>
          </w:tcPr>
          <w:p>
            <w:pPr>
              <w:ind w:left="140"/>
              <w:spacing w:after="0"/>
              <w:rPr>
                <w:sz w:val="20"/>
                <w:szCs w:val="20"/>
                <w:color w:val="auto"/>
              </w:rPr>
            </w:pPr>
            <w:r>
              <w:rPr>
                <w:rFonts w:ascii="Arial" w:cs="Arial" w:eastAsia="Arial" w:hAnsi="Arial"/>
                <w:sz w:val="16"/>
                <w:szCs w:val="16"/>
                <w:color w:val="auto"/>
              </w:rPr>
              <w:t>investing and investment banking and finance area for his entire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20" w:type="dxa"/>
            <w:vAlign w:val="bottom"/>
            <w:shd w:val="clear" w:color="auto" w:fill="DBE5F1"/>
          </w:tcPr>
          <w:p>
            <w:pPr>
              <w:spacing w:after="0"/>
              <w:rPr>
                <w:sz w:val="16"/>
                <w:szCs w:val="16"/>
                <w:color w:val="auto"/>
              </w:rPr>
            </w:pPr>
          </w:p>
        </w:tc>
        <w:tc>
          <w:tcPr>
            <w:tcW w:w="300" w:type="dxa"/>
            <w:vAlign w:val="bottom"/>
            <w:shd w:val="clear" w:color="auto" w:fill="F2F2F2"/>
          </w:tcPr>
          <w:p>
            <w:pPr>
              <w:spacing w:after="0"/>
              <w:rPr>
                <w:sz w:val="16"/>
                <w:szCs w:val="16"/>
                <w:color w:val="auto"/>
              </w:rPr>
            </w:pPr>
          </w:p>
        </w:tc>
        <w:tc>
          <w:tcPr>
            <w:tcW w:w="1980" w:type="dxa"/>
            <w:vAlign w:val="bottom"/>
            <w:shd w:val="clear" w:color="auto" w:fill="F2F2F2"/>
          </w:tcPr>
          <w:p>
            <w:pPr>
              <w:spacing w:after="0"/>
              <w:rPr>
                <w:sz w:val="16"/>
                <w:szCs w:val="16"/>
                <w:color w:val="auto"/>
              </w:rPr>
            </w:pPr>
          </w:p>
        </w:tc>
        <w:tc>
          <w:tcPr>
            <w:tcW w:w="4900" w:type="dxa"/>
            <w:vAlign w:val="bottom"/>
            <w:shd w:val="clear" w:color="auto" w:fill="F2F2F2"/>
          </w:tcPr>
          <w:p>
            <w:pPr>
              <w:ind w:left="140"/>
              <w:spacing w:after="0"/>
              <w:rPr>
                <w:sz w:val="20"/>
                <w:szCs w:val="20"/>
                <w:color w:val="auto"/>
              </w:rPr>
            </w:pPr>
            <w:r>
              <w:rPr>
                <w:rFonts w:ascii="Arial" w:cs="Arial" w:eastAsia="Arial" w:hAnsi="Arial"/>
                <w:sz w:val="16"/>
                <w:szCs w:val="16"/>
                <w:color w:val="auto"/>
              </w:rPr>
              <w:t>business  career.  His  understanding  of  strategic  planning,</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20" w:type="dxa"/>
            <w:vAlign w:val="bottom"/>
            <w:shd w:val="clear" w:color="auto" w:fill="DBE5F1"/>
          </w:tcPr>
          <w:p>
            <w:pPr>
              <w:spacing w:after="0"/>
              <w:rPr>
                <w:sz w:val="16"/>
                <w:szCs w:val="16"/>
                <w:color w:val="auto"/>
              </w:rPr>
            </w:pPr>
          </w:p>
        </w:tc>
        <w:tc>
          <w:tcPr>
            <w:tcW w:w="300" w:type="dxa"/>
            <w:vAlign w:val="bottom"/>
            <w:shd w:val="clear" w:color="auto" w:fill="F2F2F2"/>
          </w:tcPr>
          <w:p>
            <w:pPr>
              <w:spacing w:after="0"/>
              <w:rPr>
                <w:sz w:val="16"/>
                <w:szCs w:val="16"/>
                <w:color w:val="auto"/>
              </w:rPr>
            </w:pPr>
          </w:p>
        </w:tc>
        <w:tc>
          <w:tcPr>
            <w:tcW w:w="1980" w:type="dxa"/>
            <w:vAlign w:val="bottom"/>
            <w:shd w:val="clear" w:color="auto" w:fill="F2F2F2"/>
          </w:tcPr>
          <w:p>
            <w:pPr>
              <w:spacing w:after="0"/>
              <w:rPr>
                <w:sz w:val="16"/>
                <w:szCs w:val="16"/>
                <w:color w:val="auto"/>
              </w:rPr>
            </w:pPr>
          </w:p>
        </w:tc>
        <w:tc>
          <w:tcPr>
            <w:tcW w:w="4900" w:type="dxa"/>
            <w:vAlign w:val="bottom"/>
            <w:shd w:val="clear" w:color="auto" w:fill="F2F2F2"/>
          </w:tcPr>
          <w:p>
            <w:pPr>
              <w:ind w:left="140"/>
              <w:spacing w:after="0"/>
              <w:rPr>
                <w:sz w:val="20"/>
                <w:szCs w:val="20"/>
                <w:color w:val="auto"/>
              </w:rPr>
            </w:pPr>
            <w:r>
              <w:rPr>
                <w:rFonts w:ascii="Arial" w:cs="Arial" w:eastAsia="Arial" w:hAnsi="Arial"/>
                <w:sz w:val="16"/>
                <w:szCs w:val="16"/>
                <w:color w:val="auto"/>
              </w:rPr>
              <w:t>acquisitions and the capital markets, as well as the apparel</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20" w:type="dxa"/>
            <w:vAlign w:val="bottom"/>
            <w:shd w:val="clear" w:color="auto" w:fill="DBE5F1"/>
          </w:tcPr>
          <w:p>
            <w:pPr>
              <w:spacing w:after="0"/>
              <w:rPr>
                <w:sz w:val="16"/>
                <w:szCs w:val="16"/>
                <w:color w:val="auto"/>
              </w:rPr>
            </w:pPr>
          </w:p>
        </w:tc>
        <w:tc>
          <w:tcPr>
            <w:tcW w:w="300" w:type="dxa"/>
            <w:vAlign w:val="bottom"/>
            <w:shd w:val="clear" w:color="auto" w:fill="F2F2F2"/>
          </w:tcPr>
          <w:p>
            <w:pPr>
              <w:spacing w:after="0"/>
              <w:rPr>
                <w:sz w:val="16"/>
                <w:szCs w:val="16"/>
                <w:color w:val="auto"/>
              </w:rPr>
            </w:pPr>
          </w:p>
        </w:tc>
        <w:tc>
          <w:tcPr>
            <w:tcW w:w="1980" w:type="dxa"/>
            <w:vAlign w:val="bottom"/>
            <w:shd w:val="clear" w:color="auto" w:fill="F2F2F2"/>
          </w:tcPr>
          <w:p>
            <w:pPr>
              <w:spacing w:after="0"/>
              <w:rPr>
                <w:sz w:val="16"/>
                <w:szCs w:val="16"/>
                <w:color w:val="auto"/>
              </w:rPr>
            </w:pPr>
          </w:p>
        </w:tc>
        <w:tc>
          <w:tcPr>
            <w:tcW w:w="4900" w:type="dxa"/>
            <w:vAlign w:val="bottom"/>
            <w:shd w:val="clear" w:color="auto" w:fill="F2F2F2"/>
          </w:tcPr>
          <w:p>
            <w:pPr>
              <w:ind w:left="140"/>
              <w:spacing w:after="0"/>
              <w:rPr>
                <w:sz w:val="20"/>
                <w:szCs w:val="20"/>
                <w:color w:val="auto"/>
              </w:rPr>
            </w:pPr>
            <w:r>
              <w:rPr>
                <w:rFonts w:ascii="Arial" w:cs="Arial" w:eastAsia="Arial" w:hAnsi="Arial"/>
                <w:sz w:val="16"/>
                <w:szCs w:val="16"/>
                <w:color w:val="auto"/>
              </w:rPr>
              <w:t>industry, enable him to make significant contributions to our</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720" w:type="dxa"/>
            <w:vAlign w:val="bottom"/>
            <w:tcBorders>
              <w:bottom w:val="single" w:sz="8" w:color="4A7EBB"/>
            </w:tcBorders>
            <w:shd w:val="clear" w:color="auto" w:fill="DBE5F1"/>
          </w:tcPr>
          <w:p>
            <w:pPr>
              <w:spacing w:after="0"/>
              <w:rPr>
                <w:sz w:val="17"/>
                <w:szCs w:val="17"/>
                <w:color w:val="auto"/>
              </w:rPr>
            </w:pPr>
          </w:p>
        </w:tc>
        <w:tc>
          <w:tcPr>
            <w:tcW w:w="300" w:type="dxa"/>
            <w:vAlign w:val="bottom"/>
            <w:tcBorders>
              <w:bottom w:val="single" w:sz="8" w:color="4A7EBB"/>
            </w:tcBorders>
            <w:shd w:val="clear" w:color="auto" w:fill="F2F2F2"/>
          </w:tcPr>
          <w:p>
            <w:pPr>
              <w:spacing w:after="0"/>
              <w:rPr>
                <w:sz w:val="17"/>
                <w:szCs w:val="17"/>
                <w:color w:val="auto"/>
              </w:rPr>
            </w:pPr>
          </w:p>
        </w:tc>
        <w:tc>
          <w:tcPr>
            <w:tcW w:w="1980" w:type="dxa"/>
            <w:vAlign w:val="bottom"/>
            <w:tcBorders>
              <w:bottom w:val="single" w:sz="8" w:color="4A7EBB"/>
            </w:tcBorders>
            <w:shd w:val="clear" w:color="auto" w:fill="F2F2F2"/>
          </w:tcPr>
          <w:p>
            <w:pPr>
              <w:spacing w:after="0"/>
              <w:rPr>
                <w:sz w:val="17"/>
                <w:szCs w:val="17"/>
                <w:color w:val="auto"/>
              </w:rPr>
            </w:pPr>
          </w:p>
        </w:tc>
        <w:tc>
          <w:tcPr>
            <w:tcW w:w="4900" w:type="dxa"/>
            <w:vAlign w:val="bottom"/>
            <w:tcBorders>
              <w:bottom w:val="single" w:sz="8" w:color="4A7EBB"/>
            </w:tcBorders>
            <w:shd w:val="clear" w:color="auto" w:fill="F2F2F2"/>
          </w:tcPr>
          <w:p>
            <w:pPr>
              <w:ind w:left="140"/>
              <w:spacing w:after="0"/>
              <w:rPr>
                <w:sz w:val="20"/>
                <w:szCs w:val="20"/>
                <w:color w:val="auto"/>
              </w:rPr>
            </w:pPr>
            <w:r>
              <w:rPr>
                <w:rFonts w:ascii="Arial" w:cs="Arial" w:eastAsia="Arial" w:hAnsi="Arial"/>
                <w:sz w:val="16"/>
                <w:szCs w:val="16"/>
                <w:color w:val="auto"/>
              </w:rPr>
              <w:t>Board. Richard White is also a Certified Public Accountant.</w:t>
            </w:r>
          </w:p>
        </w:tc>
        <w:tc>
          <w:tcPr>
            <w:tcW w:w="20" w:type="dxa"/>
            <w:vAlign w:val="bottom"/>
            <w:tcBorders>
              <w:bottom w:val="single" w:sz="8" w:color="4A7EBB"/>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720" w:type="dxa"/>
            <w:vAlign w:val="bottom"/>
            <w:tcBorders>
              <w:bottom w:val="single" w:sz="8" w:color="4A7EBB"/>
            </w:tcBorders>
          </w:tcPr>
          <w:p>
            <w:pPr>
              <w:spacing w:after="0"/>
              <w:rPr>
                <w:sz w:val="18"/>
                <w:szCs w:val="18"/>
                <w:color w:val="auto"/>
              </w:rPr>
            </w:pPr>
          </w:p>
        </w:tc>
        <w:tc>
          <w:tcPr>
            <w:tcW w:w="300" w:type="dxa"/>
            <w:vAlign w:val="bottom"/>
            <w:tcBorders>
              <w:bottom w:val="single" w:sz="8" w:color="4A7EBB"/>
            </w:tcBorders>
          </w:tcPr>
          <w:p>
            <w:pPr>
              <w:spacing w:after="0"/>
              <w:rPr>
                <w:sz w:val="18"/>
                <w:szCs w:val="18"/>
                <w:color w:val="auto"/>
              </w:rPr>
            </w:pPr>
          </w:p>
        </w:tc>
        <w:tc>
          <w:tcPr>
            <w:tcW w:w="1980" w:type="dxa"/>
            <w:vAlign w:val="bottom"/>
            <w:tcBorders>
              <w:bottom w:val="single" w:sz="8" w:color="4A7EBB"/>
            </w:tcBorders>
          </w:tcPr>
          <w:p>
            <w:pPr>
              <w:spacing w:after="0"/>
              <w:rPr>
                <w:sz w:val="18"/>
                <w:szCs w:val="18"/>
                <w:color w:val="auto"/>
              </w:rPr>
            </w:pPr>
          </w:p>
        </w:tc>
        <w:tc>
          <w:tcPr>
            <w:tcW w:w="4900" w:type="dxa"/>
            <w:vAlign w:val="bottom"/>
            <w:tcBorders>
              <w:bottom w:val="single" w:sz="8" w:color="4A7EBB"/>
            </w:tcBorders>
          </w:tcPr>
          <w:p>
            <w:pPr>
              <w:spacing w:after="0"/>
              <w:rPr>
                <w:sz w:val="18"/>
                <w:szCs w:val="18"/>
                <w:color w:val="auto"/>
              </w:rPr>
            </w:pPr>
          </w:p>
        </w:tc>
        <w:tc>
          <w:tcPr>
            <w:tcW w:w="20" w:type="dxa"/>
            <w:vAlign w:val="bottom"/>
            <w:tcBorders>
              <w:bottom w:val="single" w:sz="8" w:color="4A7EBB"/>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720" w:type="dxa"/>
            <w:vAlign w:val="bottom"/>
            <w:shd w:val="clear" w:color="auto" w:fill="DBE5F1"/>
          </w:tcPr>
          <w:p>
            <w:pPr>
              <w:ind w:left="120"/>
              <w:spacing w:after="0" w:line="169" w:lineRule="exact"/>
              <w:rPr>
                <w:sz w:val="20"/>
                <w:szCs w:val="20"/>
                <w:color w:val="auto"/>
              </w:rPr>
            </w:pPr>
            <w:r>
              <w:rPr>
                <w:rFonts w:ascii="Arial" w:cs="Arial" w:eastAsia="Arial" w:hAnsi="Arial"/>
                <w:sz w:val="19"/>
                <w:szCs w:val="19"/>
                <w:b w:val="1"/>
                <w:bCs w:val="1"/>
                <w:color w:val="auto"/>
              </w:rPr>
              <w:t>ANDREW YAEGER</w:t>
            </w:r>
          </w:p>
        </w:tc>
        <w:tc>
          <w:tcPr>
            <w:tcW w:w="2280" w:type="dxa"/>
            <w:vAlign w:val="bottom"/>
            <w:gridSpan w:val="2"/>
            <w:shd w:val="clear" w:color="auto" w:fill="F2F2F2"/>
          </w:tcPr>
          <w:p>
            <w:pPr>
              <w:ind w:left="100"/>
              <w:spacing w:after="0" w:line="169" w:lineRule="exact"/>
              <w:rPr>
                <w:sz w:val="20"/>
                <w:szCs w:val="20"/>
                <w:color w:val="auto"/>
              </w:rPr>
            </w:pPr>
            <w:r>
              <w:rPr>
                <w:rFonts w:ascii="Arial" w:cs="Arial" w:eastAsia="Arial" w:hAnsi="Arial"/>
                <w:sz w:val="16"/>
                <w:szCs w:val="16"/>
                <w:b w:val="1"/>
                <w:bCs w:val="1"/>
                <w:color w:val="auto"/>
              </w:rPr>
              <w:t>Age: 48</w:t>
            </w:r>
          </w:p>
        </w:tc>
        <w:tc>
          <w:tcPr>
            <w:tcW w:w="4900" w:type="dxa"/>
            <w:vAlign w:val="bottom"/>
            <w:shd w:val="clear" w:color="auto" w:fill="F2F2F2"/>
          </w:tcPr>
          <w:p>
            <w:pPr>
              <w:ind w:left="140"/>
              <w:spacing w:after="0" w:line="169" w:lineRule="exact"/>
              <w:rPr>
                <w:sz w:val="20"/>
                <w:szCs w:val="20"/>
                <w:color w:val="auto"/>
              </w:rPr>
            </w:pPr>
            <w:r>
              <w:rPr>
                <w:rFonts w:ascii="Arial" w:cs="Arial" w:eastAsia="Arial" w:hAnsi="Arial"/>
                <w:sz w:val="16"/>
                <w:szCs w:val="16"/>
                <w:color w:val="auto"/>
              </w:rPr>
              <w:t>Andrew Yaeger has been the Global Head of Jefferies’ Strategic</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720" w:type="dxa"/>
            <w:vAlign w:val="bottom"/>
            <w:shd w:val="clear" w:color="auto" w:fill="DBE5F1"/>
          </w:tcPr>
          <w:p>
            <w:pPr>
              <w:ind w:left="120"/>
              <w:spacing w:after="0" w:line="189" w:lineRule="exact"/>
              <w:rPr>
                <w:sz w:val="20"/>
                <w:szCs w:val="20"/>
                <w:color w:val="auto"/>
              </w:rPr>
            </w:pPr>
            <w:r>
              <w:rPr>
                <w:rFonts w:ascii="Arial" w:cs="Arial" w:eastAsia="Arial" w:hAnsi="Arial"/>
                <w:sz w:val="17"/>
                <w:szCs w:val="17"/>
                <w:color w:val="auto"/>
              </w:rPr>
              <w:t>Global Head of Strategic Equity</w:t>
            </w:r>
          </w:p>
        </w:tc>
        <w:tc>
          <w:tcPr>
            <w:tcW w:w="300" w:type="dxa"/>
            <w:vAlign w:val="bottom"/>
            <w:shd w:val="clear" w:color="auto" w:fill="F2F2F2"/>
          </w:tcPr>
          <w:p>
            <w:pPr>
              <w:spacing w:after="0"/>
              <w:rPr>
                <w:sz w:val="16"/>
                <w:szCs w:val="16"/>
                <w:color w:val="auto"/>
              </w:rPr>
            </w:pPr>
          </w:p>
        </w:tc>
        <w:tc>
          <w:tcPr>
            <w:tcW w:w="1980" w:type="dxa"/>
            <w:vAlign w:val="bottom"/>
            <w:shd w:val="clear" w:color="auto" w:fill="F2F2F2"/>
          </w:tcPr>
          <w:p>
            <w:pPr>
              <w:spacing w:after="0"/>
              <w:rPr>
                <w:sz w:val="16"/>
                <w:szCs w:val="16"/>
                <w:color w:val="auto"/>
              </w:rPr>
            </w:pPr>
          </w:p>
        </w:tc>
        <w:tc>
          <w:tcPr>
            <w:tcW w:w="4900" w:type="dxa"/>
            <w:vAlign w:val="bottom"/>
            <w:shd w:val="clear" w:color="auto" w:fill="F2F2F2"/>
          </w:tcPr>
          <w:p>
            <w:pPr>
              <w:ind w:left="140"/>
              <w:spacing w:after="0"/>
              <w:rPr>
                <w:sz w:val="20"/>
                <w:szCs w:val="20"/>
                <w:color w:val="auto"/>
              </w:rPr>
            </w:pPr>
            <w:r>
              <w:rPr>
                <w:rFonts w:ascii="Arial" w:cs="Arial" w:eastAsia="Arial" w:hAnsi="Arial"/>
                <w:sz w:val="16"/>
                <w:szCs w:val="16"/>
                <w:color w:val="auto"/>
              </w:rPr>
              <w:t>Equity Transactions Group since 2021. From 2004 until 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20" w:type="dxa"/>
            <w:vAlign w:val="bottom"/>
            <w:shd w:val="clear" w:color="auto" w:fill="DBE5F1"/>
          </w:tcPr>
          <w:p>
            <w:pPr>
              <w:ind w:left="120"/>
              <w:spacing w:after="0" w:line="189" w:lineRule="exact"/>
              <w:rPr>
                <w:sz w:val="20"/>
                <w:szCs w:val="20"/>
                <w:color w:val="auto"/>
              </w:rPr>
            </w:pPr>
            <w:r>
              <w:rPr>
                <w:rFonts w:ascii="Arial" w:cs="Arial" w:eastAsia="Arial" w:hAnsi="Arial"/>
                <w:sz w:val="17"/>
                <w:szCs w:val="17"/>
                <w:color w:val="auto"/>
              </w:rPr>
              <w:t>Transactions Group, Jefferies</w:t>
            </w:r>
          </w:p>
        </w:tc>
        <w:tc>
          <w:tcPr>
            <w:tcW w:w="2280" w:type="dxa"/>
            <w:vAlign w:val="bottom"/>
            <w:gridSpan w:val="2"/>
            <w:shd w:val="clear" w:color="auto" w:fill="F2F2F2"/>
          </w:tcPr>
          <w:p>
            <w:pPr>
              <w:ind w:left="100"/>
              <w:spacing w:after="0"/>
              <w:rPr>
                <w:sz w:val="20"/>
                <w:szCs w:val="20"/>
                <w:color w:val="auto"/>
              </w:rPr>
            </w:pPr>
            <w:r>
              <w:rPr>
                <w:rFonts w:ascii="Arial" w:cs="Arial" w:eastAsia="Arial" w:hAnsi="Arial"/>
                <w:sz w:val="16"/>
                <w:szCs w:val="16"/>
                <w:b w:val="1"/>
                <w:bCs w:val="1"/>
                <w:color w:val="auto"/>
              </w:rPr>
              <w:t>Director since: 2023</w:t>
            </w:r>
          </w:p>
        </w:tc>
        <w:tc>
          <w:tcPr>
            <w:tcW w:w="4900" w:type="dxa"/>
            <w:vAlign w:val="bottom"/>
            <w:shd w:val="clear" w:color="auto" w:fill="F2F2F2"/>
          </w:tcPr>
          <w:p>
            <w:pPr>
              <w:ind w:left="140"/>
              <w:spacing w:after="0"/>
              <w:rPr>
                <w:sz w:val="20"/>
                <w:szCs w:val="20"/>
                <w:color w:val="auto"/>
              </w:rPr>
            </w:pPr>
            <w:r>
              <w:rPr>
                <w:rFonts w:ascii="Arial" w:cs="Arial" w:eastAsia="Arial" w:hAnsi="Arial"/>
                <w:sz w:val="16"/>
                <w:szCs w:val="16"/>
                <w:color w:val="auto"/>
              </w:rPr>
              <w:t>Andrew Yaeger held various leadership roles within Deutsche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20" w:type="dxa"/>
            <w:vAlign w:val="bottom"/>
            <w:shd w:val="clear" w:color="auto" w:fill="DBE5F1"/>
          </w:tcPr>
          <w:p>
            <w:pPr>
              <w:ind w:left="120"/>
              <w:spacing w:after="0" w:line="189" w:lineRule="exact"/>
              <w:rPr>
                <w:sz w:val="20"/>
                <w:szCs w:val="20"/>
                <w:color w:val="auto"/>
              </w:rPr>
            </w:pPr>
            <w:r>
              <w:rPr>
                <w:rFonts w:ascii="Arial" w:cs="Arial" w:eastAsia="Arial" w:hAnsi="Arial"/>
                <w:sz w:val="17"/>
                <w:szCs w:val="17"/>
                <w:color w:val="auto"/>
              </w:rPr>
              <w:t>Financial Group Inc.</w:t>
            </w:r>
          </w:p>
        </w:tc>
        <w:tc>
          <w:tcPr>
            <w:tcW w:w="300" w:type="dxa"/>
            <w:vAlign w:val="bottom"/>
            <w:shd w:val="clear" w:color="auto" w:fill="F2F2F2"/>
          </w:tcPr>
          <w:p>
            <w:pPr>
              <w:spacing w:after="0"/>
              <w:rPr>
                <w:sz w:val="16"/>
                <w:szCs w:val="16"/>
                <w:color w:val="auto"/>
              </w:rPr>
            </w:pPr>
          </w:p>
        </w:tc>
        <w:tc>
          <w:tcPr>
            <w:tcW w:w="1980" w:type="dxa"/>
            <w:vAlign w:val="bottom"/>
            <w:shd w:val="clear" w:color="auto" w:fill="F2F2F2"/>
          </w:tcPr>
          <w:p>
            <w:pPr>
              <w:spacing w:after="0"/>
              <w:rPr>
                <w:sz w:val="16"/>
                <w:szCs w:val="16"/>
                <w:color w:val="auto"/>
              </w:rPr>
            </w:pPr>
          </w:p>
        </w:tc>
        <w:tc>
          <w:tcPr>
            <w:tcW w:w="4900" w:type="dxa"/>
            <w:vAlign w:val="bottom"/>
            <w:shd w:val="clear" w:color="auto" w:fill="F2F2F2"/>
          </w:tcPr>
          <w:p>
            <w:pPr>
              <w:ind w:left="140"/>
              <w:spacing w:after="0"/>
              <w:rPr>
                <w:sz w:val="20"/>
                <w:szCs w:val="20"/>
                <w:color w:val="auto"/>
              </w:rPr>
            </w:pPr>
            <w:r>
              <w:rPr>
                <w:rFonts w:ascii="Arial" w:cs="Arial" w:eastAsia="Arial" w:hAnsi="Arial"/>
                <w:sz w:val="16"/>
                <w:szCs w:val="16"/>
                <w:color w:val="auto"/>
              </w:rPr>
              <w:t>Bank, including Global Head of the Strategic Equity Transactions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20" w:type="dxa"/>
            <w:vAlign w:val="bottom"/>
            <w:shd w:val="clear" w:color="auto" w:fill="DBE5F1"/>
          </w:tcPr>
          <w:p>
            <w:pPr>
              <w:spacing w:after="0"/>
              <w:rPr>
                <w:sz w:val="16"/>
                <w:szCs w:val="16"/>
                <w:color w:val="auto"/>
              </w:rPr>
            </w:pPr>
          </w:p>
        </w:tc>
        <w:tc>
          <w:tcPr>
            <w:tcW w:w="2280" w:type="dxa"/>
            <w:vAlign w:val="bottom"/>
            <w:gridSpan w:val="2"/>
            <w:shd w:val="clear" w:color="auto" w:fill="F2F2F2"/>
          </w:tcPr>
          <w:p>
            <w:pPr>
              <w:ind w:left="100"/>
              <w:spacing w:after="0"/>
              <w:rPr>
                <w:sz w:val="20"/>
                <w:szCs w:val="20"/>
                <w:color w:val="auto"/>
              </w:rPr>
            </w:pPr>
            <w:r>
              <w:rPr>
                <w:rFonts w:ascii="Arial" w:cs="Arial" w:eastAsia="Arial" w:hAnsi="Arial"/>
                <w:sz w:val="16"/>
                <w:szCs w:val="16"/>
                <w:b w:val="1"/>
                <w:bCs w:val="1"/>
                <w:color w:val="auto"/>
              </w:rPr>
              <w:t>Committees:</w:t>
            </w:r>
          </w:p>
        </w:tc>
        <w:tc>
          <w:tcPr>
            <w:tcW w:w="4900" w:type="dxa"/>
            <w:vAlign w:val="bottom"/>
            <w:shd w:val="clear" w:color="auto" w:fill="F2F2F2"/>
          </w:tcPr>
          <w:p>
            <w:pPr>
              <w:ind w:left="140"/>
              <w:spacing w:after="0"/>
              <w:rPr>
                <w:sz w:val="20"/>
                <w:szCs w:val="20"/>
                <w:color w:val="auto"/>
              </w:rPr>
            </w:pPr>
            <w:r>
              <w:rPr>
                <w:rFonts w:ascii="Arial" w:cs="Arial" w:eastAsia="Arial" w:hAnsi="Arial"/>
                <w:sz w:val="16"/>
                <w:szCs w:val="16"/>
                <w:color w:val="auto"/>
              </w:rPr>
              <w:t>Group. Prior to that position, he held key positions in the Equity</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720" w:type="dxa"/>
            <w:vAlign w:val="bottom"/>
            <w:shd w:val="clear" w:color="auto" w:fill="DBE5F1"/>
          </w:tcPr>
          <w:p>
            <w:pPr>
              <w:ind w:left="440"/>
              <w:spacing w:after="0"/>
              <w:rPr>
                <w:sz w:val="20"/>
                <w:szCs w:val="20"/>
                <w:color w:val="auto"/>
              </w:rPr>
            </w:pPr>
            <w:r>
              <w:rPr>
                <w:rFonts w:ascii="Arial" w:cs="Arial" w:eastAsia="Arial" w:hAnsi="Arial"/>
                <w:sz w:val="16"/>
                <w:szCs w:val="16"/>
                <w:color w:val="auto"/>
              </w:rPr>
              <w:t>Independent</w:t>
            </w:r>
          </w:p>
        </w:tc>
        <w:tc>
          <w:tcPr>
            <w:tcW w:w="300" w:type="dxa"/>
            <w:vAlign w:val="bottom"/>
            <w:shd w:val="clear" w:color="auto" w:fill="F2F2F2"/>
          </w:tcPr>
          <w:p>
            <w:pPr>
              <w:ind w:left="160"/>
              <w:spacing w:after="0" w:line="204" w:lineRule="exact"/>
              <w:rPr>
                <w:sz w:val="20"/>
                <w:szCs w:val="20"/>
                <w:color w:val="auto"/>
              </w:rPr>
            </w:pPr>
            <w:r>
              <w:rPr>
                <w:rFonts w:ascii="Arial" w:cs="Arial" w:eastAsia="Arial" w:hAnsi="Arial"/>
                <w:sz w:val="22"/>
                <w:szCs w:val="22"/>
                <w:b w:val="1"/>
                <w:bCs w:val="1"/>
                <w:color w:val="4A7EBB"/>
              </w:rPr>
              <w:t>•</w:t>
            </w:r>
          </w:p>
        </w:tc>
        <w:tc>
          <w:tcPr>
            <w:tcW w:w="1980" w:type="dxa"/>
            <w:vAlign w:val="bottom"/>
            <w:shd w:val="clear" w:color="auto" w:fill="F2F2F2"/>
          </w:tcPr>
          <w:p>
            <w:pPr>
              <w:ind w:left="100"/>
              <w:spacing w:after="0"/>
              <w:rPr>
                <w:sz w:val="20"/>
                <w:szCs w:val="20"/>
                <w:color w:val="auto"/>
              </w:rPr>
            </w:pPr>
            <w:r>
              <w:rPr>
                <w:rFonts w:ascii="Arial" w:cs="Arial" w:eastAsia="Arial" w:hAnsi="Arial"/>
                <w:sz w:val="16"/>
                <w:szCs w:val="16"/>
                <w:color w:val="auto"/>
              </w:rPr>
              <w:t>Audit</w:t>
            </w:r>
          </w:p>
        </w:tc>
        <w:tc>
          <w:tcPr>
            <w:tcW w:w="4900" w:type="dxa"/>
            <w:vAlign w:val="bottom"/>
            <w:shd w:val="clear" w:color="auto" w:fill="F2F2F2"/>
          </w:tcPr>
          <w:p>
            <w:pPr>
              <w:ind w:left="140"/>
              <w:spacing w:after="0"/>
              <w:rPr>
                <w:sz w:val="20"/>
                <w:szCs w:val="20"/>
                <w:color w:val="auto"/>
              </w:rPr>
            </w:pPr>
            <w:r>
              <w:rPr>
                <w:rFonts w:ascii="Arial" w:cs="Arial" w:eastAsia="Arial" w:hAnsi="Arial"/>
                <w:sz w:val="16"/>
                <w:szCs w:val="16"/>
                <w:color w:val="auto"/>
              </w:rPr>
              <w:t>Capital Markets group of Deutsche Bank in the U.S., as well as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2720" w:type="dxa"/>
            <w:vAlign w:val="bottom"/>
            <w:shd w:val="clear" w:color="auto" w:fill="DBE5F1"/>
          </w:tcPr>
          <w:p>
            <w:pPr>
              <w:spacing w:after="0"/>
              <w:rPr>
                <w:sz w:val="15"/>
                <w:szCs w:val="15"/>
                <w:color w:val="auto"/>
              </w:rPr>
            </w:pPr>
          </w:p>
        </w:tc>
        <w:tc>
          <w:tcPr>
            <w:tcW w:w="300" w:type="dxa"/>
            <w:vAlign w:val="bottom"/>
            <w:shd w:val="clear" w:color="auto" w:fill="F2F2F2"/>
          </w:tcPr>
          <w:p>
            <w:pPr>
              <w:spacing w:after="0"/>
              <w:rPr>
                <w:sz w:val="15"/>
                <w:szCs w:val="15"/>
                <w:color w:val="auto"/>
              </w:rPr>
            </w:pPr>
          </w:p>
        </w:tc>
        <w:tc>
          <w:tcPr>
            <w:tcW w:w="1980" w:type="dxa"/>
            <w:vAlign w:val="bottom"/>
            <w:shd w:val="clear" w:color="auto" w:fill="F2F2F2"/>
          </w:tcPr>
          <w:p>
            <w:pPr>
              <w:spacing w:after="0"/>
              <w:rPr>
                <w:sz w:val="15"/>
                <w:szCs w:val="15"/>
                <w:color w:val="auto"/>
              </w:rPr>
            </w:pPr>
          </w:p>
        </w:tc>
        <w:tc>
          <w:tcPr>
            <w:tcW w:w="4900" w:type="dxa"/>
            <w:vAlign w:val="bottom"/>
            <w:shd w:val="clear" w:color="auto" w:fill="F2F2F2"/>
          </w:tcPr>
          <w:p>
            <w:pPr>
              <w:ind w:left="140"/>
              <w:spacing w:after="0" w:line="173" w:lineRule="exact"/>
              <w:rPr>
                <w:sz w:val="20"/>
                <w:szCs w:val="20"/>
                <w:color w:val="auto"/>
              </w:rPr>
            </w:pPr>
            <w:r>
              <w:rPr>
                <w:rFonts w:ascii="Arial" w:cs="Arial" w:eastAsia="Arial" w:hAnsi="Arial"/>
                <w:sz w:val="16"/>
                <w:szCs w:val="16"/>
                <w:color w:val="auto"/>
              </w:rPr>
              <w:t>in their Structuring Group that worked across equity, credit,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720" w:type="dxa"/>
            <w:vAlign w:val="bottom"/>
            <w:shd w:val="clear" w:color="auto" w:fill="DBE5F1"/>
          </w:tcPr>
          <w:p>
            <w:pPr>
              <w:spacing w:after="0"/>
              <w:rPr>
                <w:sz w:val="16"/>
                <w:szCs w:val="16"/>
                <w:color w:val="auto"/>
              </w:rPr>
            </w:pPr>
          </w:p>
        </w:tc>
        <w:tc>
          <w:tcPr>
            <w:tcW w:w="300" w:type="dxa"/>
            <w:vAlign w:val="bottom"/>
            <w:shd w:val="clear" w:color="auto" w:fill="F2F2F2"/>
          </w:tcPr>
          <w:p>
            <w:pPr>
              <w:spacing w:after="0"/>
              <w:rPr>
                <w:sz w:val="16"/>
                <w:szCs w:val="16"/>
                <w:color w:val="auto"/>
              </w:rPr>
            </w:pPr>
          </w:p>
        </w:tc>
        <w:tc>
          <w:tcPr>
            <w:tcW w:w="1980" w:type="dxa"/>
            <w:vAlign w:val="bottom"/>
            <w:shd w:val="clear" w:color="auto" w:fill="F2F2F2"/>
          </w:tcPr>
          <w:p>
            <w:pPr>
              <w:ind w:left="60"/>
              <w:spacing w:after="0"/>
              <w:rPr>
                <w:sz w:val="20"/>
                <w:szCs w:val="20"/>
                <w:color w:val="auto"/>
              </w:rPr>
            </w:pPr>
            <w:r>
              <w:rPr>
                <w:rFonts w:ascii="Arial" w:cs="Arial" w:eastAsia="Arial" w:hAnsi="Arial"/>
                <w:sz w:val="16"/>
                <w:szCs w:val="16"/>
                <w:color w:val="auto"/>
              </w:rPr>
              <w:t>Financial Expert</w:t>
            </w:r>
          </w:p>
        </w:tc>
        <w:tc>
          <w:tcPr>
            <w:tcW w:w="4900" w:type="dxa"/>
            <w:vAlign w:val="bottom"/>
            <w:shd w:val="clear" w:color="auto" w:fill="F2F2F2"/>
          </w:tcPr>
          <w:p>
            <w:pPr>
              <w:ind w:left="140"/>
              <w:spacing w:after="0"/>
              <w:rPr>
                <w:sz w:val="20"/>
                <w:szCs w:val="20"/>
                <w:color w:val="auto"/>
              </w:rPr>
            </w:pPr>
            <w:r>
              <w:rPr>
                <w:rFonts w:ascii="Arial" w:cs="Arial" w:eastAsia="Arial" w:hAnsi="Arial"/>
                <w:sz w:val="16"/>
                <w:szCs w:val="16"/>
                <w:color w:val="auto"/>
              </w:rPr>
              <w:t>interest rates and foreign currencies. Prior to Deutsche Bank, he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20" w:type="dxa"/>
            <w:vAlign w:val="bottom"/>
            <w:shd w:val="clear" w:color="auto" w:fill="DBE5F1"/>
          </w:tcPr>
          <w:p>
            <w:pPr>
              <w:spacing w:after="0"/>
              <w:rPr>
                <w:sz w:val="16"/>
                <w:szCs w:val="16"/>
                <w:color w:val="auto"/>
              </w:rPr>
            </w:pPr>
          </w:p>
        </w:tc>
        <w:tc>
          <w:tcPr>
            <w:tcW w:w="300" w:type="dxa"/>
            <w:vAlign w:val="bottom"/>
            <w:shd w:val="clear" w:color="auto" w:fill="F2F2F2"/>
          </w:tcPr>
          <w:p>
            <w:pPr>
              <w:spacing w:after="0"/>
              <w:rPr>
                <w:sz w:val="16"/>
                <w:szCs w:val="16"/>
                <w:color w:val="auto"/>
              </w:rPr>
            </w:pPr>
          </w:p>
        </w:tc>
        <w:tc>
          <w:tcPr>
            <w:tcW w:w="1980" w:type="dxa"/>
            <w:vAlign w:val="bottom"/>
            <w:shd w:val="clear" w:color="auto" w:fill="F2F2F2"/>
          </w:tcPr>
          <w:p>
            <w:pPr>
              <w:spacing w:after="0"/>
              <w:rPr>
                <w:sz w:val="16"/>
                <w:szCs w:val="16"/>
                <w:color w:val="auto"/>
              </w:rPr>
            </w:pPr>
          </w:p>
        </w:tc>
        <w:tc>
          <w:tcPr>
            <w:tcW w:w="4900" w:type="dxa"/>
            <w:vAlign w:val="bottom"/>
            <w:shd w:val="clear" w:color="auto" w:fill="F2F2F2"/>
          </w:tcPr>
          <w:p>
            <w:pPr>
              <w:ind w:left="140"/>
              <w:spacing w:after="0"/>
              <w:rPr>
                <w:sz w:val="20"/>
                <w:szCs w:val="20"/>
                <w:color w:val="auto"/>
              </w:rPr>
            </w:pPr>
            <w:r>
              <w:rPr>
                <w:rFonts w:ascii="Arial" w:cs="Arial" w:eastAsia="Arial" w:hAnsi="Arial"/>
                <w:sz w:val="16"/>
                <w:szCs w:val="16"/>
                <w:color w:val="auto"/>
              </w:rPr>
              <w:t>worked at Bear Stearns in investment banking and derivatives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720" w:type="dxa"/>
            <w:vAlign w:val="bottom"/>
            <w:shd w:val="clear" w:color="auto" w:fill="DBE5F1"/>
          </w:tcPr>
          <w:p>
            <w:pPr>
              <w:spacing w:after="0"/>
              <w:rPr>
                <w:sz w:val="18"/>
                <w:szCs w:val="18"/>
                <w:color w:val="auto"/>
              </w:rPr>
            </w:pPr>
          </w:p>
        </w:tc>
        <w:tc>
          <w:tcPr>
            <w:tcW w:w="300" w:type="dxa"/>
            <w:vAlign w:val="bottom"/>
            <w:shd w:val="clear" w:color="auto" w:fill="F2F2F2"/>
          </w:tcPr>
          <w:p>
            <w:pPr>
              <w:spacing w:after="0"/>
              <w:rPr>
                <w:sz w:val="18"/>
                <w:szCs w:val="18"/>
                <w:color w:val="auto"/>
              </w:rPr>
            </w:pPr>
          </w:p>
        </w:tc>
        <w:tc>
          <w:tcPr>
            <w:tcW w:w="1980" w:type="dxa"/>
            <w:vAlign w:val="bottom"/>
            <w:shd w:val="clear" w:color="auto" w:fill="F2F2F2"/>
          </w:tcPr>
          <w:p>
            <w:pPr>
              <w:spacing w:after="0"/>
              <w:rPr>
                <w:sz w:val="18"/>
                <w:szCs w:val="18"/>
                <w:color w:val="auto"/>
              </w:rPr>
            </w:pPr>
          </w:p>
        </w:tc>
        <w:tc>
          <w:tcPr>
            <w:tcW w:w="4900" w:type="dxa"/>
            <w:vAlign w:val="bottom"/>
            <w:shd w:val="clear" w:color="auto" w:fill="F2F2F2"/>
          </w:tcPr>
          <w:p>
            <w:pPr>
              <w:ind w:left="140"/>
              <w:spacing w:after="0"/>
              <w:rPr>
                <w:sz w:val="20"/>
                <w:szCs w:val="20"/>
                <w:color w:val="auto"/>
              </w:rPr>
            </w:pPr>
            <w:r>
              <w:rPr>
                <w:rFonts w:ascii="Arial" w:cs="Arial" w:eastAsia="Arial" w:hAnsi="Arial"/>
                <w:sz w:val="16"/>
                <w:szCs w:val="16"/>
                <w:color w:val="auto"/>
              </w:rPr>
              <w:t>for five years.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2"/>
        </w:trPr>
        <w:tc>
          <w:tcPr>
            <w:tcW w:w="2720" w:type="dxa"/>
            <w:vAlign w:val="bottom"/>
            <w:shd w:val="clear" w:color="auto" w:fill="DBE5F1"/>
          </w:tcPr>
          <w:p>
            <w:pPr>
              <w:spacing w:after="0"/>
              <w:rPr>
                <w:sz w:val="24"/>
                <w:szCs w:val="24"/>
                <w:color w:val="auto"/>
              </w:rPr>
            </w:pPr>
          </w:p>
        </w:tc>
        <w:tc>
          <w:tcPr>
            <w:tcW w:w="300" w:type="dxa"/>
            <w:vAlign w:val="bottom"/>
            <w:shd w:val="clear" w:color="auto" w:fill="F2F2F2"/>
          </w:tcPr>
          <w:p>
            <w:pPr>
              <w:spacing w:after="0"/>
              <w:rPr>
                <w:sz w:val="24"/>
                <w:szCs w:val="24"/>
                <w:color w:val="auto"/>
              </w:rPr>
            </w:pPr>
          </w:p>
        </w:tc>
        <w:tc>
          <w:tcPr>
            <w:tcW w:w="1980" w:type="dxa"/>
            <w:vAlign w:val="bottom"/>
            <w:shd w:val="clear" w:color="auto" w:fill="F2F2F2"/>
          </w:tcPr>
          <w:p>
            <w:pPr>
              <w:spacing w:after="0"/>
              <w:rPr>
                <w:sz w:val="24"/>
                <w:szCs w:val="24"/>
                <w:color w:val="auto"/>
              </w:rPr>
            </w:pPr>
          </w:p>
        </w:tc>
        <w:tc>
          <w:tcPr>
            <w:tcW w:w="4900" w:type="dxa"/>
            <w:vAlign w:val="bottom"/>
            <w:shd w:val="clear" w:color="auto" w:fill="F2F2F2"/>
          </w:tcPr>
          <w:p>
            <w:pPr>
              <w:ind w:left="140"/>
              <w:spacing w:after="0"/>
              <w:rPr>
                <w:sz w:val="20"/>
                <w:szCs w:val="20"/>
                <w:color w:val="auto"/>
              </w:rPr>
            </w:pPr>
            <w:r>
              <w:rPr>
                <w:rFonts w:ascii="Arial" w:cs="Arial" w:eastAsia="Arial" w:hAnsi="Arial"/>
                <w:sz w:val="16"/>
                <w:szCs w:val="16"/>
                <w:b w:val="1"/>
                <w:bCs w:val="1"/>
                <w:color w:val="4A7EBB"/>
              </w:rPr>
              <w:t>Qualifications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720" w:type="dxa"/>
            <w:vAlign w:val="bottom"/>
            <w:shd w:val="clear" w:color="auto" w:fill="DBE5F1"/>
          </w:tcPr>
          <w:p>
            <w:pPr>
              <w:spacing w:after="0"/>
              <w:rPr>
                <w:sz w:val="16"/>
                <w:szCs w:val="16"/>
                <w:color w:val="auto"/>
              </w:rPr>
            </w:pPr>
          </w:p>
        </w:tc>
        <w:tc>
          <w:tcPr>
            <w:tcW w:w="300" w:type="dxa"/>
            <w:vAlign w:val="bottom"/>
            <w:shd w:val="clear" w:color="auto" w:fill="F2F2F2"/>
          </w:tcPr>
          <w:p>
            <w:pPr>
              <w:spacing w:after="0"/>
              <w:rPr>
                <w:sz w:val="16"/>
                <w:szCs w:val="16"/>
                <w:color w:val="auto"/>
              </w:rPr>
            </w:pPr>
          </w:p>
        </w:tc>
        <w:tc>
          <w:tcPr>
            <w:tcW w:w="1980" w:type="dxa"/>
            <w:vAlign w:val="bottom"/>
            <w:shd w:val="clear" w:color="auto" w:fill="F2F2F2"/>
          </w:tcPr>
          <w:p>
            <w:pPr>
              <w:spacing w:after="0"/>
              <w:rPr>
                <w:sz w:val="16"/>
                <w:szCs w:val="16"/>
                <w:color w:val="auto"/>
              </w:rPr>
            </w:pPr>
          </w:p>
        </w:tc>
        <w:tc>
          <w:tcPr>
            <w:tcW w:w="4900" w:type="dxa"/>
            <w:vAlign w:val="bottom"/>
            <w:shd w:val="clear" w:color="auto" w:fill="F2F2F2"/>
          </w:tcPr>
          <w:p>
            <w:pPr>
              <w:ind w:left="140"/>
              <w:spacing w:after="0"/>
              <w:rPr>
                <w:sz w:val="20"/>
                <w:szCs w:val="20"/>
                <w:color w:val="auto"/>
              </w:rPr>
            </w:pPr>
            <w:r>
              <w:rPr>
                <w:rFonts w:ascii="Arial" w:cs="Arial" w:eastAsia="Arial" w:hAnsi="Arial"/>
                <w:sz w:val="16"/>
                <w:szCs w:val="16"/>
                <w:color w:val="auto"/>
              </w:rPr>
              <w:t>Andrew Yaeger’s extensive knowledge and experience in capital</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20" w:type="dxa"/>
            <w:vAlign w:val="bottom"/>
            <w:shd w:val="clear" w:color="auto" w:fill="DBE5F1"/>
          </w:tcPr>
          <w:p>
            <w:pPr>
              <w:spacing w:after="0"/>
              <w:rPr>
                <w:sz w:val="16"/>
                <w:szCs w:val="16"/>
                <w:color w:val="auto"/>
              </w:rPr>
            </w:pPr>
          </w:p>
        </w:tc>
        <w:tc>
          <w:tcPr>
            <w:tcW w:w="300" w:type="dxa"/>
            <w:vAlign w:val="bottom"/>
            <w:shd w:val="clear" w:color="auto" w:fill="F2F2F2"/>
          </w:tcPr>
          <w:p>
            <w:pPr>
              <w:spacing w:after="0"/>
              <w:rPr>
                <w:sz w:val="16"/>
                <w:szCs w:val="16"/>
                <w:color w:val="auto"/>
              </w:rPr>
            </w:pPr>
          </w:p>
        </w:tc>
        <w:tc>
          <w:tcPr>
            <w:tcW w:w="1980" w:type="dxa"/>
            <w:vAlign w:val="bottom"/>
            <w:shd w:val="clear" w:color="auto" w:fill="F2F2F2"/>
          </w:tcPr>
          <w:p>
            <w:pPr>
              <w:spacing w:after="0"/>
              <w:rPr>
                <w:sz w:val="16"/>
                <w:szCs w:val="16"/>
                <w:color w:val="auto"/>
              </w:rPr>
            </w:pPr>
          </w:p>
        </w:tc>
        <w:tc>
          <w:tcPr>
            <w:tcW w:w="4900" w:type="dxa"/>
            <w:vAlign w:val="bottom"/>
            <w:shd w:val="clear" w:color="auto" w:fill="F2F2F2"/>
          </w:tcPr>
          <w:p>
            <w:pPr>
              <w:ind w:left="140"/>
              <w:spacing w:after="0"/>
              <w:rPr>
                <w:sz w:val="20"/>
                <w:szCs w:val="20"/>
                <w:color w:val="auto"/>
              </w:rPr>
            </w:pPr>
            <w:r>
              <w:rPr>
                <w:rFonts w:ascii="Arial" w:cs="Arial" w:eastAsia="Arial" w:hAnsi="Arial"/>
                <w:sz w:val="16"/>
                <w:szCs w:val="16"/>
                <w:color w:val="auto"/>
              </w:rPr>
              <w:t>markets, strategic transactions and financing is of great value to</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720" w:type="dxa"/>
            <w:vAlign w:val="bottom"/>
            <w:tcBorders>
              <w:bottom w:val="single" w:sz="8" w:color="808080"/>
            </w:tcBorders>
            <w:shd w:val="clear" w:color="auto" w:fill="DBE5F1"/>
          </w:tcPr>
          <w:p>
            <w:pPr>
              <w:spacing w:after="0"/>
              <w:rPr>
                <w:sz w:val="17"/>
                <w:szCs w:val="17"/>
                <w:color w:val="auto"/>
              </w:rPr>
            </w:pPr>
          </w:p>
        </w:tc>
        <w:tc>
          <w:tcPr>
            <w:tcW w:w="300" w:type="dxa"/>
            <w:vAlign w:val="bottom"/>
            <w:tcBorders>
              <w:bottom w:val="single" w:sz="8" w:color="808080"/>
            </w:tcBorders>
            <w:shd w:val="clear" w:color="auto" w:fill="F2F2F2"/>
          </w:tcPr>
          <w:p>
            <w:pPr>
              <w:spacing w:after="0"/>
              <w:rPr>
                <w:sz w:val="17"/>
                <w:szCs w:val="17"/>
                <w:color w:val="auto"/>
              </w:rPr>
            </w:pPr>
          </w:p>
        </w:tc>
        <w:tc>
          <w:tcPr>
            <w:tcW w:w="1980" w:type="dxa"/>
            <w:vAlign w:val="bottom"/>
            <w:tcBorders>
              <w:bottom w:val="single" w:sz="8" w:color="808080"/>
            </w:tcBorders>
            <w:shd w:val="clear" w:color="auto" w:fill="F2F2F2"/>
          </w:tcPr>
          <w:p>
            <w:pPr>
              <w:spacing w:after="0"/>
              <w:rPr>
                <w:sz w:val="17"/>
                <w:szCs w:val="17"/>
                <w:color w:val="auto"/>
              </w:rPr>
            </w:pPr>
          </w:p>
        </w:tc>
        <w:tc>
          <w:tcPr>
            <w:tcW w:w="4900" w:type="dxa"/>
            <w:vAlign w:val="bottom"/>
            <w:tcBorders>
              <w:bottom w:val="single" w:sz="8" w:color="808080"/>
            </w:tcBorders>
            <w:shd w:val="clear" w:color="auto" w:fill="F2F2F2"/>
          </w:tcPr>
          <w:p>
            <w:pPr>
              <w:ind w:left="140"/>
              <w:spacing w:after="0"/>
              <w:rPr>
                <w:sz w:val="20"/>
                <w:szCs w:val="20"/>
                <w:color w:val="auto"/>
              </w:rPr>
            </w:pPr>
            <w:r>
              <w:rPr>
                <w:rFonts w:ascii="Arial" w:cs="Arial" w:eastAsia="Arial" w:hAnsi="Arial"/>
                <w:sz w:val="16"/>
                <w:szCs w:val="16"/>
                <w:color w:val="auto"/>
              </w:rPr>
              <w:t>us.</w:t>
            </w:r>
          </w:p>
        </w:tc>
        <w:tc>
          <w:tcPr>
            <w:tcW w:w="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-4311650</wp:posOffset>
            </wp:positionV>
            <wp:extent cx="214630" cy="21463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clrChange>
                        <a:clrFrom>
                          <a:srgbClr val="000000"/>
                        </a:clrFrom>
                        <a:clrTo>
                          <a:srgbClr val="000000">
                            <a:alpha val="0"/>
                          </a:srgbClr>
                        </a:clrTo>
                      </a:clrChange>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2706370</wp:posOffset>
            </wp:positionH>
            <wp:positionV relativeFrom="paragraph">
              <wp:posOffset>-4311650</wp:posOffset>
            </wp:positionV>
            <wp:extent cx="214630" cy="21463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clrChange>
                        <a:clrFrom>
                          <a:srgbClr val="FFFFFF"/>
                        </a:clrFrom>
                        <a:clrTo>
                          <a:srgbClr val="FFFFFF">
                            <a:alpha val="0"/>
                          </a:srgbClr>
                        </a:clrTo>
                      </a:clrChange>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74295</wp:posOffset>
            </wp:positionH>
            <wp:positionV relativeFrom="paragraph">
              <wp:posOffset>-4705985</wp:posOffset>
            </wp:positionV>
            <wp:extent cx="179705" cy="22288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clrChange>
                        <a:clrFrom>
                          <a:srgbClr val="000000"/>
                        </a:clrFrom>
                        <a:clrTo>
                          <a:srgbClr val="000000">
                            <a:alpha val="0"/>
                          </a:srgbClr>
                        </a:clrTo>
                      </a:clrChange>
                      <a:extLst>
                        <a:ext uri="{28A0092B-C50C-407E-A947-70E740481C1C}"/>
                      </a:extLst>
                    </a:blip>
                    <a:srcRect/>
                    <a:stretch>
                      <a:fillRect/>
                    </a:stretch>
                  </pic:blipFill>
                  <pic:spPr bwMode="auto">
                    <a:xfrm>
                      <a:off x="0" y="0"/>
                      <a:ext cx="179705" cy="222885"/>
                    </a:xfrm>
                    <a:prstGeom prst="rect">
                      <a:avLst/>
                    </a:prstGeom>
                    <a:noFill/>
                  </pic:spPr>
                </pic:pic>
              </a:graphicData>
            </a:graphic>
          </wp:anchor>
        </w:drawing>
        <w:drawing>
          <wp:anchor simplePos="0" relativeHeight="251657728" behindDoc="1" locked="0" layoutInCell="0" allowOverlap="1">
            <wp:simplePos x="0" y="0"/>
            <wp:positionH relativeFrom="column">
              <wp:posOffset>74295</wp:posOffset>
            </wp:positionH>
            <wp:positionV relativeFrom="paragraph">
              <wp:posOffset>-4705985</wp:posOffset>
            </wp:positionV>
            <wp:extent cx="179705" cy="22288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clrChange>
                        <a:clrFrom>
                          <a:srgbClr val="FFFFFF"/>
                        </a:clrFrom>
                        <a:clrTo>
                          <a:srgbClr val="FFFFFF">
                            <a:alpha val="0"/>
                          </a:srgbClr>
                        </a:clrTo>
                      </a:clrChange>
                      <a:extLst>
                        <a:ext uri="{28A0092B-C50C-407E-A947-70E740481C1C}"/>
                      </a:extLst>
                    </a:blip>
                    <a:srcRect/>
                    <a:stretch>
                      <a:fillRect/>
                    </a:stretch>
                  </pic:blipFill>
                  <pic:spPr bwMode="auto">
                    <a:xfrm>
                      <a:off x="0" y="0"/>
                      <a:ext cx="179705" cy="222885"/>
                    </a:xfrm>
                    <a:prstGeom prst="rect">
                      <a:avLst/>
                    </a:prstGeom>
                    <a:noFill/>
                  </pic:spPr>
                </pic:pic>
              </a:graphicData>
            </a:graphic>
          </wp:anchor>
        </w:drawing>
        <w:drawing>
          <wp:anchor simplePos="0" relativeHeight="251657728" behindDoc="1" locked="0" layoutInCell="0" allowOverlap="1">
            <wp:simplePos x="0" y="0"/>
            <wp:positionH relativeFrom="column">
              <wp:posOffset>1797685</wp:posOffset>
            </wp:positionH>
            <wp:positionV relativeFrom="paragraph">
              <wp:posOffset>-3660140</wp:posOffset>
            </wp:positionV>
            <wp:extent cx="111125" cy="16319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clrChange>
                        <a:clrFrom>
                          <a:srgbClr val="000000"/>
                        </a:clrFrom>
                        <a:clrTo>
                          <a:srgbClr val="000000">
                            <a:alpha val="0"/>
                          </a:srgbClr>
                        </a:clrTo>
                      </a:clrChange>
                      <a:extLst>
                        <a:ext uri="{28A0092B-C50C-407E-A947-70E740481C1C}"/>
                      </a:extLst>
                    </a:blip>
                    <a:srcRect/>
                    <a:stretch>
                      <a:fillRect/>
                    </a:stretch>
                  </pic:blipFill>
                  <pic:spPr bwMode="auto">
                    <a:xfrm>
                      <a:off x="0" y="0"/>
                      <a:ext cx="111125" cy="163195"/>
                    </a:xfrm>
                    <a:prstGeom prst="rect">
                      <a:avLst/>
                    </a:prstGeom>
                    <a:noFill/>
                  </pic:spPr>
                </pic:pic>
              </a:graphicData>
            </a:graphic>
          </wp:anchor>
        </w:drawing>
        <w:drawing>
          <wp:anchor simplePos="0" relativeHeight="251657728" behindDoc="1" locked="0" layoutInCell="0" allowOverlap="1">
            <wp:simplePos x="0" y="0"/>
            <wp:positionH relativeFrom="column">
              <wp:posOffset>1797685</wp:posOffset>
            </wp:positionH>
            <wp:positionV relativeFrom="paragraph">
              <wp:posOffset>-3660140</wp:posOffset>
            </wp:positionV>
            <wp:extent cx="111125" cy="16319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clrChange>
                        <a:clrFrom>
                          <a:srgbClr val="FFFFFF"/>
                        </a:clrFrom>
                        <a:clrTo>
                          <a:srgbClr val="FFFFFF">
                            <a:alpha val="0"/>
                          </a:srgbClr>
                        </a:clrTo>
                      </a:clrChange>
                      <a:extLst>
                        <a:ext uri="{28A0092B-C50C-407E-A947-70E740481C1C}"/>
                      </a:extLst>
                    </a:blip>
                    <a:srcRect/>
                    <a:stretch>
                      <a:fillRect/>
                    </a:stretch>
                  </pic:blipFill>
                  <pic:spPr bwMode="auto">
                    <a:xfrm>
                      <a:off x="0" y="0"/>
                      <a:ext cx="111125" cy="163195"/>
                    </a:xfrm>
                    <a:prstGeom prst="rect">
                      <a:avLst/>
                    </a:prstGeom>
                    <a:noFill/>
                  </pic:spPr>
                </pic:pic>
              </a:graphicData>
            </a:graphic>
          </wp:anchor>
        </w:drawing>
        <w:drawing>
          <wp:anchor simplePos="0" relativeHeight="251657728" behindDoc="1" locked="0" layoutInCell="0" allowOverlap="1">
            <wp:simplePos x="0" y="0"/>
            <wp:positionH relativeFrom="column">
              <wp:posOffset>74295</wp:posOffset>
            </wp:positionH>
            <wp:positionV relativeFrom="paragraph">
              <wp:posOffset>-1311275</wp:posOffset>
            </wp:positionV>
            <wp:extent cx="179705" cy="22288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clrChange>
                        <a:clrFrom>
                          <a:srgbClr val="000000"/>
                        </a:clrFrom>
                        <a:clrTo>
                          <a:srgbClr val="000000">
                            <a:alpha val="0"/>
                          </a:srgbClr>
                        </a:clrTo>
                      </a:clrChange>
                      <a:extLst>
                        <a:ext uri="{28A0092B-C50C-407E-A947-70E740481C1C}"/>
                      </a:extLst>
                    </a:blip>
                    <a:srcRect/>
                    <a:stretch>
                      <a:fillRect/>
                    </a:stretch>
                  </pic:blipFill>
                  <pic:spPr bwMode="auto">
                    <a:xfrm>
                      <a:off x="0" y="0"/>
                      <a:ext cx="179705" cy="222885"/>
                    </a:xfrm>
                    <a:prstGeom prst="rect">
                      <a:avLst/>
                    </a:prstGeom>
                    <a:noFill/>
                  </pic:spPr>
                </pic:pic>
              </a:graphicData>
            </a:graphic>
          </wp:anchor>
        </w:drawing>
        <w:drawing>
          <wp:anchor simplePos="0" relativeHeight="251657728" behindDoc="1" locked="0" layoutInCell="0" allowOverlap="1">
            <wp:simplePos x="0" y="0"/>
            <wp:positionH relativeFrom="column">
              <wp:posOffset>74295</wp:posOffset>
            </wp:positionH>
            <wp:positionV relativeFrom="paragraph">
              <wp:posOffset>-1311275</wp:posOffset>
            </wp:positionV>
            <wp:extent cx="179705" cy="22288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clrChange>
                        <a:clrFrom>
                          <a:srgbClr val="FFFFFF"/>
                        </a:clrFrom>
                        <a:clrTo>
                          <a:srgbClr val="FFFFFF">
                            <a:alpha val="0"/>
                          </a:srgbClr>
                        </a:clrTo>
                      </a:clrChange>
                      <a:extLst>
                        <a:ext uri="{28A0092B-C50C-407E-A947-70E740481C1C}"/>
                      </a:extLst>
                    </a:blip>
                    <a:srcRect/>
                    <a:stretch>
                      <a:fillRect/>
                    </a:stretch>
                  </pic:blipFill>
                  <pic:spPr bwMode="auto">
                    <a:xfrm>
                      <a:off x="0" y="0"/>
                      <a:ext cx="179705" cy="222885"/>
                    </a:xfrm>
                    <a:prstGeom prst="rect">
                      <a:avLst/>
                    </a:prstGeom>
                    <a:noFill/>
                  </pic:spPr>
                </pic:pic>
              </a:graphicData>
            </a:graphic>
          </wp:anchor>
        </w:drawing>
        <w:drawing>
          <wp:anchor simplePos="0" relativeHeight="251657728" behindDoc="1" locked="0" layoutInCell="0" allowOverlap="1">
            <wp:simplePos x="0" y="0"/>
            <wp:positionH relativeFrom="column">
              <wp:posOffset>1797685</wp:posOffset>
            </wp:positionH>
            <wp:positionV relativeFrom="paragraph">
              <wp:posOffset>-1036955</wp:posOffset>
            </wp:positionV>
            <wp:extent cx="111125" cy="16319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clrChange>
                        <a:clrFrom>
                          <a:srgbClr val="000000"/>
                        </a:clrFrom>
                        <a:clrTo>
                          <a:srgbClr val="000000">
                            <a:alpha val="0"/>
                          </a:srgbClr>
                        </a:clrTo>
                      </a:clrChange>
                      <a:extLst>
                        <a:ext uri="{28A0092B-C50C-407E-A947-70E740481C1C}"/>
                      </a:extLst>
                    </a:blip>
                    <a:srcRect/>
                    <a:stretch>
                      <a:fillRect/>
                    </a:stretch>
                  </pic:blipFill>
                  <pic:spPr bwMode="auto">
                    <a:xfrm>
                      <a:off x="0" y="0"/>
                      <a:ext cx="111125" cy="163195"/>
                    </a:xfrm>
                    <a:prstGeom prst="rect">
                      <a:avLst/>
                    </a:prstGeom>
                    <a:noFill/>
                  </pic:spPr>
                </pic:pic>
              </a:graphicData>
            </a:graphic>
          </wp:anchor>
        </w:drawing>
        <w:drawing>
          <wp:anchor simplePos="0" relativeHeight="251657728" behindDoc="1" locked="0" layoutInCell="0" allowOverlap="1">
            <wp:simplePos x="0" y="0"/>
            <wp:positionH relativeFrom="column">
              <wp:posOffset>1797685</wp:posOffset>
            </wp:positionH>
            <wp:positionV relativeFrom="paragraph">
              <wp:posOffset>-1036955</wp:posOffset>
            </wp:positionV>
            <wp:extent cx="111125" cy="16319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clrChange>
                        <a:clrFrom>
                          <a:srgbClr val="FFFFFF"/>
                        </a:clrFrom>
                        <a:clrTo>
                          <a:srgbClr val="FFFFFF">
                            <a:alpha val="0"/>
                          </a:srgbClr>
                        </a:clrTo>
                      </a:clrChange>
                      <a:extLst>
                        <a:ext uri="{28A0092B-C50C-407E-A947-70E740481C1C}"/>
                      </a:extLst>
                    </a:blip>
                    <a:srcRect/>
                    <a:stretch>
                      <a:fillRect/>
                    </a:stretch>
                  </pic:blipFill>
                  <pic:spPr bwMode="auto">
                    <a:xfrm>
                      <a:off x="0" y="0"/>
                      <a:ext cx="111125" cy="16319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sz w:val="1"/>
          <w:szCs w:val="1"/>
          <w:color w:val="auto"/>
        </w:rPr>
        <w:drawing>
          <wp:inline distT="0" distB="0" distL="0" distR="0">
            <wp:extent cx="154305" cy="154305"/>
            <wp:effectExtent l="0" t="0" r="0" b="0"/>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54305" cy="154305"/>
                    </a:xfrm>
                    <a:prstGeom prst="rect">
                      <a:avLst/>
                    </a:prstGeom>
                    <a:noFill/>
                    <a:ln>
                      <a:noFill/>
                    </a:ln>
                  </pic:spPr>
                </pic:pic>
              </a:graphicData>
            </a:graphic>
          </wp:inline>
        </w:drawing>
      </w:r>
      <w:r>
        <w:rPr>
          <w:rFonts w:ascii="Arial" w:cs="Arial" w:eastAsia="Arial" w:hAnsi="Arial"/>
          <w:sz w:val="18"/>
          <w:szCs w:val="18"/>
          <w:color w:val="auto"/>
        </w:rPr>
        <w:t xml:space="preserve"> Committee Chair</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Morris Goldfarb and Jeffrey Goldfarb are father and son,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146050</wp:posOffset>
            </wp:positionV>
            <wp:extent cx="5031740" cy="61722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5031740" cy="61722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1600" w:right="1160"/>
        <w:spacing w:after="0" w:line="241" w:lineRule="auto"/>
        <w:rPr>
          <w:sz w:val="20"/>
          <w:szCs w:val="20"/>
          <w:color w:val="auto"/>
        </w:rPr>
      </w:pPr>
      <w:r>
        <w:rPr>
          <w:rFonts w:ascii="Arial" w:cs="Arial" w:eastAsia="Arial" w:hAnsi="Arial"/>
          <w:sz w:val="18"/>
          <w:szCs w:val="18"/>
          <w:b w:val="1"/>
          <w:bCs w:val="1"/>
          <w:color w:val="auto"/>
        </w:rPr>
        <w:t>The Board of Directors deems the election as directors of the eleven nominees listed above to be in the best interests of G-III and our stockholders and</w:t>
      </w:r>
    </w:p>
    <w:p>
      <w:pPr>
        <w:spacing w:after="0" w:line="2" w:lineRule="exact"/>
        <w:rPr>
          <w:sz w:val="20"/>
          <w:szCs w:val="20"/>
          <w:color w:val="auto"/>
        </w:rPr>
      </w:pPr>
    </w:p>
    <w:p>
      <w:pPr>
        <w:ind w:left="1600"/>
        <w:spacing w:after="0"/>
        <w:rPr>
          <w:sz w:val="20"/>
          <w:szCs w:val="20"/>
          <w:color w:val="auto"/>
        </w:rPr>
      </w:pPr>
      <w:r>
        <w:rPr>
          <w:rFonts w:ascii="Arial" w:cs="Arial" w:eastAsia="Arial" w:hAnsi="Arial"/>
          <w:sz w:val="18"/>
          <w:szCs w:val="18"/>
          <w:b w:val="1"/>
          <w:bCs w:val="1"/>
          <w:color w:val="auto"/>
        </w:rPr>
        <w:t xml:space="preserve">recommends a vote </w:t>
      </w:r>
      <w:r>
        <w:rPr>
          <w:rFonts w:ascii="Arial" w:cs="Arial" w:eastAsia="Arial" w:hAnsi="Arial"/>
          <w:sz w:val="21"/>
          <w:szCs w:val="21"/>
          <w:b w:val="1"/>
          <w:bCs w:val="1"/>
          <w:color w:val="4A7EBB"/>
        </w:rPr>
        <w:t>FOR</w:t>
      </w:r>
      <w:r>
        <w:rPr>
          <w:rFonts w:ascii="Arial" w:cs="Arial" w:eastAsia="Arial" w:hAnsi="Arial"/>
          <w:sz w:val="18"/>
          <w:szCs w:val="18"/>
          <w:b w:val="1"/>
          <w:bCs w:val="1"/>
          <w:color w:val="auto"/>
        </w:rPr>
        <w:t xml:space="preserve"> their 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630555</wp:posOffset>
            </wp:positionV>
            <wp:extent cx="629221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b w:val="1"/>
          <w:bCs w:val="1"/>
          <w:color w:val="4A7EBB"/>
        </w:rPr>
        <w:t xml:space="preserve">60 </w:t>
      </w:r>
      <w:r>
        <w:rPr>
          <w:rFonts w:ascii="Arial" w:cs="Arial" w:eastAsia="Arial" w:hAnsi="Arial"/>
          <w:sz w:val="20"/>
          <w:szCs w:val="20"/>
          <w:color w:val="808080"/>
        </w:rPr>
        <w:t xml:space="preserve">\ </w:t>
      </w:r>
      <w:r>
        <w:rPr>
          <w:sz w:val="1"/>
          <w:szCs w:val="1"/>
          <w:color w:val="auto"/>
        </w:rPr>
        <w:drawing>
          <wp:inline distT="0" distB="0" distL="0" distR="0">
            <wp:extent cx="266065" cy="146050"/>
            <wp:effectExtent l="0" t="0" r="0" b="0"/>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266065" cy="14605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350520</wp:posOffset>
            </wp:positionV>
            <wp:extent cx="6292215" cy="254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3" w:lineRule="exact"/>
        <w:rPr>
          <w:sz w:val="20"/>
          <w:szCs w:val="20"/>
          <w:color w:val="auto"/>
        </w:rPr>
      </w:pPr>
    </w:p>
    <w:p>
      <w:pPr>
        <w:ind w:right="900"/>
        <w:spacing w:after="0" w:line="288" w:lineRule="auto"/>
        <w:rPr>
          <w:sz w:val="20"/>
          <w:szCs w:val="20"/>
          <w:color w:val="auto"/>
        </w:rPr>
      </w:pPr>
      <w:r>
        <w:rPr>
          <w:rFonts w:ascii="Arial" w:cs="Arial" w:eastAsia="Arial" w:hAnsi="Arial"/>
          <w:sz w:val="29"/>
          <w:szCs w:val="29"/>
          <w:b w:val="1"/>
          <w:bCs w:val="1"/>
          <w:color w:val="4A7EBB"/>
        </w:rPr>
        <w:t xml:space="preserve">PROPOSAL NO. 2 </w:t>
      </w:r>
      <w:r>
        <w:rPr>
          <w:rFonts w:ascii="Arial" w:cs="Arial" w:eastAsia="Arial" w:hAnsi="Arial"/>
          <w:sz w:val="29"/>
          <w:szCs w:val="29"/>
          <w:b w:val="1"/>
          <w:bCs w:val="1"/>
          <w:color w:val="000000"/>
        </w:rPr>
        <w:t>ADVISORY VOTE ON COMPENSATION OF OUR</w:t>
      </w:r>
      <w:r>
        <w:rPr>
          <w:rFonts w:ascii="Arial" w:cs="Arial" w:eastAsia="Arial" w:hAnsi="Arial"/>
          <w:sz w:val="29"/>
          <w:szCs w:val="29"/>
          <w:b w:val="1"/>
          <w:bCs w:val="1"/>
          <w:color w:val="4A7EBB"/>
        </w:rPr>
        <w:t xml:space="preserve"> </w:t>
      </w:r>
      <w:r>
        <w:rPr>
          <w:rFonts w:ascii="Arial" w:cs="Arial" w:eastAsia="Arial" w:hAnsi="Arial"/>
          <w:sz w:val="29"/>
          <w:szCs w:val="29"/>
          <w:b w:val="1"/>
          <w:bCs w:val="1"/>
          <w:color w:val="000000"/>
        </w:rPr>
        <w:t>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-57150</wp:posOffset>
            </wp:positionV>
            <wp:extent cx="6292215" cy="171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1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Dodd-Frank Act enables stockholders to vote to approve, on an advisory (non-binding) basis, the compensation of our Named Executive Officers as disclosed in this Proxy Statement in accordance with the SEC’s rules. In light of the results of the stockholders’ nonbinding advisory vote at the 2023 Annual Meeting with respect to the frequency with which stockholders will vote for the approval of the compensation of G-III’s Named Executive Officers, G-III currently intends to hold an annual nonbinding advisory vote on such Named Executive Officer compensation.</w:t>
      </w:r>
    </w:p>
    <w:p>
      <w:pPr>
        <w:spacing w:after="0" w:line="17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“Say on Pay” vote is advisory, and therefore is not binding on us, the Compensation Committee or the Board of Directors. However, the Board and the Compensation Committee value the opinions of our stockholders and have conducted extensive stockholder outreach to actively solicit input that helped shape the Compensation Committee’s design of our company’s executive compensation program. To the extent there is any significant vote against the Named Executive Officer compensation as disclosed in this Proxy Statement, the Board and Compensation Committee will consider the stockholders’ concerns, and the Board and Compensation Committee will evaluate whether any additional actions are necessary to address those concerns. The Compensation Committee considers the results of the say on pay vote as part of its decision-making process and is committed to remain responsive to stockholder priorities, with the goal of earning consistent high levels of stockholder support. More broadly, as demonstrated by our continuing, active outreach to our stockholders, we value their opinions on executive compensation, as expressed not only in their Say on Pay votes but in our dialogues throughout the year. For more information with respect to our response to input from our stockholders, see the headings “Our Stockholder Outreach Initiative” and “Our ‘Say on Pay’ Results Last Year and Our Response” contained in “Compensation Discussion and Analysis”.</w:t>
      </w:r>
    </w:p>
    <w:p>
      <w:pPr>
        <w:spacing w:after="0" w:line="18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are asking our stockholders to indicate their support for the compensation of our Named Executive Officers as disclosed in this Proxy Statement. This proposal, commonly known as a “Say on Pay” proposal, gives stockholders the opportunity to express their views on the compensation paid to our Named Executive Officers. This vote is not intended to address any specific item of compensation, but rather the overall compensation of our Named Executive Officers and the philosophy, policies and practices described in this Proxy Statement. Accordingly, we are asking the stockholders to vote “FOR” the following resolution at the Annual Meeting:</w:t>
      </w:r>
    </w:p>
    <w:p>
      <w:pPr>
        <w:spacing w:after="0" w:line="179" w:lineRule="exact"/>
        <w:rPr>
          <w:sz w:val="20"/>
          <w:szCs w:val="20"/>
          <w:color w:val="auto"/>
        </w:rPr>
      </w:pPr>
    </w:p>
    <w:p>
      <w:pPr>
        <w:jc w:val="both"/>
        <w:ind w:left="340"/>
        <w:spacing w:after="0" w:line="247"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G-III’s stockholders approve, on an advisory basis, the compensation of G-III’s Named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Officers, as disclosed in G-III’s Proxy Statement for the 2026 Annual Meeting of Stockholders, pursuant to the compensation disclosure rules of the Securities and Exchange Commission, including the Compensation Discussion and Analysis, the compensation tables, and other related tables and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122555</wp:posOffset>
            </wp:positionV>
            <wp:extent cx="5031740" cy="6686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5031740" cy="668655"/>
                    </a:xfrm>
                    <a:prstGeom prst="rect">
                      <a:avLst/>
                    </a:prstGeom>
                    <a:noFill/>
                  </pic:spPr>
                </pic:pic>
              </a:graphicData>
            </a:graphic>
          </wp:anchor>
        </w:drawing>
      </w:r>
    </w:p>
    <w:p>
      <w:pPr>
        <w:spacing w:after="0" w:line="383" w:lineRule="exact"/>
        <w:rPr>
          <w:sz w:val="20"/>
          <w:szCs w:val="20"/>
          <w:color w:val="auto"/>
        </w:rPr>
      </w:pPr>
    </w:p>
    <w:p>
      <w:pPr>
        <w:ind w:left="1600" w:right="1160"/>
        <w:spacing w:after="0" w:line="281" w:lineRule="auto"/>
        <w:rPr>
          <w:sz w:val="20"/>
          <w:szCs w:val="20"/>
          <w:color w:val="auto"/>
        </w:rPr>
      </w:pPr>
      <w:r>
        <w:rPr>
          <w:rFonts w:ascii="Arial" w:cs="Arial" w:eastAsia="Arial" w:hAnsi="Arial"/>
          <w:sz w:val="18"/>
          <w:szCs w:val="18"/>
          <w:b w:val="1"/>
          <w:bCs w:val="1"/>
          <w:color w:val="auto"/>
        </w:rPr>
        <w:t xml:space="preserve">The Board of Directors deems Proposal No. 2 to be in the best interests of G-III and our stockholders and recommends a vote </w:t>
      </w:r>
      <w:r>
        <w:rPr>
          <w:rFonts w:ascii="Arial" w:cs="Arial" w:eastAsia="Arial" w:hAnsi="Arial"/>
          <w:sz w:val="21"/>
          <w:szCs w:val="21"/>
          <w:b w:val="1"/>
          <w:bCs w:val="1"/>
          <w:color w:val="4A7EBB"/>
        </w:rPr>
        <w:t>FOR</w:t>
      </w:r>
      <w:r>
        <w:rPr>
          <w:rFonts w:ascii="Arial" w:cs="Arial" w:eastAsia="Arial" w:hAnsi="Arial"/>
          <w:sz w:val="18"/>
          <w:szCs w:val="18"/>
          <w:b w:val="1"/>
          <w:bCs w:val="1"/>
          <w:color w:val="auto"/>
        </w:rPr>
        <w:t xml:space="preserve"> approval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621665</wp:posOffset>
            </wp:positionV>
            <wp:extent cx="629221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7560"/>
        <w:spacing w:after="0"/>
        <w:rPr>
          <w:sz w:val="20"/>
          <w:szCs w:val="20"/>
          <w:color w:val="auto"/>
        </w:rPr>
      </w:pPr>
      <w:r>
        <w:rPr>
          <w:rFonts w:ascii="Arial" w:cs="Arial" w:eastAsia="Arial" w:hAnsi="Arial"/>
          <w:sz w:val="16"/>
          <w:szCs w:val="16"/>
          <w:color w:val="auto"/>
        </w:rPr>
        <w:t xml:space="preserve">2026 PROXY STATEMENT </w:t>
      </w:r>
      <w:r>
        <w:rPr>
          <w:rFonts w:ascii="Arial" w:cs="Arial" w:eastAsia="Arial" w:hAnsi="Arial"/>
          <w:sz w:val="19"/>
          <w:szCs w:val="19"/>
          <w:color w:val="808080"/>
        </w:rPr>
        <w:t>/</w:t>
      </w:r>
      <w:r>
        <w:rPr>
          <w:rFonts w:ascii="Arial" w:cs="Arial" w:eastAsia="Arial" w:hAnsi="Arial"/>
          <w:sz w:val="16"/>
          <w:szCs w:val="16"/>
          <w:color w:val="auto"/>
        </w:rPr>
        <w:t xml:space="preserve"> </w:t>
      </w:r>
      <w:r>
        <w:rPr>
          <w:rFonts w:ascii="Arial" w:cs="Arial" w:eastAsia="Arial" w:hAnsi="Arial"/>
          <w:sz w:val="19"/>
          <w:szCs w:val="19"/>
          <w:b w:val="1"/>
          <w:bCs w:val="1"/>
          <w:color w:val="4A7EBB"/>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365125</wp:posOffset>
            </wp:positionV>
            <wp:extent cx="6292215" cy="171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3" w:lineRule="exact"/>
        <w:rPr>
          <w:sz w:val="20"/>
          <w:szCs w:val="20"/>
          <w:color w:val="auto"/>
        </w:rPr>
      </w:pPr>
    </w:p>
    <w:p>
      <w:pPr>
        <w:ind w:right="520"/>
        <w:spacing w:after="0" w:line="288" w:lineRule="auto"/>
        <w:rPr>
          <w:sz w:val="20"/>
          <w:szCs w:val="20"/>
          <w:color w:val="auto"/>
        </w:rPr>
      </w:pPr>
      <w:r>
        <w:rPr>
          <w:rFonts w:ascii="Arial" w:cs="Arial" w:eastAsia="Arial" w:hAnsi="Arial"/>
          <w:sz w:val="29"/>
          <w:szCs w:val="29"/>
          <w:b w:val="1"/>
          <w:bCs w:val="1"/>
          <w:color w:val="4A7EBB"/>
        </w:rPr>
        <w:t xml:space="preserve">PROPOSAL NO. 3 </w:t>
      </w:r>
      <w:r>
        <w:rPr>
          <w:rFonts w:ascii="Arial" w:cs="Arial" w:eastAsia="Arial" w:hAnsi="Arial"/>
          <w:sz w:val="29"/>
          <w:szCs w:val="29"/>
          <w:b w:val="1"/>
          <w:bCs w:val="1"/>
          <w:color w:val="000000"/>
        </w:rPr>
        <w:t>APPROVAL OF OUR AMENDED 2023 LONG-TERM</w:t>
      </w:r>
      <w:r>
        <w:rPr>
          <w:rFonts w:ascii="Arial" w:cs="Arial" w:eastAsia="Arial" w:hAnsi="Arial"/>
          <w:sz w:val="29"/>
          <w:szCs w:val="29"/>
          <w:b w:val="1"/>
          <w:bCs w:val="1"/>
          <w:color w:val="4A7EBB"/>
        </w:rPr>
        <w:t xml:space="preserve"> </w:t>
      </w:r>
      <w:r>
        <w:rPr>
          <w:rFonts w:ascii="Arial" w:cs="Arial" w:eastAsia="Arial" w:hAnsi="Arial"/>
          <w:sz w:val="29"/>
          <w:szCs w:val="29"/>
          <w:b w:val="1"/>
          <w:bCs w:val="1"/>
          <w:color w:val="000000"/>
        </w:rPr>
        <w:t>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-57150</wp:posOffset>
            </wp:positionV>
            <wp:extent cx="6292215" cy="171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98" w:lineRule="exact"/>
        <w:rPr>
          <w:sz w:val="20"/>
          <w:szCs w:val="20"/>
          <w:color w:val="auto"/>
        </w:rPr>
      </w:pPr>
    </w:p>
    <w:p>
      <w:pPr>
        <w:spacing w:after="0"/>
        <w:rPr>
          <w:sz w:val="20"/>
          <w:szCs w:val="20"/>
          <w:color w:val="auto"/>
        </w:rPr>
      </w:pPr>
      <w:r>
        <w:rPr>
          <w:rFonts w:ascii="Arial" w:cs="Arial" w:eastAsia="Arial" w:hAnsi="Arial"/>
          <w:sz w:val="29"/>
          <w:szCs w:val="29"/>
          <w:b w:val="1"/>
          <w:bCs w:val="1"/>
          <w:color w:val="4A7EBB"/>
        </w:rPr>
        <w:t>General Information</w:t>
      </w:r>
    </w:p>
    <w:p>
      <w:pPr>
        <w:spacing w:after="0" w:line="19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2023, our Board of Directors and stockholders adopted the G-III Apparel Group, Ltd. 2023 Long-Term Incentive Plan (the “2023 Plan”). This year, our stockholders are being asked to approve an amendment to the 2023 Plan to increase the number of shares that may be issued under the 2023 Plan by 2,500,000 shares, to 5,300,000 shares of Common Stock, as set forth in this Proposal No. 3. Our Board of Directors adopted this amendment to the 2023 Plan on April 30, 2026, subject to approval by our stockholders at our Annual Meeting.</w:t>
      </w:r>
    </w:p>
    <w:p>
      <w:pPr>
        <w:spacing w:after="0" w:line="17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2023 Plan allows us to make various forms of equity- and cash-based incentive compensation awards to our officers, employees, non-employee directors and other eligible personnel. These awards are integral to our ability to attract and retain highly-skilled personnel who are in great demand in the market. The 2023 Plan offers participants an opportunity to obtain equity ownership in our company, increasing their personal involvement with our future. The 2023 Plan also allows us to connect compensation opportunities to the achievement of important short and long-term financial and strategic objectives.</w:t>
      </w:r>
    </w:p>
    <w:p>
      <w:pPr>
        <w:spacing w:after="0" w:line="176"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Board believes long-term equity and other forms of incentive compensation are necessary and critical components of our overall compensation program. Similar to other companies in our industry, we believe equity compensation is integral in providing a competitive total compensation package necessary to recruit, retain and reward key employees. Equity awards are commonly used by companies our size, and the ability to provide competitive grants is essential to competing for talent in the highly competitive apparel industry. Therefore, we believe it is imperative to provide long-term incentive awards as a component of our compensation program. We will continue to seek an appropriate balance between meeting employee hiring, retention, and compensation goals and avoiding excessive stockholder dilution.</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determining the number of shares to be requested, our Compensation Committee, which recommended the amendment to the Board, considered the overhang created by the 2023 Plan, our historical three-year burn rate and the views of stockholders and proxy advisory firms.</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proposed increase of 2,500,000 shares authorized under the 2023 Plan represents 5.9% of our Common Stock outstanding (excluding shares held in treasury) as of the record date. On that date, the reported closing price per share of our Common Stock on the Nasdaq Global Select Market was $29.50 per share.</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April 16, 2026, the overhang created by the 2023 Plan increases from 6.6% to a projected total of 12.6%, assuming the new share request is approved by our stockholders, as shown below. The Board views this level of overhang as reasonable and moderate, given the important role equity ownership plays in attracting and retaining employees.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60" w:type="dxa"/>
            <w:vAlign w:val="bottom"/>
            <w:tcBorders>
              <w:top w:val="single" w:sz="8" w:color="4A7EBB"/>
            </w:tcBorders>
            <w:shd w:val="clear" w:color="auto" w:fill="DBE5F1"/>
          </w:tcPr>
          <w:p>
            <w:pPr>
              <w:spacing w:after="0"/>
              <w:rPr>
                <w:sz w:val="17"/>
                <w:szCs w:val="17"/>
                <w:color w:val="auto"/>
              </w:rPr>
            </w:pPr>
          </w:p>
        </w:tc>
        <w:tc>
          <w:tcPr>
            <w:tcW w:w="800" w:type="dxa"/>
            <w:vAlign w:val="bottom"/>
            <w:tcBorders>
              <w:top w:val="single" w:sz="8" w:color="4A7EBB"/>
            </w:tcBorders>
            <w:shd w:val="clear" w:color="auto" w:fill="DBE5F1"/>
          </w:tcPr>
          <w:p>
            <w:pPr>
              <w:ind w:left="160"/>
              <w:spacing w:after="0"/>
              <w:rPr>
                <w:sz w:val="20"/>
                <w:szCs w:val="20"/>
                <w:color w:val="auto"/>
              </w:rPr>
            </w:pPr>
            <w:r>
              <w:rPr>
                <w:rFonts w:ascii="Arial" w:cs="Arial" w:eastAsia="Arial" w:hAnsi="Arial"/>
                <w:sz w:val="16"/>
                <w:szCs w:val="16"/>
                <w:b w:val="1"/>
                <w:bCs w:val="1"/>
                <w:color w:val="auto"/>
              </w:rPr>
              <w:t>​  ​</w:t>
            </w:r>
          </w:p>
        </w:tc>
        <w:tc>
          <w:tcPr>
            <w:tcW w:w="2240" w:type="dxa"/>
            <w:vAlign w:val="bottom"/>
            <w:tcBorders>
              <w:top w:val="single" w:sz="8" w:color="4A7EBB"/>
            </w:tcBorders>
            <w:shd w:val="clear" w:color="auto" w:fill="DBE5F1"/>
          </w:tcPr>
          <w:p>
            <w:pPr>
              <w:jc w:val="center"/>
              <w:spacing w:after="0"/>
              <w:rPr>
                <w:sz w:val="20"/>
                <w:szCs w:val="20"/>
                <w:color w:val="auto"/>
              </w:rPr>
            </w:pPr>
            <w:r>
              <w:rPr>
                <w:rFonts w:ascii="Arial" w:cs="Arial" w:eastAsia="Arial" w:hAnsi="Arial"/>
                <w:sz w:val="16"/>
                <w:szCs w:val="16"/>
                <w:b w:val="1"/>
                <w:bCs w:val="1"/>
                <w:color w:val="auto"/>
              </w:rPr>
              <w:t>Number of Shares</w:t>
            </w:r>
          </w:p>
        </w:tc>
        <w:tc>
          <w:tcPr>
            <w:tcW w:w="1000" w:type="dxa"/>
            <w:vAlign w:val="bottom"/>
            <w:tcBorders>
              <w:top w:val="single" w:sz="8" w:color="4A7EBB"/>
            </w:tcBorders>
            <w:shd w:val="clear" w:color="auto" w:fill="DBE5F1"/>
          </w:tcPr>
          <w:p>
            <w:pPr>
              <w:ind w:left="420"/>
              <w:spacing w:after="0"/>
              <w:rPr>
                <w:sz w:val="20"/>
                <w:szCs w:val="20"/>
                <w:color w:val="auto"/>
              </w:rPr>
            </w:pPr>
            <w:r>
              <w:rPr>
                <w:rFonts w:ascii="Arial" w:cs="Arial" w:eastAsia="Arial" w:hAnsi="Arial"/>
                <w:sz w:val="16"/>
                <w:szCs w:val="16"/>
                <w:b w:val="1"/>
                <w:bCs w:val="1"/>
                <w:color w:val="auto"/>
              </w:rPr>
              <w:t>​  ​</w:t>
            </w:r>
          </w:p>
        </w:tc>
        <w:tc>
          <w:tcPr>
            <w:tcW w:w="2520" w:type="dxa"/>
            <w:vAlign w:val="bottom"/>
            <w:tcBorders>
              <w:top w:val="single" w:sz="8" w:color="4A7EBB"/>
            </w:tcBorders>
            <w:shd w:val="clear" w:color="auto" w:fill="DBE5F1"/>
          </w:tcPr>
          <w:p>
            <w:pPr>
              <w:jc w:val="center"/>
              <w:ind w:right="179"/>
              <w:spacing w:after="0"/>
              <w:rPr>
                <w:sz w:val="20"/>
                <w:szCs w:val="20"/>
                <w:color w:val="auto"/>
              </w:rPr>
            </w:pPr>
            <w:r>
              <w:rPr>
                <w:rFonts w:ascii="Arial" w:cs="Arial" w:eastAsia="Arial" w:hAnsi="Arial"/>
                <w:sz w:val="16"/>
                <w:szCs w:val="16"/>
                <w:b w:val="1"/>
                <w:bCs w:val="1"/>
                <w:color w:val="auto"/>
              </w:rPr>
              <w:t>Percentage of Shares</w:t>
            </w:r>
          </w:p>
        </w:tc>
      </w:tr>
      <w:tr>
        <w:trPr>
          <w:trHeight w:val="189"/>
        </w:trPr>
        <w:tc>
          <w:tcPr>
            <w:tcW w:w="3360" w:type="dxa"/>
            <w:vAlign w:val="bottom"/>
            <w:shd w:val="clear" w:color="auto" w:fill="DBE5F1"/>
          </w:tcPr>
          <w:p>
            <w:pPr>
              <w:spacing w:after="0"/>
              <w:rPr>
                <w:sz w:val="16"/>
                <w:szCs w:val="16"/>
                <w:color w:val="auto"/>
              </w:rPr>
            </w:pPr>
          </w:p>
        </w:tc>
        <w:tc>
          <w:tcPr>
            <w:tcW w:w="800" w:type="dxa"/>
            <w:vAlign w:val="bottom"/>
            <w:shd w:val="clear" w:color="auto" w:fill="DBE5F1"/>
          </w:tcPr>
          <w:p>
            <w:pPr>
              <w:spacing w:after="0"/>
              <w:rPr>
                <w:sz w:val="16"/>
                <w:szCs w:val="16"/>
                <w:color w:val="auto"/>
              </w:rPr>
            </w:pPr>
          </w:p>
        </w:tc>
        <w:tc>
          <w:tcPr>
            <w:tcW w:w="2240" w:type="dxa"/>
            <w:vAlign w:val="bottom"/>
            <w:shd w:val="clear" w:color="auto" w:fill="DBE5F1"/>
          </w:tcPr>
          <w:p>
            <w:pPr>
              <w:jc w:val="center"/>
              <w:spacing w:after="0"/>
              <w:rPr>
                <w:sz w:val="20"/>
                <w:szCs w:val="20"/>
                <w:color w:val="auto"/>
              </w:rPr>
            </w:pPr>
            <w:r>
              <w:rPr>
                <w:rFonts w:ascii="Arial" w:cs="Arial" w:eastAsia="Arial" w:hAnsi="Arial"/>
                <w:sz w:val="16"/>
                <w:szCs w:val="16"/>
                <w:b w:val="1"/>
                <w:bCs w:val="1"/>
                <w:color w:val="auto"/>
              </w:rPr>
              <w:t>of Common Stock</w:t>
            </w:r>
          </w:p>
        </w:tc>
        <w:tc>
          <w:tcPr>
            <w:tcW w:w="1000" w:type="dxa"/>
            <w:vAlign w:val="bottom"/>
            <w:shd w:val="clear" w:color="auto" w:fill="DBE5F1"/>
          </w:tcPr>
          <w:p>
            <w:pPr>
              <w:spacing w:after="0"/>
              <w:rPr>
                <w:sz w:val="16"/>
                <w:szCs w:val="16"/>
                <w:color w:val="auto"/>
              </w:rPr>
            </w:pPr>
          </w:p>
        </w:tc>
        <w:tc>
          <w:tcPr>
            <w:tcW w:w="2520" w:type="dxa"/>
            <w:vAlign w:val="bottom"/>
            <w:shd w:val="clear" w:color="auto" w:fill="DBE5F1"/>
          </w:tcPr>
          <w:p>
            <w:pPr>
              <w:jc w:val="center"/>
              <w:ind w:right="199"/>
              <w:spacing w:after="0"/>
              <w:rPr>
                <w:sz w:val="20"/>
                <w:szCs w:val="20"/>
                <w:color w:val="auto"/>
              </w:rPr>
            </w:pPr>
            <w:r>
              <w:rPr>
                <w:rFonts w:ascii="Arial" w:cs="Arial" w:eastAsia="Arial" w:hAnsi="Arial"/>
                <w:sz w:val="16"/>
                <w:szCs w:val="16"/>
                <w:b w:val="1"/>
                <w:bCs w:val="1"/>
                <w:color w:val="auto"/>
              </w:rPr>
              <w:t>Outstanding on the</w:t>
            </w:r>
          </w:p>
        </w:tc>
      </w:tr>
      <w:tr>
        <w:trPr>
          <w:trHeight w:val="189"/>
        </w:trPr>
        <w:tc>
          <w:tcPr>
            <w:tcW w:w="3360" w:type="dxa"/>
            <w:vAlign w:val="bottom"/>
            <w:tcBorders>
              <w:bottom w:val="single" w:sz="8" w:color="4A7EBB"/>
            </w:tcBorders>
            <w:shd w:val="clear" w:color="auto" w:fill="DBE5F1"/>
          </w:tcPr>
          <w:p>
            <w:pPr>
              <w:spacing w:after="0"/>
              <w:rPr>
                <w:sz w:val="16"/>
                <w:szCs w:val="16"/>
                <w:color w:val="auto"/>
              </w:rPr>
            </w:pPr>
          </w:p>
        </w:tc>
        <w:tc>
          <w:tcPr>
            <w:tcW w:w="800" w:type="dxa"/>
            <w:vAlign w:val="bottom"/>
            <w:tcBorders>
              <w:bottom w:val="single" w:sz="8" w:color="4A7EBB"/>
            </w:tcBorders>
            <w:shd w:val="clear" w:color="auto" w:fill="DBE5F1"/>
          </w:tcPr>
          <w:p>
            <w:pPr>
              <w:spacing w:after="0"/>
              <w:rPr>
                <w:sz w:val="16"/>
                <w:szCs w:val="16"/>
                <w:color w:val="auto"/>
              </w:rPr>
            </w:pPr>
          </w:p>
        </w:tc>
        <w:tc>
          <w:tcPr>
            <w:tcW w:w="2240" w:type="dxa"/>
            <w:vAlign w:val="bottom"/>
            <w:tcBorders>
              <w:bottom w:val="single" w:sz="8" w:color="4A7EBB"/>
            </w:tcBorders>
            <w:shd w:val="clear" w:color="auto" w:fill="DBE5F1"/>
          </w:tcPr>
          <w:p>
            <w:pPr>
              <w:jc w:val="center"/>
              <w:spacing w:after="0"/>
              <w:rPr>
                <w:sz w:val="20"/>
                <w:szCs w:val="20"/>
                <w:color w:val="auto"/>
              </w:rPr>
            </w:pPr>
            <w:r>
              <w:rPr>
                <w:rFonts w:ascii="Arial" w:cs="Arial" w:eastAsia="Arial" w:hAnsi="Arial"/>
                <w:sz w:val="16"/>
                <w:szCs w:val="16"/>
                <w:b w:val="1"/>
                <w:bCs w:val="1"/>
                <w:color w:val="auto"/>
              </w:rPr>
              <w:t>on the Record Date</w:t>
            </w:r>
          </w:p>
        </w:tc>
        <w:tc>
          <w:tcPr>
            <w:tcW w:w="1000" w:type="dxa"/>
            <w:vAlign w:val="bottom"/>
            <w:tcBorders>
              <w:bottom w:val="single" w:sz="8" w:color="4A7EBB"/>
            </w:tcBorders>
            <w:shd w:val="clear" w:color="auto" w:fill="DBE5F1"/>
          </w:tcPr>
          <w:p>
            <w:pPr>
              <w:spacing w:after="0"/>
              <w:rPr>
                <w:sz w:val="16"/>
                <w:szCs w:val="16"/>
                <w:color w:val="auto"/>
              </w:rPr>
            </w:pPr>
          </w:p>
        </w:tc>
        <w:tc>
          <w:tcPr>
            <w:tcW w:w="2520" w:type="dxa"/>
            <w:vAlign w:val="bottom"/>
            <w:tcBorders>
              <w:bottom w:val="single" w:sz="8" w:color="4A7EBB"/>
            </w:tcBorders>
            <w:shd w:val="clear" w:color="auto" w:fill="DBE5F1"/>
          </w:tcPr>
          <w:p>
            <w:pPr>
              <w:jc w:val="center"/>
              <w:ind w:right="199"/>
              <w:spacing w:after="0"/>
              <w:rPr>
                <w:sz w:val="20"/>
                <w:szCs w:val="20"/>
                <w:color w:val="auto"/>
              </w:rPr>
            </w:pPr>
            <w:r>
              <w:rPr>
                <w:rFonts w:ascii="Arial" w:cs="Arial" w:eastAsia="Arial" w:hAnsi="Arial"/>
                <w:sz w:val="16"/>
                <w:szCs w:val="16"/>
                <w:b w:val="1"/>
                <w:bCs w:val="1"/>
                <w:color w:val="auto"/>
              </w:rPr>
              <w:t>Record Date</w:t>
            </w:r>
          </w:p>
        </w:tc>
      </w:tr>
      <w:tr>
        <w:trPr>
          <w:trHeight w:val="183"/>
        </w:trPr>
        <w:tc>
          <w:tcPr>
            <w:tcW w:w="3360" w:type="dxa"/>
            <w:vAlign w:val="bottom"/>
            <w:tcBorders>
              <w:bottom w:val="single" w:sz="8" w:color="4A7EBB"/>
            </w:tcBorders>
          </w:tcPr>
          <w:p>
            <w:pPr>
              <w:ind w:left="120"/>
              <w:spacing w:after="0" w:line="183" w:lineRule="exact"/>
              <w:rPr>
                <w:sz w:val="20"/>
                <w:szCs w:val="20"/>
                <w:color w:val="auto"/>
              </w:rPr>
            </w:pPr>
            <w:r>
              <w:rPr>
                <w:rFonts w:ascii="Arial" w:cs="Arial" w:eastAsia="Arial" w:hAnsi="Arial"/>
                <w:sz w:val="16"/>
                <w:szCs w:val="16"/>
                <w:color w:val="auto"/>
              </w:rPr>
              <w:t>Outstanding Awards</w:t>
            </w:r>
          </w:p>
        </w:tc>
        <w:tc>
          <w:tcPr>
            <w:tcW w:w="800" w:type="dxa"/>
            <w:vAlign w:val="bottom"/>
            <w:tcBorders>
              <w:bottom w:val="single" w:sz="8" w:color="4A7EBB"/>
            </w:tcBorders>
          </w:tcPr>
          <w:p>
            <w:pPr>
              <w:spacing w:after="0"/>
              <w:rPr>
                <w:sz w:val="15"/>
                <w:szCs w:val="15"/>
                <w:color w:val="auto"/>
              </w:rPr>
            </w:pPr>
          </w:p>
        </w:tc>
        <w:tc>
          <w:tcPr>
            <w:tcW w:w="2240" w:type="dxa"/>
            <w:vAlign w:val="bottom"/>
            <w:tcBorders>
              <w:bottom w:val="single" w:sz="8" w:color="4A7EBB"/>
            </w:tcBorders>
          </w:tcPr>
          <w:p>
            <w:pPr>
              <w:jc w:val="center"/>
              <w:spacing w:after="0" w:line="183" w:lineRule="exact"/>
              <w:rPr>
                <w:sz w:val="20"/>
                <w:szCs w:val="20"/>
                <w:color w:val="auto"/>
              </w:rPr>
            </w:pPr>
            <w:r>
              <w:rPr>
                <w:rFonts w:ascii="Arial" w:cs="Arial" w:eastAsia="Arial" w:hAnsi="Arial"/>
                <w:sz w:val="16"/>
                <w:szCs w:val="16"/>
                <w:color w:val="auto"/>
              </w:rPr>
              <w:t>2,200,523</w:t>
            </w:r>
          </w:p>
        </w:tc>
        <w:tc>
          <w:tcPr>
            <w:tcW w:w="1000" w:type="dxa"/>
            <w:vAlign w:val="bottom"/>
            <w:tcBorders>
              <w:bottom w:val="single" w:sz="8" w:color="4A7EBB"/>
            </w:tcBorders>
          </w:tcPr>
          <w:p>
            <w:pPr>
              <w:spacing w:after="0"/>
              <w:rPr>
                <w:sz w:val="15"/>
                <w:szCs w:val="15"/>
                <w:color w:val="auto"/>
              </w:rPr>
            </w:pPr>
          </w:p>
        </w:tc>
        <w:tc>
          <w:tcPr>
            <w:tcW w:w="2520" w:type="dxa"/>
            <w:vAlign w:val="bottom"/>
            <w:tcBorders>
              <w:bottom w:val="single" w:sz="8" w:color="4A7EBB"/>
            </w:tcBorders>
          </w:tcPr>
          <w:p>
            <w:pPr>
              <w:jc w:val="center"/>
              <w:ind w:right="179"/>
              <w:spacing w:after="0" w:line="183" w:lineRule="exact"/>
              <w:rPr>
                <w:sz w:val="20"/>
                <w:szCs w:val="20"/>
                <w:color w:val="auto"/>
              </w:rPr>
            </w:pPr>
            <w:r>
              <w:rPr>
                <w:rFonts w:ascii="Arial" w:cs="Arial" w:eastAsia="Arial" w:hAnsi="Arial"/>
                <w:sz w:val="16"/>
                <w:szCs w:val="16"/>
                <w:color w:val="auto"/>
              </w:rPr>
              <w:t>5.2%</w:t>
            </w:r>
          </w:p>
        </w:tc>
      </w:tr>
      <w:tr>
        <w:trPr>
          <w:trHeight w:val="183"/>
        </w:trPr>
        <w:tc>
          <w:tcPr>
            <w:tcW w:w="4160" w:type="dxa"/>
            <w:vAlign w:val="bottom"/>
            <w:tcBorders>
              <w:bottom w:val="single" w:sz="8" w:color="4A7EBB"/>
            </w:tcBorders>
            <w:gridSpan w:val="2"/>
            <w:shd w:val="clear" w:color="auto" w:fill="F2F2F2"/>
          </w:tcPr>
          <w:p>
            <w:pPr>
              <w:ind w:left="120"/>
              <w:spacing w:after="0" w:line="183" w:lineRule="exact"/>
              <w:rPr>
                <w:sz w:val="20"/>
                <w:szCs w:val="20"/>
                <w:color w:val="auto"/>
              </w:rPr>
            </w:pPr>
            <w:r>
              <w:rPr>
                <w:rFonts w:ascii="Arial" w:cs="Arial" w:eastAsia="Arial" w:hAnsi="Arial"/>
                <w:sz w:val="16"/>
                <w:szCs w:val="16"/>
                <w:color w:val="auto"/>
              </w:rPr>
              <w:t>Available for Future Grant</w:t>
            </w:r>
          </w:p>
        </w:tc>
        <w:tc>
          <w:tcPr>
            <w:tcW w:w="2240" w:type="dxa"/>
            <w:vAlign w:val="bottom"/>
            <w:tcBorders>
              <w:bottom w:val="single" w:sz="8" w:color="4A7EBB"/>
            </w:tcBorders>
            <w:shd w:val="clear" w:color="auto" w:fill="F2F2F2"/>
          </w:tcPr>
          <w:p>
            <w:pPr>
              <w:jc w:val="center"/>
              <w:spacing w:after="0" w:line="183" w:lineRule="exact"/>
              <w:rPr>
                <w:sz w:val="20"/>
                <w:szCs w:val="20"/>
                <w:color w:val="auto"/>
              </w:rPr>
            </w:pPr>
            <w:r>
              <w:rPr>
                <w:rFonts w:ascii="Arial" w:cs="Arial" w:eastAsia="Arial" w:hAnsi="Arial"/>
                <w:sz w:val="16"/>
                <w:szCs w:val="16"/>
                <w:color w:val="auto"/>
              </w:rPr>
              <w:t>599,477</w:t>
            </w:r>
          </w:p>
        </w:tc>
        <w:tc>
          <w:tcPr>
            <w:tcW w:w="1000" w:type="dxa"/>
            <w:vAlign w:val="bottom"/>
            <w:tcBorders>
              <w:bottom w:val="single" w:sz="8" w:color="4A7EBB"/>
            </w:tcBorders>
            <w:shd w:val="clear" w:color="auto" w:fill="F2F2F2"/>
          </w:tcPr>
          <w:p>
            <w:pPr>
              <w:spacing w:after="0"/>
              <w:rPr>
                <w:sz w:val="15"/>
                <w:szCs w:val="15"/>
                <w:color w:val="auto"/>
              </w:rPr>
            </w:pPr>
          </w:p>
        </w:tc>
        <w:tc>
          <w:tcPr>
            <w:tcW w:w="2520" w:type="dxa"/>
            <w:vAlign w:val="bottom"/>
            <w:tcBorders>
              <w:bottom w:val="single" w:sz="8" w:color="4A7EBB"/>
            </w:tcBorders>
            <w:shd w:val="clear" w:color="auto" w:fill="F2F2F2"/>
          </w:tcPr>
          <w:p>
            <w:pPr>
              <w:jc w:val="center"/>
              <w:ind w:right="179"/>
              <w:spacing w:after="0" w:line="183" w:lineRule="exact"/>
              <w:rPr>
                <w:sz w:val="20"/>
                <w:szCs w:val="20"/>
                <w:color w:val="auto"/>
              </w:rPr>
            </w:pPr>
            <w:r>
              <w:rPr>
                <w:rFonts w:ascii="Arial" w:cs="Arial" w:eastAsia="Arial" w:hAnsi="Arial"/>
                <w:sz w:val="16"/>
                <w:szCs w:val="16"/>
                <w:color w:val="auto"/>
              </w:rPr>
              <w:t>1.4%</w:t>
            </w:r>
          </w:p>
        </w:tc>
      </w:tr>
      <w:tr>
        <w:trPr>
          <w:trHeight w:val="183"/>
        </w:trPr>
        <w:tc>
          <w:tcPr>
            <w:tcW w:w="4160" w:type="dxa"/>
            <w:vAlign w:val="bottom"/>
            <w:tcBorders>
              <w:bottom w:val="single" w:sz="8" w:color="4A7EBB"/>
            </w:tcBorders>
            <w:gridSpan w:val="2"/>
          </w:tcPr>
          <w:p>
            <w:pPr>
              <w:ind w:left="120"/>
              <w:spacing w:after="0" w:line="183" w:lineRule="exact"/>
              <w:rPr>
                <w:sz w:val="20"/>
                <w:szCs w:val="20"/>
                <w:color w:val="auto"/>
              </w:rPr>
            </w:pPr>
            <w:r>
              <w:rPr>
                <w:rFonts w:ascii="Arial" w:cs="Arial" w:eastAsia="Arial" w:hAnsi="Arial"/>
                <w:sz w:val="16"/>
                <w:szCs w:val="16"/>
                <w:color w:val="auto"/>
              </w:rPr>
              <w:t>Current Overhang</w:t>
            </w:r>
          </w:p>
        </w:tc>
        <w:tc>
          <w:tcPr>
            <w:tcW w:w="2240" w:type="dxa"/>
            <w:vAlign w:val="bottom"/>
            <w:tcBorders>
              <w:bottom w:val="single" w:sz="8" w:color="4A7EBB"/>
            </w:tcBorders>
          </w:tcPr>
          <w:p>
            <w:pPr>
              <w:jc w:val="center"/>
              <w:spacing w:after="0" w:line="183" w:lineRule="exact"/>
              <w:rPr>
                <w:sz w:val="20"/>
                <w:szCs w:val="20"/>
                <w:color w:val="auto"/>
              </w:rPr>
            </w:pPr>
            <w:r>
              <w:rPr>
                <w:rFonts w:ascii="Arial" w:cs="Arial" w:eastAsia="Arial" w:hAnsi="Arial"/>
                <w:sz w:val="16"/>
                <w:szCs w:val="16"/>
                <w:color w:val="auto"/>
              </w:rPr>
              <w:t>2,800,000</w:t>
            </w:r>
          </w:p>
        </w:tc>
        <w:tc>
          <w:tcPr>
            <w:tcW w:w="1000" w:type="dxa"/>
            <w:vAlign w:val="bottom"/>
            <w:tcBorders>
              <w:bottom w:val="single" w:sz="8" w:color="4A7EBB"/>
            </w:tcBorders>
          </w:tcPr>
          <w:p>
            <w:pPr>
              <w:spacing w:after="0"/>
              <w:rPr>
                <w:sz w:val="15"/>
                <w:szCs w:val="15"/>
                <w:color w:val="auto"/>
              </w:rPr>
            </w:pPr>
          </w:p>
        </w:tc>
        <w:tc>
          <w:tcPr>
            <w:tcW w:w="2520" w:type="dxa"/>
            <w:vAlign w:val="bottom"/>
            <w:tcBorders>
              <w:bottom w:val="single" w:sz="8" w:color="4A7EBB"/>
            </w:tcBorders>
          </w:tcPr>
          <w:p>
            <w:pPr>
              <w:jc w:val="center"/>
              <w:ind w:right="179"/>
              <w:spacing w:after="0" w:line="183" w:lineRule="exact"/>
              <w:rPr>
                <w:sz w:val="20"/>
                <w:szCs w:val="20"/>
                <w:color w:val="auto"/>
              </w:rPr>
            </w:pPr>
            <w:r>
              <w:rPr>
                <w:rFonts w:ascii="Arial" w:cs="Arial" w:eastAsia="Arial" w:hAnsi="Arial"/>
                <w:sz w:val="16"/>
                <w:szCs w:val="16"/>
                <w:color w:val="auto"/>
              </w:rPr>
              <w:t>6.6%</w:t>
            </w:r>
          </w:p>
        </w:tc>
      </w:tr>
      <w:tr>
        <w:trPr>
          <w:trHeight w:val="183"/>
        </w:trPr>
        <w:tc>
          <w:tcPr>
            <w:tcW w:w="4160" w:type="dxa"/>
            <w:vAlign w:val="bottom"/>
            <w:tcBorders>
              <w:bottom w:val="single" w:sz="8" w:color="4A7EBB"/>
            </w:tcBorders>
            <w:gridSpan w:val="2"/>
            <w:shd w:val="clear" w:color="auto" w:fill="F2F2F2"/>
          </w:tcPr>
          <w:p>
            <w:pPr>
              <w:ind w:left="120"/>
              <w:spacing w:after="0" w:line="183" w:lineRule="exact"/>
              <w:rPr>
                <w:sz w:val="20"/>
                <w:szCs w:val="20"/>
                <w:color w:val="auto"/>
              </w:rPr>
            </w:pPr>
            <w:r>
              <w:rPr>
                <w:rFonts w:ascii="Arial" w:cs="Arial" w:eastAsia="Arial" w:hAnsi="Arial"/>
                <w:sz w:val="16"/>
                <w:szCs w:val="16"/>
                <w:color w:val="auto"/>
              </w:rPr>
              <w:t>New Share Request</w:t>
            </w:r>
          </w:p>
        </w:tc>
        <w:tc>
          <w:tcPr>
            <w:tcW w:w="2240" w:type="dxa"/>
            <w:vAlign w:val="bottom"/>
            <w:tcBorders>
              <w:bottom w:val="single" w:sz="8" w:color="4A7EBB"/>
            </w:tcBorders>
            <w:shd w:val="clear" w:color="auto" w:fill="F2F2F2"/>
          </w:tcPr>
          <w:p>
            <w:pPr>
              <w:jc w:val="center"/>
              <w:spacing w:after="0" w:line="183" w:lineRule="exact"/>
              <w:rPr>
                <w:sz w:val="20"/>
                <w:szCs w:val="20"/>
                <w:color w:val="auto"/>
              </w:rPr>
            </w:pPr>
            <w:r>
              <w:rPr>
                <w:rFonts w:ascii="Arial" w:cs="Arial" w:eastAsia="Arial" w:hAnsi="Arial"/>
                <w:sz w:val="16"/>
                <w:szCs w:val="16"/>
                <w:color w:val="auto"/>
              </w:rPr>
              <w:t>2,500,000</w:t>
            </w:r>
          </w:p>
        </w:tc>
        <w:tc>
          <w:tcPr>
            <w:tcW w:w="1000" w:type="dxa"/>
            <w:vAlign w:val="bottom"/>
            <w:tcBorders>
              <w:bottom w:val="single" w:sz="8" w:color="4A7EBB"/>
            </w:tcBorders>
            <w:shd w:val="clear" w:color="auto" w:fill="F2F2F2"/>
          </w:tcPr>
          <w:p>
            <w:pPr>
              <w:spacing w:after="0"/>
              <w:rPr>
                <w:sz w:val="15"/>
                <w:szCs w:val="15"/>
                <w:color w:val="auto"/>
              </w:rPr>
            </w:pPr>
          </w:p>
        </w:tc>
        <w:tc>
          <w:tcPr>
            <w:tcW w:w="2520" w:type="dxa"/>
            <w:vAlign w:val="bottom"/>
            <w:tcBorders>
              <w:bottom w:val="single" w:sz="8" w:color="4A7EBB"/>
            </w:tcBorders>
            <w:shd w:val="clear" w:color="auto" w:fill="F2F2F2"/>
          </w:tcPr>
          <w:p>
            <w:pPr>
              <w:jc w:val="center"/>
              <w:ind w:right="179"/>
              <w:spacing w:after="0" w:line="183" w:lineRule="exact"/>
              <w:rPr>
                <w:sz w:val="20"/>
                <w:szCs w:val="20"/>
                <w:color w:val="auto"/>
              </w:rPr>
            </w:pPr>
            <w:r>
              <w:rPr>
                <w:rFonts w:ascii="Arial" w:cs="Arial" w:eastAsia="Arial" w:hAnsi="Arial"/>
                <w:sz w:val="16"/>
                <w:szCs w:val="16"/>
                <w:color w:val="auto"/>
              </w:rPr>
              <w:t>5.9%</w:t>
            </w:r>
          </w:p>
        </w:tc>
      </w:tr>
      <w:tr>
        <w:trPr>
          <w:trHeight w:val="183"/>
        </w:trPr>
        <w:tc>
          <w:tcPr>
            <w:tcW w:w="4160" w:type="dxa"/>
            <w:vAlign w:val="bottom"/>
            <w:tcBorders>
              <w:bottom w:val="single" w:sz="8" w:color="4A7EBB"/>
            </w:tcBorders>
            <w:gridSpan w:val="2"/>
          </w:tcPr>
          <w:p>
            <w:pPr>
              <w:ind w:left="120"/>
              <w:spacing w:after="0" w:line="183" w:lineRule="exact"/>
              <w:rPr>
                <w:sz w:val="20"/>
                <w:szCs w:val="20"/>
                <w:color w:val="auto"/>
              </w:rPr>
            </w:pPr>
            <w:r>
              <w:rPr>
                <w:rFonts w:ascii="Arial" w:cs="Arial" w:eastAsia="Arial" w:hAnsi="Arial"/>
                <w:sz w:val="16"/>
                <w:szCs w:val="16"/>
                <w:color w:val="auto"/>
              </w:rPr>
              <w:t>Projected Overhang</w:t>
            </w:r>
          </w:p>
        </w:tc>
        <w:tc>
          <w:tcPr>
            <w:tcW w:w="2240" w:type="dxa"/>
            <w:vAlign w:val="bottom"/>
            <w:tcBorders>
              <w:bottom w:val="single" w:sz="8" w:color="4A7EBB"/>
            </w:tcBorders>
          </w:tcPr>
          <w:p>
            <w:pPr>
              <w:jc w:val="center"/>
              <w:spacing w:after="0" w:line="183" w:lineRule="exact"/>
              <w:rPr>
                <w:sz w:val="20"/>
                <w:szCs w:val="20"/>
                <w:color w:val="auto"/>
              </w:rPr>
            </w:pPr>
            <w:r>
              <w:rPr>
                <w:rFonts w:ascii="Arial" w:cs="Arial" w:eastAsia="Arial" w:hAnsi="Arial"/>
                <w:sz w:val="16"/>
                <w:szCs w:val="16"/>
                <w:color w:val="auto"/>
              </w:rPr>
              <w:t>5,300,000</w:t>
            </w:r>
          </w:p>
        </w:tc>
        <w:tc>
          <w:tcPr>
            <w:tcW w:w="1000" w:type="dxa"/>
            <w:vAlign w:val="bottom"/>
            <w:tcBorders>
              <w:bottom w:val="single" w:sz="8" w:color="4A7EBB"/>
            </w:tcBorders>
          </w:tcPr>
          <w:p>
            <w:pPr>
              <w:spacing w:after="0"/>
              <w:rPr>
                <w:sz w:val="15"/>
                <w:szCs w:val="15"/>
                <w:color w:val="auto"/>
              </w:rPr>
            </w:pPr>
          </w:p>
        </w:tc>
        <w:tc>
          <w:tcPr>
            <w:tcW w:w="2520" w:type="dxa"/>
            <w:vAlign w:val="bottom"/>
            <w:tcBorders>
              <w:bottom w:val="single" w:sz="8" w:color="4A7EBB"/>
            </w:tcBorders>
          </w:tcPr>
          <w:p>
            <w:pPr>
              <w:jc w:val="center"/>
              <w:ind w:right="179"/>
              <w:spacing w:after="0" w:line="183" w:lineRule="exact"/>
              <w:rPr>
                <w:sz w:val="20"/>
                <w:szCs w:val="20"/>
                <w:color w:val="auto"/>
              </w:rPr>
            </w:pPr>
            <w:r>
              <w:rPr>
                <w:rFonts w:ascii="Arial" w:cs="Arial" w:eastAsia="Arial" w:hAnsi="Arial"/>
                <w:sz w:val="16"/>
                <w:szCs w:val="16"/>
                <w:color w:val="auto"/>
              </w:rPr>
              <w:t>12.6%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4377690</wp:posOffset>
            </wp:positionH>
            <wp:positionV relativeFrom="paragraph">
              <wp:posOffset>-650875</wp:posOffset>
            </wp:positionV>
            <wp:extent cx="8890" cy="65151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8890" cy="651510"/>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-650875</wp:posOffset>
            </wp:positionV>
            <wp:extent cx="8255" cy="65151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8255" cy="651510"/>
                    </a:xfrm>
                    <a:prstGeom prst="rect">
                      <a:avLst/>
                    </a:prstGeom>
                    <a:noFill/>
                  </pic:spPr>
                </pic:pic>
              </a:graphicData>
            </a:graphic>
          </wp:anchor>
        </w:drawing>
      </w:r>
    </w:p>
    <w:p>
      <w:pPr>
        <w:spacing w:after="0" w:line="164"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Board of Directors discusses succession planning at every meeting. The continued retention of the next generation of senior leadership is one of the Board’s highest priorities. Accordingly, in fiscal 2026, the Compensation Committee approved targeted retention grants of RSUs with 5-year cliff vesting to Jeffrey Goldfarb and Dana Perlman as well as to other senior executives in the aggregate of 378,062 shares. The retention grants were entirely focused on the succession of our next generation of leadership who will continue to drive the performance of our business. Additionally, in fiscal 2024, our Chairman and CEO was granted a one-time performance-based equity retention award contingent on TSR performance and a 3-year cliff vesting requirement in connection with the renegotiation of his employment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283210</wp:posOffset>
            </wp:positionV>
            <wp:extent cx="6292215"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20"/>
          <w:szCs w:val="20"/>
          <w:b w:val="1"/>
          <w:bCs w:val="1"/>
          <w:color w:val="4A7EBB"/>
        </w:rPr>
        <w:t xml:space="preserve">62 </w:t>
      </w:r>
      <w:r>
        <w:rPr>
          <w:rFonts w:ascii="Arial" w:cs="Arial" w:eastAsia="Arial" w:hAnsi="Arial"/>
          <w:sz w:val="20"/>
          <w:szCs w:val="20"/>
          <w:color w:val="808080"/>
        </w:rPr>
        <w:t xml:space="preserve">\ </w:t>
      </w:r>
      <w:r>
        <w:rPr>
          <w:sz w:val="1"/>
          <w:szCs w:val="1"/>
          <w:color w:val="auto"/>
        </w:rPr>
        <w:drawing>
          <wp:inline distT="0" distB="0" distL="0" distR="0">
            <wp:extent cx="266065" cy="154305"/>
            <wp:effectExtent l="0" t="0" r="0" b="0"/>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266065" cy="154305"/>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350520</wp:posOffset>
            </wp:positionV>
            <wp:extent cx="6292215" cy="260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left="4060"/>
        <w:spacing w:after="0"/>
        <w:rPr>
          <w:sz w:val="20"/>
          <w:szCs w:val="20"/>
          <w:color w:val="auto"/>
        </w:rPr>
      </w:pPr>
      <w:r>
        <w:rPr>
          <w:rFonts w:ascii="Arial" w:cs="Arial" w:eastAsia="Arial" w:hAnsi="Arial"/>
          <w:sz w:val="17"/>
          <w:szCs w:val="17"/>
          <w:color w:val="4A7EBB"/>
        </w:rPr>
        <w:t xml:space="preserve">Proposal No. 3 </w:t>
      </w:r>
      <w:r>
        <w:rPr>
          <w:rFonts w:ascii="Arial" w:cs="Arial" w:eastAsia="Arial" w:hAnsi="Arial"/>
          <w:sz w:val="17"/>
          <w:szCs w:val="17"/>
          <w:color w:val="000000"/>
        </w:rPr>
        <w:t>Approval of Our Amended 2023 Long-Term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24765</wp:posOffset>
            </wp:positionV>
            <wp:extent cx="6292215"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Annual share usage, or burn rate, under the 2023 Plan for the current fiscal year and last two fiscal years is shown below:</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20" w:type="dxa"/>
            <w:vAlign w:val="bottom"/>
            <w:tcBorders>
              <w:top w:val="single" w:sz="8" w:color="4A7EBB"/>
            </w:tcBorders>
            <w:shd w:val="clear" w:color="auto" w:fill="DBE5F1"/>
          </w:tcPr>
          <w:p>
            <w:pPr>
              <w:spacing w:after="0"/>
              <w:rPr>
                <w:sz w:val="17"/>
                <w:szCs w:val="17"/>
                <w:color w:val="auto"/>
              </w:rPr>
            </w:pPr>
          </w:p>
        </w:tc>
        <w:tc>
          <w:tcPr>
            <w:tcW w:w="480" w:type="dxa"/>
            <w:vAlign w:val="bottom"/>
            <w:tcBorders>
              <w:top w:val="single" w:sz="8" w:color="4A7EBB"/>
            </w:tcBorders>
            <w:shd w:val="clear" w:color="auto" w:fill="DBE5F1"/>
          </w:tcPr>
          <w:p>
            <w:pPr>
              <w:ind w:left="120"/>
              <w:spacing w:after="0"/>
              <w:rPr>
                <w:sz w:val="20"/>
                <w:szCs w:val="20"/>
                <w:color w:val="auto"/>
              </w:rPr>
            </w:pPr>
            <w:r>
              <w:rPr>
                <w:rFonts w:ascii="Arial" w:cs="Arial" w:eastAsia="Arial" w:hAnsi="Arial"/>
                <w:sz w:val="16"/>
                <w:szCs w:val="16"/>
                <w:b w:val="1"/>
                <w:bCs w:val="1"/>
                <w:color w:val="auto"/>
              </w:rPr>
              <w:t>​ ​</w:t>
            </w:r>
          </w:p>
        </w:tc>
        <w:tc>
          <w:tcPr>
            <w:tcW w:w="1820" w:type="dxa"/>
            <w:vAlign w:val="bottom"/>
            <w:tcBorders>
              <w:top w:val="single" w:sz="8" w:color="4A7EBB"/>
            </w:tcBorders>
            <w:shd w:val="clear" w:color="auto" w:fill="DBE5F1"/>
          </w:tcPr>
          <w:p>
            <w:pPr>
              <w:jc w:val="right"/>
              <w:ind w:right="79"/>
              <w:spacing w:after="0"/>
              <w:rPr>
                <w:sz w:val="20"/>
                <w:szCs w:val="20"/>
                <w:color w:val="auto"/>
              </w:rPr>
            </w:pPr>
            <w:r>
              <w:rPr>
                <w:rFonts w:ascii="Arial" w:cs="Arial" w:eastAsia="Arial" w:hAnsi="Arial"/>
                <w:sz w:val="16"/>
                <w:szCs w:val="16"/>
                <w:b w:val="1"/>
                <w:bCs w:val="1"/>
                <w:color w:val="auto"/>
              </w:rPr>
              <w:t>​ ​</w:t>
            </w:r>
          </w:p>
        </w:tc>
        <w:tc>
          <w:tcPr>
            <w:tcW w:w="1820" w:type="dxa"/>
            <w:vAlign w:val="bottom"/>
            <w:tcBorders>
              <w:top w:val="single" w:sz="8" w:color="4A7EBB"/>
            </w:tcBorders>
            <w:shd w:val="clear" w:color="auto" w:fill="DBE5F1"/>
          </w:tcPr>
          <w:p>
            <w:pPr>
              <w:jc w:val="right"/>
              <w:ind w:right="79"/>
              <w:spacing w:after="0"/>
              <w:rPr>
                <w:sz w:val="20"/>
                <w:szCs w:val="20"/>
                <w:color w:val="auto"/>
              </w:rPr>
            </w:pPr>
            <w:r>
              <w:rPr>
                <w:rFonts w:ascii="Arial" w:cs="Arial" w:eastAsia="Arial" w:hAnsi="Arial"/>
                <w:sz w:val="16"/>
                <w:szCs w:val="16"/>
                <w:b w:val="1"/>
                <w:bCs w:val="1"/>
                <w:color w:val="auto"/>
              </w:rPr>
              <w:t>​ ​</w:t>
            </w:r>
          </w:p>
        </w:tc>
        <w:tc>
          <w:tcPr>
            <w:tcW w:w="1380" w:type="dxa"/>
            <w:vAlign w:val="bottom"/>
            <w:tcBorders>
              <w:top w:val="single" w:sz="8" w:color="4A7EBB"/>
            </w:tcBorders>
            <w:shd w:val="clear" w:color="auto" w:fill="DBE5F1"/>
          </w:tcPr>
          <w:p>
            <w:pPr>
              <w:spacing w:after="0"/>
              <w:rPr>
                <w:sz w:val="17"/>
                <w:szCs w:val="17"/>
                <w:color w:val="auto"/>
              </w:rPr>
            </w:pPr>
          </w:p>
        </w:tc>
        <w:tc>
          <w:tcPr>
            <w:tcW w:w="1800" w:type="dxa"/>
            <w:vAlign w:val="bottom"/>
            <w:tcBorders>
              <w:top w:val="single" w:sz="8" w:color="4A7EBB"/>
            </w:tcBorders>
            <w:shd w:val="clear" w:color="auto" w:fill="DBE5F1"/>
          </w:tcPr>
          <w:p>
            <w:pPr>
              <w:jc w:val="right"/>
              <w:ind w:right="1579"/>
              <w:spacing w:after="0"/>
              <w:rPr>
                <w:sz w:val="20"/>
                <w:szCs w:val="20"/>
                <w:color w:val="auto"/>
              </w:rPr>
            </w:pPr>
            <w:r>
              <w:rPr>
                <w:rFonts w:ascii="Arial" w:cs="Arial" w:eastAsia="Arial" w:hAnsi="Arial"/>
                <w:sz w:val="16"/>
                <w:szCs w:val="16"/>
                <w:b w:val="1"/>
                <w:bCs w:val="1"/>
                <w:color w:val="auto"/>
              </w:rPr>
              <w:t>​</w:t>
            </w:r>
          </w:p>
        </w:tc>
      </w:tr>
      <w:tr>
        <w:trPr>
          <w:trHeight w:val="189"/>
        </w:trPr>
        <w:tc>
          <w:tcPr>
            <w:tcW w:w="2620" w:type="dxa"/>
            <w:vAlign w:val="bottom"/>
            <w:tcBorders>
              <w:bottom w:val="single" w:sz="8" w:color="4A7EBB"/>
            </w:tcBorders>
            <w:shd w:val="clear" w:color="auto" w:fill="DBE5F1"/>
          </w:tcPr>
          <w:p>
            <w:pPr>
              <w:spacing w:after="0"/>
              <w:rPr>
                <w:sz w:val="16"/>
                <w:szCs w:val="16"/>
                <w:color w:val="auto"/>
              </w:rPr>
            </w:pPr>
          </w:p>
        </w:tc>
        <w:tc>
          <w:tcPr>
            <w:tcW w:w="480" w:type="dxa"/>
            <w:vAlign w:val="bottom"/>
            <w:tcBorders>
              <w:bottom w:val="single" w:sz="8" w:color="4A7EBB"/>
            </w:tcBorders>
            <w:shd w:val="clear" w:color="auto" w:fill="DBE5F1"/>
          </w:tcPr>
          <w:p>
            <w:pPr>
              <w:spacing w:after="0"/>
              <w:rPr>
                <w:sz w:val="16"/>
                <w:szCs w:val="16"/>
                <w:color w:val="auto"/>
              </w:rPr>
            </w:pPr>
          </w:p>
        </w:tc>
        <w:tc>
          <w:tcPr>
            <w:tcW w:w="1820" w:type="dxa"/>
            <w:vAlign w:val="bottom"/>
            <w:tcBorders>
              <w:bottom w:val="single" w:sz="8" w:color="4A7EBB"/>
            </w:tcBorders>
            <w:shd w:val="clear" w:color="auto" w:fill="DBE5F1"/>
          </w:tcPr>
          <w:p>
            <w:pPr>
              <w:jc w:val="right"/>
              <w:ind w:right="719"/>
              <w:spacing w:after="0"/>
              <w:rPr>
                <w:sz w:val="20"/>
                <w:szCs w:val="20"/>
                <w:color w:val="auto"/>
              </w:rPr>
            </w:pPr>
            <w:r>
              <w:rPr>
                <w:rFonts w:ascii="Arial" w:cs="Arial" w:eastAsia="Arial" w:hAnsi="Arial"/>
                <w:sz w:val="16"/>
                <w:szCs w:val="16"/>
                <w:b w:val="1"/>
                <w:bCs w:val="1"/>
                <w:color w:val="auto"/>
              </w:rPr>
              <w:t>Fiscal 2026</w:t>
            </w:r>
          </w:p>
        </w:tc>
        <w:tc>
          <w:tcPr>
            <w:tcW w:w="1820" w:type="dxa"/>
            <w:vAlign w:val="bottom"/>
            <w:tcBorders>
              <w:bottom w:val="single" w:sz="8" w:color="4A7EBB"/>
            </w:tcBorders>
            <w:shd w:val="clear" w:color="auto" w:fill="DBE5F1"/>
          </w:tcPr>
          <w:p>
            <w:pPr>
              <w:jc w:val="right"/>
              <w:ind w:right="719"/>
              <w:spacing w:after="0"/>
              <w:rPr>
                <w:sz w:val="20"/>
                <w:szCs w:val="20"/>
                <w:color w:val="auto"/>
              </w:rPr>
            </w:pPr>
            <w:r>
              <w:rPr>
                <w:rFonts w:ascii="Arial" w:cs="Arial" w:eastAsia="Arial" w:hAnsi="Arial"/>
                <w:sz w:val="16"/>
                <w:szCs w:val="16"/>
                <w:b w:val="1"/>
                <w:bCs w:val="1"/>
                <w:color w:val="auto"/>
              </w:rPr>
              <w:t>Fiscal 2025</w:t>
            </w:r>
          </w:p>
        </w:tc>
        <w:tc>
          <w:tcPr>
            <w:tcW w:w="1380" w:type="dxa"/>
            <w:vAlign w:val="bottom"/>
            <w:tcBorders>
              <w:bottom w:val="single" w:sz="8" w:color="4A7EBB"/>
            </w:tcBorders>
            <w:shd w:val="clear" w:color="auto" w:fill="DBE5F1"/>
          </w:tcPr>
          <w:p>
            <w:pPr>
              <w:jc w:val="right"/>
              <w:ind w:right="279"/>
              <w:spacing w:after="0"/>
              <w:rPr>
                <w:sz w:val="20"/>
                <w:szCs w:val="20"/>
                <w:color w:val="auto"/>
              </w:rPr>
            </w:pPr>
            <w:r>
              <w:rPr>
                <w:rFonts w:ascii="Arial" w:cs="Arial" w:eastAsia="Arial" w:hAnsi="Arial"/>
                <w:sz w:val="16"/>
                <w:szCs w:val="16"/>
                <w:b w:val="1"/>
                <w:bCs w:val="1"/>
                <w:color w:val="auto"/>
              </w:rPr>
              <w:t>Fiscal 2024</w:t>
            </w:r>
          </w:p>
        </w:tc>
        <w:tc>
          <w:tcPr>
            <w:tcW w:w="1800" w:type="dxa"/>
            <w:vAlign w:val="bottom"/>
            <w:tcBorders>
              <w:bottom w:val="single" w:sz="8" w:color="4A7EBB"/>
            </w:tcBorders>
            <w:shd w:val="clear" w:color="auto" w:fill="DBE5F1"/>
          </w:tcPr>
          <w:p>
            <w:pPr>
              <w:jc w:val="right"/>
              <w:ind w:right="99"/>
              <w:spacing w:after="0"/>
              <w:rPr>
                <w:sz w:val="20"/>
                <w:szCs w:val="20"/>
                <w:color w:val="auto"/>
              </w:rPr>
            </w:pPr>
            <w:r>
              <w:rPr>
                <w:rFonts w:ascii="Arial" w:cs="Arial" w:eastAsia="Arial" w:hAnsi="Arial"/>
                <w:sz w:val="16"/>
                <w:szCs w:val="16"/>
                <w:b w:val="1"/>
                <w:bCs w:val="1"/>
                <w:color w:val="auto"/>
              </w:rPr>
              <w:t>3-Year Average</w:t>
            </w:r>
          </w:p>
        </w:tc>
      </w:tr>
      <w:tr>
        <w:trPr>
          <w:trHeight w:val="168"/>
        </w:trPr>
        <w:tc>
          <w:tcPr>
            <w:tcW w:w="2620" w:type="dxa"/>
            <w:vAlign w:val="bottom"/>
          </w:tcPr>
          <w:p>
            <w:pPr>
              <w:ind w:left="120"/>
              <w:spacing w:after="0" w:line="168" w:lineRule="exact"/>
              <w:rPr>
                <w:sz w:val="20"/>
                <w:szCs w:val="20"/>
                <w:color w:val="auto"/>
              </w:rPr>
            </w:pPr>
            <w:r>
              <w:rPr>
                <w:rFonts w:ascii="Arial" w:cs="Arial" w:eastAsia="Arial" w:hAnsi="Arial"/>
                <w:sz w:val="16"/>
                <w:szCs w:val="16"/>
                <w:color w:val="auto"/>
              </w:rPr>
              <w:t>Regular Annual Long-Term</w:t>
            </w:r>
          </w:p>
        </w:tc>
        <w:tc>
          <w:tcPr>
            <w:tcW w:w="4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203"/>
        </w:trPr>
        <w:tc>
          <w:tcPr>
            <w:tcW w:w="3100" w:type="dxa"/>
            <w:vAlign w:val="bottom"/>
            <w:tcBorders>
              <w:bottom w:val="single" w:sz="8" w:color="4A7EBB"/>
            </w:tcBorders>
            <w:gridSpan w:val="2"/>
          </w:tcPr>
          <w:p>
            <w:pPr>
              <w:ind w:left="120"/>
              <w:spacing w:after="0"/>
              <w:rPr>
                <w:sz w:val="20"/>
                <w:szCs w:val="20"/>
                <w:color w:val="auto"/>
              </w:rPr>
            </w:pPr>
            <w:r>
              <w:rPr>
                <w:rFonts w:ascii="Arial" w:cs="Arial" w:eastAsia="Arial" w:hAnsi="Arial"/>
                <w:sz w:val="16"/>
                <w:szCs w:val="16"/>
                <w:color w:val="auto"/>
              </w:rPr>
              <w:t>Incentive Grants</w:t>
            </w:r>
          </w:p>
        </w:tc>
        <w:tc>
          <w:tcPr>
            <w:tcW w:w="1820" w:type="dxa"/>
            <w:vAlign w:val="bottom"/>
            <w:tcBorders>
              <w:bottom w:val="single" w:sz="8" w:color="4A7EBB"/>
            </w:tcBorders>
          </w:tcPr>
          <w:p>
            <w:pPr>
              <w:jc w:val="right"/>
              <w:ind w:right="439"/>
              <w:spacing w:after="0"/>
              <w:rPr>
                <w:sz w:val="20"/>
                <w:szCs w:val="20"/>
                <w:color w:val="auto"/>
              </w:rPr>
            </w:pPr>
            <w:r>
              <w:rPr>
                <w:rFonts w:ascii="Arial" w:cs="Arial" w:eastAsia="Arial" w:hAnsi="Arial"/>
                <w:sz w:val="16"/>
                <w:szCs w:val="16"/>
                <w:color w:val="auto"/>
              </w:rPr>
              <w:t>856,971</w:t>
            </w:r>
          </w:p>
        </w:tc>
        <w:tc>
          <w:tcPr>
            <w:tcW w:w="1820" w:type="dxa"/>
            <w:vAlign w:val="bottom"/>
            <w:tcBorders>
              <w:bottom w:val="single" w:sz="8" w:color="4A7EBB"/>
            </w:tcBorders>
          </w:tcPr>
          <w:p>
            <w:pPr>
              <w:jc w:val="right"/>
              <w:ind w:right="439"/>
              <w:spacing w:after="0"/>
              <w:rPr>
                <w:sz w:val="20"/>
                <w:szCs w:val="20"/>
                <w:color w:val="auto"/>
              </w:rPr>
            </w:pPr>
            <w:r>
              <w:rPr>
                <w:rFonts w:ascii="Arial" w:cs="Arial" w:eastAsia="Arial" w:hAnsi="Arial"/>
                <w:sz w:val="16"/>
                <w:szCs w:val="16"/>
                <w:color w:val="auto"/>
              </w:rPr>
              <w:t>810,561</w:t>
            </w:r>
          </w:p>
        </w:tc>
        <w:tc>
          <w:tcPr>
            <w:tcW w:w="1380" w:type="dxa"/>
            <w:vAlign w:val="bottom"/>
            <w:tcBorders>
              <w:bottom w:val="single" w:sz="8" w:color="4A7EBB"/>
            </w:tcBorders>
          </w:tcPr>
          <w:p>
            <w:pPr>
              <w:jc w:val="right"/>
              <w:spacing w:after="0"/>
              <w:rPr>
                <w:sz w:val="20"/>
                <w:szCs w:val="20"/>
                <w:color w:val="auto"/>
              </w:rPr>
            </w:pPr>
            <w:r>
              <w:rPr>
                <w:rFonts w:ascii="Arial" w:cs="Arial" w:eastAsia="Arial" w:hAnsi="Arial"/>
                <w:sz w:val="16"/>
                <w:szCs w:val="16"/>
                <w:color w:val="auto"/>
              </w:rPr>
              <w:t>902,528</w:t>
            </w:r>
          </w:p>
        </w:tc>
        <w:tc>
          <w:tcPr>
            <w:tcW w:w="1800" w:type="dxa"/>
            <w:vAlign w:val="bottom"/>
            <w:tcBorders>
              <w:bottom w:val="single" w:sz="8" w:color="4A7EBB"/>
            </w:tcBorders>
          </w:tcPr>
          <w:p>
            <w:pPr>
              <w:jc w:val="right"/>
              <w:spacing w:after="0"/>
              <w:rPr>
                <w:sz w:val="20"/>
                <w:szCs w:val="20"/>
                <w:color w:val="auto"/>
              </w:rPr>
            </w:pPr>
            <w:r>
              <w:rPr>
                <w:rFonts w:ascii="Arial" w:cs="Arial" w:eastAsia="Arial" w:hAnsi="Arial"/>
                <w:sz w:val="16"/>
                <w:szCs w:val="16"/>
                <w:color w:val="auto"/>
              </w:rPr>
              <w:t>856,687</w:t>
            </w:r>
          </w:p>
        </w:tc>
      </w:tr>
      <w:tr>
        <w:trPr>
          <w:trHeight w:val="168"/>
        </w:trPr>
        <w:tc>
          <w:tcPr>
            <w:tcW w:w="3100" w:type="dxa"/>
            <w:vAlign w:val="bottom"/>
            <w:gridSpan w:val="2"/>
          </w:tcPr>
          <w:p>
            <w:pPr>
              <w:ind w:left="120"/>
              <w:spacing w:after="0" w:line="168" w:lineRule="exact"/>
              <w:rPr>
                <w:sz w:val="20"/>
                <w:szCs w:val="20"/>
                <w:color w:val="auto"/>
              </w:rPr>
            </w:pPr>
            <w:r>
              <w:rPr>
                <w:rFonts w:ascii="Arial" w:cs="Arial" w:eastAsia="Arial" w:hAnsi="Arial"/>
                <w:sz w:val="16"/>
                <w:szCs w:val="16"/>
                <w:color w:val="auto"/>
              </w:rPr>
              <w:t>Weighted Average Common</w:t>
            </w:r>
          </w:p>
        </w:tc>
        <w:tc>
          <w:tcPr>
            <w:tcW w:w="18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203"/>
        </w:trPr>
        <w:tc>
          <w:tcPr>
            <w:tcW w:w="3100" w:type="dxa"/>
            <w:vAlign w:val="bottom"/>
            <w:tcBorders>
              <w:bottom w:val="single" w:sz="8" w:color="4A7EBB"/>
            </w:tcBorders>
            <w:gridSpan w:val="2"/>
          </w:tcPr>
          <w:p>
            <w:pPr>
              <w:ind w:left="120"/>
              <w:spacing w:after="0"/>
              <w:rPr>
                <w:sz w:val="20"/>
                <w:szCs w:val="20"/>
                <w:color w:val="auto"/>
              </w:rPr>
            </w:pPr>
            <w:r>
              <w:rPr>
                <w:rFonts w:ascii="Arial" w:cs="Arial" w:eastAsia="Arial" w:hAnsi="Arial"/>
                <w:sz w:val="16"/>
                <w:szCs w:val="16"/>
                <w:color w:val="auto"/>
              </w:rPr>
              <w:t>Shares Outstanding</w:t>
            </w:r>
          </w:p>
        </w:tc>
        <w:tc>
          <w:tcPr>
            <w:tcW w:w="1820" w:type="dxa"/>
            <w:vAlign w:val="bottom"/>
            <w:tcBorders>
              <w:bottom w:val="single" w:sz="8" w:color="4A7EBB"/>
            </w:tcBorders>
          </w:tcPr>
          <w:p>
            <w:pPr>
              <w:jc w:val="right"/>
              <w:ind w:right="439"/>
              <w:spacing w:after="0"/>
              <w:rPr>
                <w:sz w:val="20"/>
                <w:szCs w:val="20"/>
                <w:color w:val="auto"/>
              </w:rPr>
            </w:pPr>
            <w:r>
              <w:rPr>
                <w:rFonts w:ascii="Arial" w:cs="Arial" w:eastAsia="Arial" w:hAnsi="Arial"/>
                <w:sz w:val="16"/>
                <w:szCs w:val="16"/>
                <w:color w:val="auto"/>
              </w:rPr>
              <w:t>42,734,000</w:t>
            </w:r>
          </w:p>
        </w:tc>
        <w:tc>
          <w:tcPr>
            <w:tcW w:w="1820" w:type="dxa"/>
            <w:vAlign w:val="bottom"/>
            <w:tcBorders>
              <w:bottom w:val="single" w:sz="8" w:color="4A7EBB"/>
            </w:tcBorders>
          </w:tcPr>
          <w:p>
            <w:pPr>
              <w:jc w:val="right"/>
              <w:ind w:right="439"/>
              <w:spacing w:after="0"/>
              <w:rPr>
                <w:sz w:val="20"/>
                <w:szCs w:val="20"/>
                <w:color w:val="auto"/>
              </w:rPr>
            </w:pPr>
            <w:r>
              <w:rPr>
                <w:rFonts w:ascii="Arial" w:cs="Arial" w:eastAsia="Arial" w:hAnsi="Arial"/>
                <w:sz w:val="16"/>
                <w:szCs w:val="16"/>
                <w:color w:val="auto"/>
              </w:rPr>
              <w:t>44,450,000</w:t>
            </w:r>
          </w:p>
        </w:tc>
        <w:tc>
          <w:tcPr>
            <w:tcW w:w="1380" w:type="dxa"/>
            <w:vAlign w:val="bottom"/>
            <w:tcBorders>
              <w:bottom w:val="single" w:sz="8" w:color="4A7EBB"/>
            </w:tcBorders>
          </w:tcPr>
          <w:p>
            <w:pPr>
              <w:jc w:val="right"/>
              <w:spacing w:after="0"/>
              <w:rPr>
                <w:sz w:val="20"/>
                <w:szCs w:val="20"/>
                <w:color w:val="auto"/>
              </w:rPr>
            </w:pPr>
            <w:r>
              <w:rPr>
                <w:rFonts w:ascii="Arial" w:cs="Arial" w:eastAsia="Arial" w:hAnsi="Arial"/>
                <w:sz w:val="16"/>
                <w:szCs w:val="16"/>
                <w:color w:val="auto"/>
              </w:rPr>
              <w:t>45,859,000</w:t>
            </w:r>
          </w:p>
        </w:tc>
        <w:tc>
          <w:tcPr>
            <w:tcW w:w="1800" w:type="dxa"/>
            <w:vAlign w:val="bottom"/>
            <w:tcBorders>
              <w:bottom w:val="single" w:sz="8" w:color="4A7EBB"/>
            </w:tcBorders>
          </w:tcPr>
          <w:p>
            <w:pPr>
              <w:jc w:val="right"/>
              <w:spacing w:after="0"/>
              <w:rPr>
                <w:sz w:val="20"/>
                <w:szCs w:val="20"/>
                <w:color w:val="auto"/>
              </w:rPr>
            </w:pPr>
            <w:r>
              <w:rPr>
                <w:rFonts w:ascii="Arial" w:cs="Arial" w:eastAsia="Arial" w:hAnsi="Arial"/>
                <w:sz w:val="16"/>
                <w:szCs w:val="16"/>
                <w:color w:val="auto"/>
              </w:rPr>
              <w:t>44,347,667</w:t>
            </w:r>
          </w:p>
        </w:tc>
      </w:tr>
      <w:tr>
        <w:trPr>
          <w:trHeight w:val="183"/>
        </w:trPr>
        <w:tc>
          <w:tcPr>
            <w:tcW w:w="3100" w:type="dxa"/>
            <w:vAlign w:val="bottom"/>
            <w:tcBorders>
              <w:bottom w:val="single" w:sz="8" w:color="4A7EBB"/>
            </w:tcBorders>
            <w:gridSpan w:val="2"/>
            <w:shd w:val="clear" w:color="auto" w:fill="F2F2F2"/>
          </w:tcPr>
          <w:p>
            <w:pPr>
              <w:ind w:left="120"/>
              <w:spacing w:after="0" w:line="183" w:lineRule="exact"/>
              <w:rPr>
                <w:sz w:val="20"/>
                <w:szCs w:val="20"/>
                <w:color w:val="auto"/>
              </w:rPr>
            </w:pPr>
            <w:r>
              <w:rPr>
                <w:rFonts w:ascii="Arial" w:cs="Arial" w:eastAsia="Arial" w:hAnsi="Arial"/>
                <w:sz w:val="14"/>
                <w:szCs w:val="14"/>
                <w:color w:val="auto"/>
              </w:rPr>
              <w:t xml:space="preserve">Burn Rate </w:t>
            </w:r>
            <w:r>
              <w:rPr>
                <w:rFonts w:ascii="Arial" w:cs="Arial" w:eastAsia="Arial" w:hAnsi="Arial"/>
                <w:sz w:val="21"/>
                <w:szCs w:val="21"/>
                <w:color w:val="auto"/>
                <w:vertAlign w:val="superscript"/>
              </w:rPr>
              <w:t>(1)</w:t>
            </w:r>
          </w:p>
        </w:tc>
        <w:tc>
          <w:tcPr>
            <w:tcW w:w="1820" w:type="dxa"/>
            <w:vAlign w:val="bottom"/>
            <w:tcBorders>
              <w:bottom w:val="single" w:sz="8" w:color="4A7EBB"/>
            </w:tcBorders>
            <w:shd w:val="clear" w:color="auto" w:fill="F2F2F2"/>
          </w:tcPr>
          <w:p>
            <w:pPr>
              <w:jc w:val="right"/>
              <w:ind w:right="439"/>
              <w:spacing w:after="0" w:line="183" w:lineRule="exact"/>
              <w:rPr>
                <w:sz w:val="20"/>
                <w:szCs w:val="20"/>
                <w:color w:val="auto"/>
              </w:rPr>
            </w:pPr>
            <w:r>
              <w:rPr>
                <w:rFonts w:ascii="Arial" w:cs="Arial" w:eastAsia="Arial" w:hAnsi="Arial"/>
                <w:sz w:val="16"/>
                <w:szCs w:val="16"/>
                <w:color w:val="auto"/>
              </w:rPr>
              <w:t>2.01%</w:t>
            </w:r>
          </w:p>
        </w:tc>
        <w:tc>
          <w:tcPr>
            <w:tcW w:w="1820" w:type="dxa"/>
            <w:vAlign w:val="bottom"/>
            <w:tcBorders>
              <w:bottom w:val="single" w:sz="8" w:color="4A7EBB"/>
            </w:tcBorders>
            <w:shd w:val="clear" w:color="auto" w:fill="F2F2F2"/>
          </w:tcPr>
          <w:p>
            <w:pPr>
              <w:jc w:val="right"/>
              <w:ind w:right="439"/>
              <w:spacing w:after="0" w:line="183" w:lineRule="exact"/>
              <w:rPr>
                <w:sz w:val="20"/>
                <w:szCs w:val="20"/>
                <w:color w:val="auto"/>
              </w:rPr>
            </w:pPr>
            <w:r>
              <w:rPr>
                <w:rFonts w:ascii="Arial" w:cs="Arial" w:eastAsia="Arial" w:hAnsi="Arial"/>
                <w:sz w:val="16"/>
                <w:szCs w:val="16"/>
                <w:color w:val="auto"/>
              </w:rPr>
              <w:t>1.82%</w:t>
            </w:r>
          </w:p>
        </w:tc>
        <w:tc>
          <w:tcPr>
            <w:tcW w:w="1380" w:type="dxa"/>
            <w:vAlign w:val="bottom"/>
            <w:tcBorders>
              <w:bottom w:val="single" w:sz="8" w:color="4A7EBB"/>
            </w:tcBorders>
            <w:shd w:val="clear" w:color="auto" w:fill="F2F2F2"/>
          </w:tcPr>
          <w:p>
            <w:pPr>
              <w:jc w:val="right"/>
              <w:spacing w:after="0" w:line="183" w:lineRule="exact"/>
              <w:rPr>
                <w:sz w:val="20"/>
                <w:szCs w:val="20"/>
                <w:color w:val="auto"/>
              </w:rPr>
            </w:pPr>
            <w:r>
              <w:rPr>
                <w:rFonts w:ascii="Arial" w:cs="Arial" w:eastAsia="Arial" w:hAnsi="Arial"/>
                <w:sz w:val="16"/>
                <w:szCs w:val="16"/>
                <w:color w:val="auto"/>
              </w:rPr>
              <w:t>1.97%</w:t>
            </w:r>
          </w:p>
        </w:tc>
        <w:tc>
          <w:tcPr>
            <w:tcW w:w="1800" w:type="dxa"/>
            <w:vAlign w:val="bottom"/>
            <w:tcBorders>
              <w:bottom w:val="single" w:sz="8" w:color="4A7EBB"/>
            </w:tcBorders>
            <w:shd w:val="clear" w:color="auto" w:fill="F2F2F2"/>
          </w:tcPr>
          <w:p>
            <w:pPr>
              <w:jc w:val="right"/>
              <w:spacing w:after="0" w:line="183" w:lineRule="exact"/>
              <w:rPr>
                <w:sz w:val="20"/>
                <w:szCs w:val="20"/>
                <w:color w:val="auto"/>
              </w:rPr>
            </w:pPr>
            <w:r>
              <w:rPr>
                <w:rFonts w:ascii="Arial" w:cs="Arial" w:eastAsia="Arial" w:hAnsi="Arial"/>
                <w:sz w:val="16"/>
                <w:szCs w:val="16"/>
                <w:color w:val="auto"/>
              </w:rPr>
              <w:t>1.93%</w:t>
            </w:r>
          </w:p>
        </w:tc>
      </w:tr>
      <w:tr>
        <w:trPr>
          <w:trHeight w:val="183"/>
        </w:trPr>
        <w:tc>
          <w:tcPr>
            <w:tcW w:w="3100" w:type="dxa"/>
            <w:vAlign w:val="bottom"/>
            <w:tcBorders>
              <w:bottom w:val="single" w:sz="8" w:color="4A7EBB"/>
            </w:tcBorders>
            <w:gridSpan w:val="2"/>
          </w:tcPr>
          <w:p>
            <w:pPr>
              <w:ind w:left="120"/>
              <w:spacing w:after="0" w:line="183" w:lineRule="exact"/>
              <w:rPr>
                <w:sz w:val="20"/>
                <w:szCs w:val="20"/>
                <w:color w:val="auto"/>
              </w:rPr>
            </w:pPr>
            <w:r>
              <w:rPr>
                <w:rFonts w:ascii="Arial" w:cs="Arial" w:eastAsia="Arial" w:hAnsi="Arial"/>
                <w:sz w:val="14"/>
                <w:szCs w:val="14"/>
                <w:color w:val="auto"/>
              </w:rPr>
              <w:t xml:space="preserve">Retention Grants </w:t>
            </w:r>
            <w:r>
              <w:rPr>
                <w:rFonts w:ascii="Arial" w:cs="Arial" w:eastAsia="Arial" w:hAnsi="Arial"/>
                <w:sz w:val="21"/>
                <w:szCs w:val="21"/>
                <w:color w:val="auto"/>
                <w:vertAlign w:val="superscript"/>
              </w:rPr>
              <w:t>(2)</w:t>
            </w:r>
          </w:p>
        </w:tc>
        <w:tc>
          <w:tcPr>
            <w:tcW w:w="1820" w:type="dxa"/>
            <w:vAlign w:val="bottom"/>
            <w:tcBorders>
              <w:bottom w:val="single" w:sz="8" w:color="4A7EBB"/>
            </w:tcBorders>
          </w:tcPr>
          <w:p>
            <w:pPr>
              <w:jc w:val="right"/>
              <w:ind w:right="439"/>
              <w:spacing w:after="0" w:line="183" w:lineRule="exact"/>
              <w:rPr>
                <w:sz w:val="20"/>
                <w:szCs w:val="20"/>
                <w:color w:val="auto"/>
              </w:rPr>
            </w:pPr>
            <w:r>
              <w:rPr>
                <w:rFonts w:ascii="Arial" w:cs="Arial" w:eastAsia="Arial" w:hAnsi="Arial"/>
                <w:sz w:val="16"/>
                <w:szCs w:val="16"/>
                <w:color w:val="auto"/>
              </w:rPr>
              <w:t>378,062</w:t>
            </w:r>
          </w:p>
        </w:tc>
        <w:tc>
          <w:tcPr>
            <w:tcW w:w="1820" w:type="dxa"/>
            <w:vAlign w:val="bottom"/>
            <w:tcBorders>
              <w:bottom w:val="single" w:sz="8" w:color="4A7EBB"/>
            </w:tcBorders>
          </w:tcPr>
          <w:p>
            <w:pPr>
              <w:jc w:val="right"/>
              <w:ind w:right="439"/>
              <w:spacing w:after="0" w:line="183" w:lineRule="exact"/>
              <w:rPr>
                <w:sz w:val="20"/>
                <w:szCs w:val="20"/>
                <w:color w:val="auto"/>
              </w:rPr>
            </w:pPr>
            <w:r>
              <w:rPr>
                <w:rFonts w:ascii="Arial" w:cs="Arial" w:eastAsia="Arial" w:hAnsi="Arial"/>
                <w:sz w:val="16"/>
                <w:szCs w:val="16"/>
                <w:color w:val="auto"/>
              </w:rPr>
              <w:t>-</w:t>
            </w:r>
          </w:p>
        </w:tc>
        <w:tc>
          <w:tcPr>
            <w:tcW w:w="1380" w:type="dxa"/>
            <w:vAlign w:val="bottom"/>
            <w:tcBorders>
              <w:bottom w:val="single" w:sz="8" w:color="4A7EBB"/>
            </w:tcBorders>
          </w:tcPr>
          <w:p>
            <w:pPr>
              <w:jc w:val="right"/>
              <w:spacing w:after="0" w:line="183" w:lineRule="exact"/>
              <w:rPr>
                <w:sz w:val="20"/>
                <w:szCs w:val="20"/>
                <w:color w:val="auto"/>
              </w:rPr>
            </w:pPr>
            <w:r>
              <w:rPr>
                <w:rFonts w:ascii="Arial" w:cs="Arial" w:eastAsia="Arial" w:hAnsi="Arial"/>
                <w:sz w:val="16"/>
                <w:szCs w:val="16"/>
                <w:color w:val="auto"/>
              </w:rPr>
              <w:t>700,000</w:t>
            </w:r>
          </w:p>
        </w:tc>
        <w:tc>
          <w:tcPr>
            <w:tcW w:w="1800" w:type="dxa"/>
            <w:vAlign w:val="bottom"/>
            <w:tcBorders>
              <w:bottom w:val="single" w:sz="8" w:color="4A7EBB"/>
            </w:tcBorders>
          </w:tcPr>
          <w:p>
            <w:pPr>
              <w:jc w:val="right"/>
              <w:spacing w:after="0" w:line="183" w:lineRule="exact"/>
              <w:rPr>
                <w:sz w:val="20"/>
                <w:szCs w:val="20"/>
                <w:color w:val="auto"/>
              </w:rPr>
            </w:pPr>
            <w:r>
              <w:rPr>
                <w:rFonts w:ascii="Arial" w:cs="Arial" w:eastAsia="Arial" w:hAnsi="Arial"/>
                <w:sz w:val="16"/>
                <w:szCs w:val="16"/>
                <w:color w:val="auto"/>
              </w:rPr>
              <w:t>359,354</w:t>
            </w:r>
          </w:p>
        </w:tc>
      </w:tr>
      <w:tr>
        <w:trPr>
          <w:trHeight w:val="183"/>
        </w:trPr>
        <w:tc>
          <w:tcPr>
            <w:tcW w:w="3100" w:type="dxa"/>
            <w:vAlign w:val="bottom"/>
            <w:tcBorders>
              <w:bottom w:val="single" w:sz="8" w:color="4A7EBB"/>
            </w:tcBorders>
            <w:gridSpan w:val="2"/>
            <w:shd w:val="clear" w:color="auto" w:fill="F2F2F2"/>
          </w:tcPr>
          <w:p>
            <w:pPr>
              <w:ind w:left="120"/>
              <w:spacing w:after="0" w:line="183" w:lineRule="exact"/>
              <w:rPr>
                <w:sz w:val="20"/>
                <w:szCs w:val="20"/>
                <w:color w:val="auto"/>
              </w:rPr>
            </w:pPr>
            <w:r>
              <w:rPr>
                <w:rFonts w:ascii="Arial" w:cs="Arial" w:eastAsia="Arial" w:hAnsi="Arial"/>
                <w:sz w:val="14"/>
                <w:szCs w:val="14"/>
                <w:color w:val="auto"/>
              </w:rPr>
              <w:t xml:space="preserve">Burn Rate </w:t>
            </w:r>
            <w:r>
              <w:rPr>
                <w:rFonts w:ascii="Arial" w:cs="Arial" w:eastAsia="Arial" w:hAnsi="Arial"/>
                <w:sz w:val="21"/>
                <w:szCs w:val="21"/>
                <w:color w:val="auto"/>
                <w:vertAlign w:val="superscript"/>
              </w:rPr>
              <w:t>(3)</w:t>
            </w:r>
          </w:p>
        </w:tc>
        <w:tc>
          <w:tcPr>
            <w:tcW w:w="1820" w:type="dxa"/>
            <w:vAlign w:val="bottom"/>
            <w:tcBorders>
              <w:bottom w:val="single" w:sz="8" w:color="4A7EBB"/>
            </w:tcBorders>
            <w:shd w:val="clear" w:color="auto" w:fill="F2F2F2"/>
          </w:tcPr>
          <w:p>
            <w:pPr>
              <w:jc w:val="right"/>
              <w:ind w:right="439"/>
              <w:spacing w:after="0" w:line="183" w:lineRule="exact"/>
              <w:rPr>
                <w:sz w:val="20"/>
                <w:szCs w:val="20"/>
                <w:color w:val="auto"/>
              </w:rPr>
            </w:pPr>
            <w:r>
              <w:rPr>
                <w:rFonts w:ascii="Arial" w:cs="Arial" w:eastAsia="Arial" w:hAnsi="Arial"/>
                <w:sz w:val="16"/>
                <w:szCs w:val="16"/>
                <w:color w:val="auto"/>
              </w:rPr>
              <w:t>2.89%</w:t>
            </w:r>
          </w:p>
        </w:tc>
        <w:tc>
          <w:tcPr>
            <w:tcW w:w="1820" w:type="dxa"/>
            <w:vAlign w:val="bottom"/>
            <w:tcBorders>
              <w:bottom w:val="single" w:sz="8" w:color="4A7EBB"/>
            </w:tcBorders>
            <w:shd w:val="clear" w:color="auto" w:fill="F2F2F2"/>
          </w:tcPr>
          <w:p>
            <w:pPr>
              <w:jc w:val="right"/>
              <w:ind w:right="439"/>
              <w:spacing w:after="0" w:line="183" w:lineRule="exact"/>
              <w:rPr>
                <w:sz w:val="20"/>
                <w:szCs w:val="20"/>
                <w:color w:val="auto"/>
              </w:rPr>
            </w:pPr>
            <w:r>
              <w:rPr>
                <w:rFonts w:ascii="Arial" w:cs="Arial" w:eastAsia="Arial" w:hAnsi="Arial"/>
                <w:sz w:val="16"/>
                <w:szCs w:val="16"/>
                <w:color w:val="auto"/>
              </w:rPr>
              <w:t>1.82%</w:t>
            </w:r>
          </w:p>
        </w:tc>
        <w:tc>
          <w:tcPr>
            <w:tcW w:w="1380" w:type="dxa"/>
            <w:vAlign w:val="bottom"/>
            <w:tcBorders>
              <w:bottom w:val="single" w:sz="8" w:color="4A7EBB"/>
            </w:tcBorders>
            <w:shd w:val="clear" w:color="auto" w:fill="F2F2F2"/>
          </w:tcPr>
          <w:p>
            <w:pPr>
              <w:jc w:val="right"/>
              <w:spacing w:after="0" w:line="183" w:lineRule="exact"/>
              <w:rPr>
                <w:sz w:val="20"/>
                <w:szCs w:val="20"/>
                <w:color w:val="auto"/>
              </w:rPr>
            </w:pPr>
            <w:r>
              <w:rPr>
                <w:rFonts w:ascii="Arial" w:cs="Arial" w:eastAsia="Arial" w:hAnsi="Arial"/>
                <w:sz w:val="16"/>
                <w:szCs w:val="16"/>
                <w:color w:val="auto"/>
              </w:rPr>
              <w:t>3.49%</w:t>
            </w:r>
          </w:p>
        </w:tc>
        <w:tc>
          <w:tcPr>
            <w:tcW w:w="1800" w:type="dxa"/>
            <w:vAlign w:val="bottom"/>
            <w:tcBorders>
              <w:bottom w:val="single" w:sz="8" w:color="4A7EBB"/>
            </w:tcBorders>
            <w:shd w:val="clear" w:color="auto" w:fill="F2F2F2"/>
          </w:tcPr>
          <w:p>
            <w:pPr>
              <w:jc w:val="right"/>
              <w:spacing w:after="0" w:line="183" w:lineRule="exact"/>
              <w:rPr>
                <w:sz w:val="20"/>
                <w:szCs w:val="20"/>
                <w:color w:val="auto"/>
              </w:rPr>
            </w:pPr>
            <w:r>
              <w:rPr>
                <w:rFonts w:ascii="Arial" w:cs="Arial" w:eastAsia="Arial" w:hAnsi="Arial"/>
                <w:sz w:val="16"/>
                <w:szCs w:val="16"/>
                <w:color w:val="auto"/>
              </w:rPr>
              <w:t>2.74%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5234940</wp:posOffset>
            </wp:positionH>
            <wp:positionV relativeFrom="paragraph">
              <wp:posOffset>-265430</wp:posOffset>
            </wp:positionV>
            <wp:extent cx="8890" cy="26606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8890" cy="266065"/>
                    </a:xfrm>
                    <a:prstGeom prst="rect">
                      <a:avLst/>
                    </a:prstGeom>
                    <a:noFill/>
                  </pic:spPr>
                </pic:pic>
              </a:graphicData>
            </a:graphic>
          </wp:anchor>
        </w:drawing>
        <w:drawing>
          <wp:anchor simplePos="0" relativeHeight="251657728" behindDoc="1" locked="0" layoutInCell="0" allowOverlap="1">
            <wp:simplePos x="0" y="0"/>
            <wp:positionH relativeFrom="column">
              <wp:posOffset>4077970</wp:posOffset>
            </wp:positionH>
            <wp:positionV relativeFrom="paragraph">
              <wp:posOffset>-265430</wp:posOffset>
            </wp:positionV>
            <wp:extent cx="8890" cy="26606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8890" cy="266065"/>
                    </a:xfrm>
                    <a:prstGeom prst="rect">
                      <a:avLst/>
                    </a:prstGeom>
                    <a:noFill/>
                  </pic:spPr>
                </pic:pic>
              </a:graphicData>
            </a:graphic>
          </wp:anchor>
        </w:drawing>
        <w:drawing>
          <wp:anchor simplePos="0" relativeHeight="251657728" behindDoc="1" locked="0" layoutInCell="0" allowOverlap="1">
            <wp:simplePos x="0" y="0"/>
            <wp:positionH relativeFrom="column">
              <wp:posOffset>2920365</wp:posOffset>
            </wp:positionH>
            <wp:positionV relativeFrom="paragraph">
              <wp:posOffset>-265430</wp:posOffset>
            </wp:positionV>
            <wp:extent cx="8255" cy="26606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8255" cy="266065"/>
                    </a:xfrm>
                    <a:prstGeom prst="rect">
                      <a:avLst/>
                    </a:prstGeom>
                    <a:noFill/>
                  </pic:spPr>
                </pic:pic>
              </a:graphicData>
            </a:graphic>
          </wp:anchor>
        </w:drawing>
        <w:drawing>
          <wp:anchor simplePos="0" relativeHeight="251657728" behindDoc="1" locked="0" layoutInCell="0" allowOverlap="1">
            <wp:simplePos x="0" y="0"/>
            <wp:positionH relativeFrom="column">
              <wp:posOffset>5234940</wp:posOffset>
            </wp:positionH>
            <wp:positionV relativeFrom="paragraph">
              <wp:posOffset>-890905</wp:posOffset>
            </wp:positionV>
            <wp:extent cx="8890" cy="25717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8890" cy="257175"/>
                    </a:xfrm>
                    <a:prstGeom prst="rect">
                      <a:avLst/>
                    </a:prstGeom>
                    <a:noFill/>
                  </pic:spPr>
                </pic:pic>
              </a:graphicData>
            </a:graphic>
          </wp:anchor>
        </w:drawing>
        <w:drawing>
          <wp:anchor simplePos="0" relativeHeight="251657728" behindDoc="1" locked="0" layoutInCell="0" allowOverlap="1">
            <wp:simplePos x="0" y="0"/>
            <wp:positionH relativeFrom="column">
              <wp:posOffset>4077970</wp:posOffset>
            </wp:positionH>
            <wp:positionV relativeFrom="paragraph">
              <wp:posOffset>-890905</wp:posOffset>
            </wp:positionV>
            <wp:extent cx="8890" cy="25717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8890" cy="257175"/>
                    </a:xfrm>
                    <a:prstGeom prst="rect">
                      <a:avLst/>
                    </a:prstGeom>
                    <a:noFill/>
                  </pic:spPr>
                </pic:pic>
              </a:graphicData>
            </a:graphic>
          </wp:anchor>
        </w:drawing>
        <w:drawing>
          <wp:anchor simplePos="0" relativeHeight="251657728" behindDoc="1" locked="0" layoutInCell="0" allowOverlap="1">
            <wp:simplePos x="0" y="0"/>
            <wp:positionH relativeFrom="column">
              <wp:posOffset>2920365</wp:posOffset>
            </wp:positionH>
            <wp:positionV relativeFrom="paragraph">
              <wp:posOffset>-890905</wp:posOffset>
            </wp:positionV>
            <wp:extent cx="8255" cy="25717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8255" cy="257175"/>
                    </a:xfrm>
                    <a:prstGeom prst="rect">
                      <a:avLst/>
                    </a:prstGeom>
                    <a:noFill/>
                  </pic:spPr>
                </pic:pic>
              </a:graphicData>
            </a:graphic>
          </wp:anchor>
        </w:drawing>
        <w:drawing>
          <wp:anchor simplePos="0" relativeHeight="251657728" behindDoc="1" locked="0" layoutInCell="0" allowOverlap="1">
            <wp:simplePos x="0" y="0"/>
            <wp:positionH relativeFrom="column">
              <wp:posOffset>1763395</wp:posOffset>
            </wp:positionH>
            <wp:positionV relativeFrom="paragraph">
              <wp:posOffset>-890905</wp:posOffset>
            </wp:positionV>
            <wp:extent cx="8255" cy="89154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8255" cy="891540"/>
                    </a:xfrm>
                    <a:prstGeom prst="rect">
                      <a:avLst/>
                    </a:prstGeom>
                    <a:noFill/>
                  </pic:spPr>
                </pic:pic>
              </a:graphicData>
            </a:graphic>
          </wp:anchor>
        </w:drawing>
      </w:r>
    </w:p>
    <w:p>
      <w:pPr>
        <w:spacing w:after="0" w:line="128" w:lineRule="exact"/>
        <w:rPr>
          <w:sz w:val="20"/>
          <w:szCs w:val="20"/>
          <w:color w:val="auto"/>
        </w:rPr>
      </w:pPr>
    </w:p>
    <w:p>
      <w:pPr>
        <w:ind w:left="340" w:right="20" w:hanging="332"/>
        <w:spacing w:after="0" w:line="286" w:lineRule="auto"/>
        <w:tabs>
          <w:tab w:leader="none" w:pos="340" w:val="left"/>
        </w:tabs>
        <w:numPr>
          <w:ilvl w:val="0"/>
          <w:numId w:val="99"/>
        </w:numPr>
        <w:rPr>
          <w:rFonts w:ascii="Arial" w:cs="Arial" w:eastAsia="Arial" w:hAnsi="Arial"/>
          <w:sz w:val="16"/>
          <w:szCs w:val="16"/>
          <w:color w:val="auto"/>
        </w:rPr>
      </w:pPr>
      <w:r>
        <w:rPr>
          <w:rFonts w:ascii="Arial" w:cs="Arial" w:eastAsia="Arial" w:hAnsi="Arial"/>
          <w:sz w:val="16"/>
          <w:szCs w:val="16"/>
          <w:color w:val="auto"/>
        </w:rPr>
        <w:t>Calculated by dividing the number of shares granted for regular long-term incentive awards, excluding retention awards, during each fiscal year by the basic weighted average number of shares of Common Stock outstanding for that fiscal year.</w:t>
      </w:r>
    </w:p>
    <w:p>
      <w:pPr>
        <w:spacing w:after="0" w:line="101" w:lineRule="exact"/>
        <w:rPr>
          <w:rFonts w:ascii="Arial" w:cs="Arial" w:eastAsia="Arial" w:hAnsi="Arial"/>
          <w:sz w:val="16"/>
          <w:szCs w:val="16"/>
          <w:color w:val="auto"/>
        </w:rPr>
      </w:pPr>
    </w:p>
    <w:p>
      <w:pPr>
        <w:jc w:val="both"/>
        <w:ind w:left="340" w:right="20" w:hanging="332"/>
        <w:spacing w:after="0" w:line="266" w:lineRule="auto"/>
        <w:tabs>
          <w:tab w:leader="none" w:pos="340" w:val="left"/>
        </w:tabs>
        <w:numPr>
          <w:ilvl w:val="0"/>
          <w:numId w:val="99"/>
        </w:numPr>
        <w:rPr>
          <w:rFonts w:ascii="Arial" w:cs="Arial" w:eastAsia="Arial" w:hAnsi="Arial"/>
          <w:sz w:val="16"/>
          <w:szCs w:val="16"/>
          <w:color w:val="auto"/>
        </w:rPr>
      </w:pPr>
      <w:r>
        <w:rPr>
          <w:rFonts w:ascii="Arial" w:cs="Arial" w:eastAsia="Arial" w:hAnsi="Arial"/>
          <w:sz w:val="16"/>
          <w:szCs w:val="16"/>
          <w:color w:val="auto"/>
        </w:rPr>
        <w:t>Includes (i) in fiscal 2026, targeted retention grants of RSU awards with 5-year cliff vesting granted to Jeffrey Goldfarb and Dana Perlman as well as to other senior executives and (ii) in fiscal 2024, a one-time performance-based equity award contingent on TSR performance and a 3-year cliff vesting granted to Morris Goldfarb in connection with the renegotiation of his employment contract.</w:t>
      </w:r>
    </w:p>
    <w:p>
      <w:pPr>
        <w:spacing w:after="0" w:line="117" w:lineRule="exact"/>
        <w:rPr>
          <w:rFonts w:ascii="Arial" w:cs="Arial" w:eastAsia="Arial" w:hAnsi="Arial"/>
          <w:sz w:val="16"/>
          <w:szCs w:val="16"/>
          <w:color w:val="auto"/>
        </w:rPr>
      </w:pPr>
    </w:p>
    <w:p>
      <w:pPr>
        <w:ind w:left="340" w:right="20" w:hanging="332"/>
        <w:spacing w:after="0" w:line="286" w:lineRule="auto"/>
        <w:tabs>
          <w:tab w:leader="none" w:pos="340" w:val="left"/>
        </w:tabs>
        <w:numPr>
          <w:ilvl w:val="0"/>
          <w:numId w:val="99"/>
        </w:numPr>
        <w:rPr>
          <w:rFonts w:ascii="Arial" w:cs="Arial" w:eastAsia="Arial" w:hAnsi="Arial"/>
          <w:sz w:val="16"/>
          <w:szCs w:val="16"/>
          <w:color w:val="auto"/>
        </w:rPr>
      </w:pPr>
      <w:r>
        <w:rPr>
          <w:rFonts w:ascii="Arial" w:cs="Arial" w:eastAsia="Arial" w:hAnsi="Arial"/>
          <w:sz w:val="16"/>
          <w:szCs w:val="16"/>
          <w:color w:val="auto"/>
        </w:rPr>
        <w:t>Calculated by dividing the total number of shares granted during each fiscal year by the basic weighted average number of shares of Common Stock outstanding for that fiscal year.</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During this period, G-III repurchased 5,966,676 shares of Common Stock.</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2023 Plan contains provisions that support stockholder interests and demonstrate good governance practices:</w:t>
      </w:r>
    </w:p>
    <w:p>
      <w:pPr>
        <w:spacing w:after="0" w:line="212" w:lineRule="exact"/>
        <w:rPr>
          <w:sz w:val="20"/>
          <w:szCs w:val="20"/>
          <w:color w:val="auto"/>
        </w:rPr>
      </w:pPr>
    </w:p>
    <w:p>
      <w:pPr>
        <w:jc w:val="both"/>
        <w:ind w:left="680" w:hanging="321"/>
        <w:spacing w:after="0" w:line="243" w:lineRule="auto"/>
        <w:tabs>
          <w:tab w:leader="none" w:pos="680" w:val="left"/>
        </w:tabs>
        <w:numPr>
          <w:ilvl w:val="0"/>
          <w:numId w:val="100"/>
        </w:numPr>
        <w:rPr>
          <w:rFonts w:ascii="Times New Roman" w:cs="Times New Roman" w:eastAsia="Times New Roman" w:hAnsi="Times New Roman"/>
          <w:sz w:val="18"/>
          <w:szCs w:val="18"/>
          <w:color w:val="548DD4"/>
        </w:rPr>
      </w:pPr>
      <w:r>
        <w:rPr>
          <w:rFonts w:ascii="Arial" w:cs="Arial" w:eastAsia="Arial" w:hAnsi="Arial"/>
          <w:sz w:val="18"/>
          <w:szCs w:val="18"/>
          <w:color w:val="auto"/>
        </w:rPr>
        <w:t>The 2023 Plan allows us to grant various forms of equity- and cash-based incentive compensation opportunities, including nonqualified stock options, incentive stock options, stock appreciation rights, restricted stock, restricted stock units and performance-based stock or cash awards and, in turn, provide our Compensation Committee with sufficient flexibility to structure appropriate incentives and respond to market-competitive changes in compensation practices.</w:t>
      </w:r>
    </w:p>
    <w:p>
      <w:pPr>
        <w:spacing w:after="0" w:line="166" w:lineRule="exact"/>
        <w:rPr>
          <w:rFonts w:ascii="Times New Roman" w:cs="Times New Roman" w:eastAsia="Times New Roman" w:hAnsi="Times New Roman"/>
          <w:sz w:val="18"/>
          <w:szCs w:val="18"/>
          <w:color w:val="548DD4"/>
        </w:rPr>
      </w:pPr>
    </w:p>
    <w:p>
      <w:pPr>
        <w:ind w:left="680" w:hanging="321"/>
        <w:spacing w:after="0" w:line="270" w:lineRule="auto"/>
        <w:tabs>
          <w:tab w:leader="none" w:pos="680" w:val="left"/>
        </w:tabs>
        <w:numPr>
          <w:ilvl w:val="0"/>
          <w:numId w:val="100"/>
        </w:numPr>
        <w:rPr>
          <w:rFonts w:ascii="Times New Roman" w:cs="Times New Roman" w:eastAsia="Times New Roman" w:hAnsi="Times New Roman"/>
          <w:sz w:val="18"/>
          <w:szCs w:val="18"/>
          <w:color w:val="548DD4"/>
        </w:rPr>
      </w:pPr>
      <w:r>
        <w:rPr>
          <w:rFonts w:ascii="Arial" w:cs="Arial" w:eastAsia="Arial" w:hAnsi="Arial"/>
          <w:sz w:val="18"/>
          <w:szCs w:val="18"/>
          <w:color w:val="auto"/>
        </w:rPr>
        <w:t>There is no “evergreen” provision for automatically replenishing the authorized pool of shares available for awards under the 2023 Plan.</w:t>
      </w:r>
    </w:p>
    <w:p>
      <w:pPr>
        <w:spacing w:after="0" w:line="127" w:lineRule="exact"/>
        <w:rPr>
          <w:rFonts w:ascii="Times New Roman" w:cs="Times New Roman" w:eastAsia="Times New Roman" w:hAnsi="Times New Roman"/>
          <w:sz w:val="18"/>
          <w:szCs w:val="18"/>
          <w:color w:val="548DD4"/>
        </w:rPr>
      </w:pPr>
    </w:p>
    <w:p>
      <w:pPr>
        <w:ind w:left="680" w:hanging="321"/>
        <w:spacing w:after="0"/>
        <w:tabs>
          <w:tab w:leader="none" w:pos="680" w:val="left"/>
        </w:tabs>
        <w:numPr>
          <w:ilvl w:val="0"/>
          <w:numId w:val="100"/>
        </w:numPr>
        <w:rPr>
          <w:rFonts w:ascii="Times New Roman" w:cs="Times New Roman" w:eastAsia="Times New Roman" w:hAnsi="Times New Roman"/>
          <w:sz w:val="18"/>
          <w:szCs w:val="18"/>
          <w:color w:val="548DD4"/>
        </w:rPr>
      </w:pPr>
      <w:r>
        <w:rPr>
          <w:rFonts w:ascii="Arial" w:cs="Arial" w:eastAsia="Arial" w:hAnsi="Arial"/>
          <w:sz w:val="18"/>
          <w:szCs w:val="18"/>
          <w:color w:val="auto"/>
        </w:rPr>
        <w:t>The 2023 Plan prohibits repricing options and stock appreciation rights without stockholder approval.</w:t>
      </w:r>
    </w:p>
    <w:p>
      <w:pPr>
        <w:spacing w:after="0" w:line="210" w:lineRule="exact"/>
        <w:rPr>
          <w:rFonts w:ascii="Times New Roman" w:cs="Times New Roman" w:eastAsia="Times New Roman" w:hAnsi="Times New Roman"/>
          <w:sz w:val="18"/>
          <w:szCs w:val="18"/>
          <w:color w:val="548DD4"/>
        </w:rPr>
      </w:pPr>
    </w:p>
    <w:p>
      <w:pPr>
        <w:ind w:left="680" w:right="20" w:hanging="321"/>
        <w:spacing w:after="0" w:line="270" w:lineRule="auto"/>
        <w:tabs>
          <w:tab w:leader="none" w:pos="680" w:val="left"/>
        </w:tabs>
        <w:numPr>
          <w:ilvl w:val="0"/>
          <w:numId w:val="100"/>
        </w:numPr>
        <w:rPr>
          <w:rFonts w:ascii="Times New Roman" w:cs="Times New Roman" w:eastAsia="Times New Roman" w:hAnsi="Times New Roman"/>
          <w:sz w:val="18"/>
          <w:szCs w:val="18"/>
          <w:color w:val="548DD4"/>
        </w:rPr>
      </w:pPr>
      <w:r>
        <w:rPr>
          <w:rFonts w:ascii="Arial" w:cs="Arial" w:eastAsia="Arial" w:hAnsi="Arial"/>
          <w:sz w:val="18"/>
          <w:szCs w:val="18"/>
          <w:color w:val="auto"/>
        </w:rPr>
        <w:t>Grants of discounted stock options with exercise prices set below the fair market value of our Common Stock on the date of grant are prohibited.</w:t>
      </w:r>
    </w:p>
    <w:p>
      <w:pPr>
        <w:spacing w:after="0" w:line="140" w:lineRule="exact"/>
        <w:rPr>
          <w:rFonts w:ascii="Times New Roman" w:cs="Times New Roman" w:eastAsia="Times New Roman" w:hAnsi="Times New Roman"/>
          <w:sz w:val="18"/>
          <w:szCs w:val="18"/>
          <w:color w:val="548DD4"/>
        </w:rPr>
      </w:pPr>
    </w:p>
    <w:p>
      <w:pPr>
        <w:jc w:val="both"/>
        <w:ind w:left="680" w:hanging="321"/>
        <w:spacing w:after="0" w:line="252" w:lineRule="auto"/>
        <w:tabs>
          <w:tab w:leader="none" w:pos="680" w:val="left"/>
        </w:tabs>
        <w:numPr>
          <w:ilvl w:val="0"/>
          <w:numId w:val="100"/>
        </w:numPr>
        <w:rPr>
          <w:rFonts w:ascii="Times New Roman" w:cs="Times New Roman" w:eastAsia="Times New Roman" w:hAnsi="Times New Roman"/>
          <w:sz w:val="18"/>
          <w:szCs w:val="18"/>
          <w:color w:val="548DD4"/>
        </w:rPr>
      </w:pPr>
      <w:r>
        <w:rPr>
          <w:rFonts w:ascii="Arial" w:cs="Arial" w:eastAsia="Arial" w:hAnsi="Arial"/>
          <w:sz w:val="18"/>
          <w:szCs w:val="18"/>
          <w:color w:val="auto"/>
        </w:rPr>
        <w:t>Under the 2023 Plan, our Named Executive Officers are required to hold for at least one year 50% of any shares they acquire upon exercise of stock options or stock appreciation rights, determined on a net basis after accounting for any shares withheld to pay taxes and/or the exercise price.</w:t>
      </w:r>
    </w:p>
    <w:p>
      <w:pPr>
        <w:spacing w:after="0" w:line="143" w:lineRule="exact"/>
        <w:rPr>
          <w:rFonts w:ascii="Times New Roman" w:cs="Times New Roman" w:eastAsia="Times New Roman" w:hAnsi="Times New Roman"/>
          <w:sz w:val="18"/>
          <w:szCs w:val="18"/>
          <w:color w:val="548DD4"/>
        </w:rPr>
      </w:pPr>
    </w:p>
    <w:p>
      <w:pPr>
        <w:ind w:left="680" w:hanging="321"/>
        <w:spacing w:after="0" w:line="270" w:lineRule="auto"/>
        <w:tabs>
          <w:tab w:leader="none" w:pos="680" w:val="left"/>
        </w:tabs>
        <w:numPr>
          <w:ilvl w:val="0"/>
          <w:numId w:val="100"/>
        </w:numPr>
        <w:rPr>
          <w:rFonts w:ascii="Times New Roman" w:cs="Times New Roman" w:eastAsia="Times New Roman" w:hAnsi="Times New Roman"/>
          <w:sz w:val="18"/>
          <w:szCs w:val="18"/>
          <w:color w:val="548DD4"/>
        </w:rPr>
      </w:pPr>
      <w:r>
        <w:rPr>
          <w:rFonts w:ascii="Arial" w:cs="Arial" w:eastAsia="Arial" w:hAnsi="Arial"/>
          <w:sz w:val="18"/>
          <w:szCs w:val="18"/>
          <w:color w:val="auto"/>
        </w:rPr>
        <w:t>Shares repurchased by us on the open market with proceeds from the exercise of stock options may not be returned to the pool of shares available for awards under the 2023 Plan.</w:t>
      </w:r>
    </w:p>
    <w:p>
      <w:pPr>
        <w:spacing w:after="0" w:line="140" w:lineRule="exact"/>
        <w:rPr>
          <w:rFonts w:ascii="Times New Roman" w:cs="Times New Roman" w:eastAsia="Times New Roman" w:hAnsi="Times New Roman"/>
          <w:sz w:val="18"/>
          <w:szCs w:val="18"/>
          <w:color w:val="548DD4"/>
        </w:rPr>
      </w:pPr>
    </w:p>
    <w:p>
      <w:pPr>
        <w:ind w:left="680" w:right="20" w:hanging="321"/>
        <w:spacing w:after="0" w:line="270" w:lineRule="auto"/>
        <w:tabs>
          <w:tab w:leader="none" w:pos="680" w:val="left"/>
        </w:tabs>
        <w:numPr>
          <w:ilvl w:val="0"/>
          <w:numId w:val="100"/>
        </w:numPr>
        <w:rPr>
          <w:rFonts w:ascii="Times New Roman" w:cs="Times New Roman" w:eastAsia="Times New Roman" w:hAnsi="Times New Roman"/>
          <w:sz w:val="18"/>
          <w:szCs w:val="18"/>
          <w:color w:val="548DD4"/>
        </w:rPr>
      </w:pPr>
      <w:r>
        <w:rPr>
          <w:rFonts w:ascii="Arial" w:cs="Arial" w:eastAsia="Arial" w:hAnsi="Arial"/>
          <w:sz w:val="18"/>
          <w:szCs w:val="18"/>
          <w:color w:val="auto"/>
        </w:rPr>
        <w:t>Awards of equity are subject to a minimum vesting period of one year, except in the very limited circumstance when an award is granted in connection with a participant voluntarily giving up the contractual right to a cash bonus.</w:t>
      </w:r>
    </w:p>
    <w:p>
      <w:pPr>
        <w:spacing w:after="0" w:line="140" w:lineRule="exact"/>
        <w:rPr>
          <w:rFonts w:ascii="Times New Roman" w:cs="Times New Roman" w:eastAsia="Times New Roman" w:hAnsi="Times New Roman"/>
          <w:sz w:val="18"/>
          <w:szCs w:val="18"/>
          <w:color w:val="548DD4"/>
        </w:rPr>
      </w:pPr>
    </w:p>
    <w:p>
      <w:pPr>
        <w:ind w:left="680" w:hanging="321"/>
        <w:spacing w:after="0"/>
        <w:tabs>
          <w:tab w:leader="none" w:pos="680" w:val="left"/>
        </w:tabs>
        <w:numPr>
          <w:ilvl w:val="0"/>
          <w:numId w:val="100"/>
        </w:numPr>
        <w:rPr>
          <w:rFonts w:ascii="Times New Roman" w:cs="Times New Roman" w:eastAsia="Times New Roman" w:hAnsi="Times New Roman"/>
          <w:sz w:val="18"/>
          <w:szCs w:val="18"/>
          <w:color w:val="548DD4"/>
        </w:rPr>
      </w:pPr>
      <w:r>
        <w:rPr>
          <w:rFonts w:ascii="Arial" w:cs="Arial" w:eastAsia="Arial" w:hAnsi="Arial"/>
          <w:sz w:val="18"/>
          <w:szCs w:val="18"/>
          <w:color w:val="auto"/>
        </w:rPr>
        <w:t>Awards made under the 2023 Plan are subject to our executive incentive compensation clawback policies.</w:t>
      </w:r>
    </w:p>
    <w:p>
      <w:pPr>
        <w:spacing w:after="0" w:line="197" w:lineRule="exact"/>
        <w:rPr>
          <w:rFonts w:ascii="Times New Roman" w:cs="Times New Roman" w:eastAsia="Times New Roman" w:hAnsi="Times New Roman"/>
          <w:sz w:val="18"/>
          <w:szCs w:val="18"/>
          <w:color w:val="548DD4"/>
        </w:rPr>
      </w:pPr>
    </w:p>
    <w:p>
      <w:pPr>
        <w:jc w:val="both"/>
        <w:ind w:left="680" w:hanging="321"/>
        <w:spacing w:after="0" w:line="252" w:lineRule="auto"/>
        <w:tabs>
          <w:tab w:leader="none" w:pos="680" w:val="left"/>
        </w:tabs>
        <w:numPr>
          <w:ilvl w:val="0"/>
          <w:numId w:val="100"/>
        </w:numPr>
        <w:rPr>
          <w:rFonts w:ascii="Times New Roman" w:cs="Times New Roman" w:eastAsia="Times New Roman" w:hAnsi="Times New Roman"/>
          <w:sz w:val="18"/>
          <w:szCs w:val="18"/>
          <w:color w:val="548DD4"/>
        </w:rPr>
      </w:pPr>
      <w:r>
        <w:rPr>
          <w:rFonts w:ascii="Arial" w:cs="Arial" w:eastAsia="Arial" w:hAnsi="Arial"/>
          <w:sz w:val="18"/>
          <w:szCs w:val="18"/>
          <w:color w:val="auto"/>
        </w:rPr>
        <w:t>Our Compensation Committee grants performance-based awards to our Named Executive Officers and other members of senior management under the 2023 Plan and has determined that 60% of the grants made to our Chief Executive Officer and to our Vice Chairman will be performance-based.</w:t>
      </w:r>
    </w:p>
    <w:p>
      <w:pPr>
        <w:spacing w:after="0" w:line="157" w:lineRule="exact"/>
        <w:rPr>
          <w:rFonts w:ascii="Times New Roman" w:cs="Times New Roman" w:eastAsia="Times New Roman" w:hAnsi="Times New Roman"/>
          <w:sz w:val="18"/>
          <w:szCs w:val="18"/>
          <w:color w:val="548DD4"/>
        </w:rPr>
      </w:pPr>
    </w:p>
    <w:p>
      <w:pPr>
        <w:ind w:left="680" w:hanging="321"/>
        <w:spacing w:after="0"/>
        <w:tabs>
          <w:tab w:leader="none" w:pos="680" w:val="left"/>
        </w:tabs>
        <w:numPr>
          <w:ilvl w:val="0"/>
          <w:numId w:val="100"/>
        </w:numPr>
        <w:rPr>
          <w:rFonts w:ascii="Times New Roman" w:cs="Times New Roman" w:eastAsia="Times New Roman" w:hAnsi="Times New Roman"/>
          <w:sz w:val="18"/>
          <w:szCs w:val="18"/>
          <w:color w:val="548DD4"/>
        </w:rPr>
      </w:pPr>
      <w:r>
        <w:rPr>
          <w:rFonts w:ascii="Arial" w:cs="Arial" w:eastAsia="Arial" w:hAnsi="Arial"/>
          <w:sz w:val="18"/>
          <w:szCs w:val="18"/>
          <w:color w:val="auto"/>
        </w:rPr>
        <w:t>The 2023 Plan does not contain liberal share-counting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308610</wp:posOffset>
            </wp:positionV>
            <wp:extent cx="6292215"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397" w:lineRule="exact"/>
        <w:rPr>
          <w:sz w:val="20"/>
          <w:szCs w:val="20"/>
          <w:color w:val="auto"/>
        </w:rPr>
      </w:pPr>
    </w:p>
    <w:p>
      <w:pPr>
        <w:ind w:left="7560"/>
        <w:spacing w:after="0"/>
        <w:rPr>
          <w:sz w:val="20"/>
          <w:szCs w:val="20"/>
          <w:color w:val="auto"/>
        </w:rPr>
      </w:pPr>
      <w:r>
        <w:rPr>
          <w:rFonts w:ascii="Arial" w:cs="Arial" w:eastAsia="Arial" w:hAnsi="Arial"/>
          <w:sz w:val="16"/>
          <w:szCs w:val="16"/>
          <w:color w:val="auto"/>
        </w:rPr>
        <w:t xml:space="preserve">2026 PROXY STATEMENT </w:t>
      </w:r>
      <w:r>
        <w:rPr>
          <w:rFonts w:ascii="Arial" w:cs="Arial" w:eastAsia="Arial" w:hAnsi="Arial"/>
          <w:sz w:val="19"/>
          <w:szCs w:val="19"/>
          <w:color w:val="808080"/>
        </w:rPr>
        <w:t>/</w:t>
      </w:r>
      <w:r>
        <w:rPr>
          <w:rFonts w:ascii="Arial" w:cs="Arial" w:eastAsia="Arial" w:hAnsi="Arial"/>
          <w:sz w:val="16"/>
          <w:szCs w:val="16"/>
          <w:color w:val="auto"/>
        </w:rPr>
        <w:t xml:space="preserve"> </w:t>
      </w:r>
      <w:r>
        <w:rPr>
          <w:rFonts w:ascii="Arial" w:cs="Arial" w:eastAsia="Arial" w:hAnsi="Arial"/>
          <w:sz w:val="19"/>
          <w:szCs w:val="19"/>
          <w:b w:val="1"/>
          <w:bCs w:val="1"/>
          <w:color w:val="4A7EBB"/>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365125</wp:posOffset>
            </wp:positionV>
            <wp:extent cx="6292215" cy="254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4A7EBB"/>
        </w:rPr>
        <w:t xml:space="preserve">Proposal No. 3 </w:t>
      </w:r>
      <w:r>
        <w:rPr>
          <w:rFonts w:ascii="Arial" w:cs="Arial" w:eastAsia="Arial" w:hAnsi="Arial"/>
          <w:sz w:val="18"/>
          <w:szCs w:val="18"/>
          <w:color w:val="000000"/>
        </w:rPr>
        <w:t>Approval of Our Amended 2023 Long-Term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17780</wp:posOffset>
            </wp:positionV>
            <wp:extent cx="6249035"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249035"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REASONS FOR STOCKHOLDER APPROVAL</w:t>
      </w:r>
    </w:p>
    <w:p>
      <w:pPr>
        <w:spacing w:after="0" w:line="216"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Board seeks stockholder approval of the amendment to the 2023 Plan described above in order to meet the requirements of the Nasdaq Global Select Market, on which our shares are listed. Approval of the proposed amendment to the 2023 Plan will allow us to continue to grant equity incentives which have become an indispensable part of our compensation program. We also believe it is important to have sufficient shares available in order for us to be able to grant stock awards in lieu of annual cash incentives in the future. If the amendment is not approved, the Board believes we could face serious challenges to our ability to attract and retain management, non-employee directors and other key personnel which would adversely affect our business.</w:t>
      </w:r>
    </w:p>
    <w:p>
      <w:pPr>
        <w:spacing w:after="0" w:line="18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short, the Board believes strongly that approval of the amendment to the 2023 Plan described above will serve the best interests of G-III and our stockholders and that, if the amendment to the 2023 Plan is not approved, our business and the interests of our stockholders will be harmed. If the proposed amendment is not approved by our stockholders, the 2023 Plan will remain in effect in its present form.</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SUMMARY OF MATERIAL CHANGES</w:t>
      </w:r>
    </w:p>
    <w:p>
      <w:pPr>
        <w:spacing w:after="0" w:line="21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amendment approved by the Board would increase the number of shares of Common Stock that may be issued under the 2023 Plan by 2,500,000 shares to 5,300,000 shares.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2023 Plan</w:t>
      </w:r>
    </w:p>
    <w:p>
      <w:pPr>
        <w:spacing w:after="0" w:line="21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 general description of the principal terms of the 2023 Plan adopted by the Board is set forth below. This description does not purport to be a complete description of all the provisions of the 2023 Plan and is qualified in its entirety by reference to the full text of the 2023 Plan, as amended (including the amendment described in this Proposal No. 3), set forth in Appendix A.</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4A7EBB"/>
        </w:rPr>
        <w:t>TYPES OF AWARD; ELIGIBILITY</w:t>
      </w:r>
    </w:p>
    <w:p>
      <w:pPr>
        <w:spacing w:after="0" w:line="21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2023 Plan enables us to grant nonqualified stock options, stock appreciation rights, restricted stock, restricted stock units, other forms of equity-based awards and performance-based cash incentive awards to our and any of our subsidiaries’ employees, non-employee directors, consultants, independent contractors and other service providers and to grant “incentive stock options” (within the meaning of Section 422 of the Code) to our and any of our subsidiaries’ employees. We estimate that the total number of eligible persons currently is approximately 4,900; a total of 140 employees and directors hold outstanding equity awards under our 2023 Plan.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4A7EBB"/>
        </w:rPr>
        <w:t>AUTHORIZED SHARES; SHARE-COUNTING RULES</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would be able to issue up to 3,099,477 shares of our Common Stock (including authorized shares remaining under the 2023 Plan prior to this amendment) pursuant to new awards made under the 2023 Plan, subject to the following share-counting rules:</w:t>
      </w:r>
    </w:p>
    <w:p>
      <w:pPr>
        <w:spacing w:after="0" w:line="169" w:lineRule="exact"/>
        <w:rPr>
          <w:sz w:val="20"/>
          <w:szCs w:val="20"/>
          <w:color w:val="auto"/>
        </w:rPr>
      </w:pPr>
    </w:p>
    <w:p>
      <w:pPr>
        <w:ind w:left="680" w:right="20" w:hanging="321"/>
        <w:spacing w:after="0" w:line="263" w:lineRule="auto"/>
        <w:tabs>
          <w:tab w:leader="none" w:pos="680" w:val="left"/>
        </w:tabs>
        <w:numPr>
          <w:ilvl w:val="0"/>
          <w:numId w:val="101"/>
        </w:numPr>
        <w:rPr>
          <w:rFonts w:ascii="Times New Roman" w:cs="Times New Roman" w:eastAsia="Times New Roman" w:hAnsi="Times New Roman"/>
          <w:sz w:val="18"/>
          <w:szCs w:val="18"/>
          <w:b w:val="1"/>
          <w:bCs w:val="1"/>
          <w:color w:val="4A7EBB"/>
        </w:rPr>
      </w:pPr>
      <w:r>
        <w:rPr>
          <w:rFonts w:ascii="Arial" w:cs="Arial" w:eastAsia="Arial" w:hAnsi="Arial"/>
          <w:sz w:val="18"/>
          <w:szCs w:val="18"/>
          <w:color w:val="auto"/>
        </w:rPr>
        <w:t>The total number of shares covered by an award of stock appreciation rights that is settled in shares (and not just the number of shares issued in settlement of the award) will be deemed to have been issued;</w:t>
      </w:r>
    </w:p>
    <w:p>
      <w:pPr>
        <w:spacing w:after="0" w:line="4" w:lineRule="exact"/>
        <w:rPr>
          <w:rFonts w:ascii="Times New Roman" w:cs="Times New Roman" w:eastAsia="Times New Roman" w:hAnsi="Times New Roman"/>
          <w:sz w:val="18"/>
          <w:szCs w:val="18"/>
          <w:b w:val="1"/>
          <w:bCs w:val="1"/>
          <w:color w:val="4A7EBB"/>
        </w:rPr>
      </w:pPr>
    </w:p>
    <w:p>
      <w:pPr>
        <w:ind w:left="680" w:right="20" w:hanging="321"/>
        <w:spacing w:after="0" w:line="263" w:lineRule="auto"/>
        <w:tabs>
          <w:tab w:leader="none" w:pos="680" w:val="left"/>
        </w:tabs>
        <w:numPr>
          <w:ilvl w:val="0"/>
          <w:numId w:val="101"/>
        </w:numPr>
        <w:rPr>
          <w:rFonts w:ascii="Times New Roman" w:cs="Times New Roman" w:eastAsia="Times New Roman" w:hAnsi="Times New Roman"/>
          <w:sz w:val="18"/>
          <w:szCs w:val="18"/>
          <w:b w:val="1"/>
          <w:bCs w:val="1"/>
          <w:color w:val="4A7EBB"/>
        </w:rPr>
      </w:pPr>
      <w:r>
        <w:rPr>
          <w:rFonts w:ascii="Arial" w:cs="Arial" w:eastAsia="Arial" w:hAnsi="Arial"/>
          <w:sz w:val="18"/>
          <w:szCs w:val="18"/>
          <w:color w:val="auto"/>
        </w:rPr>
        <w:t>Shares that are used or withheld to satisfy the exercise price or tax withholding obligations under an award will be deemed to have been issued under the 2023 Plan and will not be available for issuance under future grants;</w:t>
      </w:r>
    </w:p>
    <w:p>
      <w:pPr>
        <w:spacing w:after="0" w:line="4" w:lineRule="exact"/>
        <w:rPr>
          <w:rFonts w:ascii="Times New Roman" w:cs="Times New Roman" w:eastAsia="Times New Roman" w:hAnsi="Times New Roman"/>
          <w:sz w:val="18"/>
          <w:szCs w:val="18"/>
          <w:b w:val="1"/>
          <w:bCs w:val="1"/>
          <w:color w:val="4A7EBB"/>
        </w:rPr>
      </w:pPr>
    </w:p>
    <w:p>
      <w:pPr>
        <w:ind w:left="680" w:hanging="321"/>
        <w:spacing w:after="0" w:line="263" w:lineRule="auto"/>
        <w:tabs>
          <w:tab w:leader="none" w:pos="680" w:val="left"/>
        </w:tabs>
        <w:numPr>
          <w:ilvl w:val="0"/>
          <w:numId w:val="101"/>
        </w:numPr>
        <w:rPr>
          <w:rFonts w:ascii="Times New Roman" w:cs="Times New Roman" w:eastAsia="Times New Roman" w:hAnsi="Times New Roman"/>
          <w:sz w:val="18"/>
          <w:szCs w:val="18"/>
          <w:b w:val="1"/>
          <w:bCs w:val="1"/>
          <w:color w:val="4A7EBB"/>
        </w:rPr>
      </w:pPr>
      <w:r>
        <w:rPr>
          <w:rFonts w:ascii="Arial" w:cs="Arial" w:eastAsia="Arial" w:hAnsi="Arial"/>
          <w:sz w:val="18"/>
          <w:szCs w:val="18"/>
          <w:color w:val="auto"/>
        </w:rPr>
        <w:t>Shares purchased by us with cash received from the exercise of an option will not be available for awards made under the 2023 Plan;</w:t>
      </w:r>
    </w:p>
    <w:p>
      <w:pPr>
        <w:spacing w:after="0" w:line="4" w:lineRule="exact"/>
        <w:rPr>
          <w:rFonts w:ascii="Times New Roman" w:cs="Times New Roman" w:eastAsia="Times New Roman" w:hAnsi="Times New Roman"/>
          <w:sz w:val="18"/>
          <w:szCs w:val="18"/>
          <w:b w:val="1"/>
          <w:bCs w:val="1"/>
          <w:color w:val="4A7EBB"/>
        </w:rPr>
      </w:pPr>
    </w:p>
    <w:p>
      <w:pPr>
        <w:jc w:val="both"/>
        <w:ind w:left="680" w:right="20" w:hanging="321"/>
        <w:spacing w:after="0" w:line="252" w:lineRule="auto"/>
        <w:tabs>
          <w:tab w:leader="none" w:pos="680" w:val="left"/>
        </w:tabs>
        <w:numPr>
          <w:ilvl w:val="0"/>
          <w:numId w:val="101"/>
        </w:numPr>
        <w:rPr>
          <w:rFonts w:ascii="Times New Roman" w:cs="Times New Roman" w:eastAsia="Times New Roman" w:hAnsi="Times New Roman"/>
          <w:sz w:val="18"/>
          <w:szCs w:val="18"/>
          <w:b w:val="1"/>
          <w:bCs w:val="1"/>
          <w:color w:val="4A7EBB"/>
        </w:rPr>
      </w:pPr>
      <w:r>
        <w:rPr>
          <w:rFonts w:ascii="Arial" w:cs="Arial" w:eastAsia="Arial" w:hAnsi="Arial"/>
          <w:sz w:val="18"/>
          <w:szCs w:val="18"/>
          <w:color w:val="auto"/>
        </w:rPr>
        <w:t>The total number of shares covered by awards issued after August 18, 2023 and before the 2023 Plan was approved by our stockholders were deemed to have been issued under the 2023 Plan and reduces the shares available under the 2023 Plan;</w:t>
      </w:r>
    </w:p>
    <w:p>
      <w:pPr>
        <w:spacing w:after="0" w:line="8" w:lineRule="exact"/>
        <w:rPr>
          <w:rFonts w:ascii="Times New Roman" w:cs="Times New Roman" w:eastAsia="Times New Roman" w:hAnsi="Times New Roman"/>
          <w:sz w:val="18"/>
          <w:szCs w:val="18"/>
          <w:b w:val="1"/>
          <w:bCs w:val="1"/>
          <w:color w:val="4A7EBB"/>
        </w:rPr>
      </w:pPr>
    </w:p>
    <w:p>
      <w:pPr>
        <w:ind w:left="680" w:hanging="321"/>
        <w:spacing w:after="0" w:line="270" w:lineRule="auto"/>
        <w:tabs>
          <w:tab w:leader="none" w:pos="680" w:val="left"/>
        </w:tabs>
        <w:numPr>
          <w:ilvl w:val="0"/>
          <w:numId w:val="101"/>
        </w:numPr>
        <w:rPr>
          <w:rFonts w:ascii="Times New Roman" w:cs="Times New Roman" w:eastAsia="Times New Roman" w:hAnsi="Times New Roman"/>
          <w:sz w:val="18"/>
          <w:szCs w:val="18"/>
          <w:b w:val="1"/>
          <w:bCs w:val="1"/>
          <w:color w:val="4A7EBB"/>
        </w:rPr>
      </w:pPr>
      <w:r>
        <w:rPr>
          <w:rFonts w:ascii="Arial" w:cs="Arial" w:eastAsia="Arial" w:hAnsi="Arial"/>
          <w:sz w:val="18"/>
          <w:szCs w:val="18"/>
          <w:color w:val="auto"/>
        </w:rPr>
        <w:t>If G-III or one of our subsidiaries acquires or combines with another company that has a pre-existing plan that was not adopted in connection with such acquisition or merger, then the shares available under such pre-existing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264160</wp:posOffset>
            </wp:positionV>
            <wp:extent cx="629221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288925</wp:posOffset>
            </wp:positionH>
            <wp:positionV relativeFrom="paragraph">
              <wp:posOffset>315595</wp:posOffset>
            </wp:positionV>
            <wp:extent cx="265430" cy="15430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265430" cy="15430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0"/>
          <w:szCs w:val="20"/>
          <w:b w:val="1"/>
          <w:bCs w:val="1"/>
          <w:color w:val="4A7EBB"/>
        </w:rPr>
        <w:t xml:space="preserve">64 </w:t>
      </w:r>
      <w:r>
        <w:rPr>
          <w:rFonts w:ascii="Arial" w:cs="Arial" w:eastAsia="Arial" w:hAnsi="Arial"/>
          <w:sz w:val="20"/>
          <w:szCs w:val="20"/>
          <w:color w:val="80808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right"/>
        <w:spacing w:after="0"/>
        <w:rPr>
          <w:sz w:val="20"/>
          <w:szCs w:val="20"/>
          <w:color w:val="auto"/>
        </w:rPr>
      </w:pPr>
      <w:r>
        <w:rPr>
          <w:rFonts w:ascii="Arial" w:cs="Arial" w:eastAsia="Arial" w:hAnsi="Arial"/>
          <w:sz w:val="18"/>
          <w:szCs w:val="18"/>
          <w:color w:val="4A7EBB"/>
        </w:rPr>
        <w:t xml:space="preserve">Proposal No. 3 </w:t>
      </w:r>
      <w:r>
        <w:rPr>
          <w:rFonts w:ascii="Arial" w:cs="Arial" w:eastAsia="Arial" w:hAnsi="Arial"/>
          <w:sz w:val="18"/>
          <w:szCs w:val="18"/>
          <w:color w:val="000000"/>
        </w:rPr>
        <w:t>Approval of Our Amended 2023 Long-Term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17780</wp:posOffset>
            </wp:positionV>
            <wp:extent cx="6292215"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19" w:lineRule="exact"/>
        <w:rPr>
          <w:sz w:val="20"/>
          <w:szCs w:val="20"/>
          <w:color w:val="auto"/>
        </w:rPr>
      </w:pPr>
    </w:p>
    <w:p>
      <w:pPr>
        <w:jc w:val="both"/>
        <w:ind w:left="680"/>
        <w:spacing w:after="0" w:line="244" w:lineRule="auto"/>
        <w:rPr>
          <w:sz w:val="20"/>
          <w:szCs w:val="20"/>
          <w:color w:val="auto"/>
        </w:rPr>
      </w:pPr>
      <w:r>
        <w:rPr>
          <w:rFonts w:ascii="Arial" w:cs="Arial" w:eastAsia="Arial" w:hAnsi="Arial"/>
          <w:sz w:val="18"/>
          <w:szCs w:val="18"/>
          <w:color w:val="auto"/>
        </w:rPr>
        <w:t>(after making any appropriate adjustments as a result of the transaction) will be available for issuance under the 2023 Plan without reducing the number of shares otherwise available under the 2023 Plan, as long as such shares are issued to individuals who were not employed by or providing services to G-III or our subsidiaries immediately prior to such transaction and as long as the awards covering such shares are issued before such pre-existing plan otherwise would have expired; and</w:t>
      </w:r>
    </w:p>
    <w:p>
      <w:pPr>
        <w:spacing w:after="0" w:line="14" w:lineRule="exact"/>
        <w:rPr>
          <w:sz w:val="20"/>
          <w:szCs w:val="20"/>
          <w:color w:val="auto"/>
        </w:rPr>
      </w:pPr>
    </w:p>
    <w:p>
      <w:pPr>
        <w:ind w:left="680" w:hanging="321"/>
        <w:spacing w:after="0" w:line="265" w:lineRule="auto"/>
        <w:tabs>
          <w:tab w:leader="none" w:pos="680" w:val="left"/>
        </w:tabs>
        <w:numPr>
          <w:ilvl w:val="0"/>
          <w:numId w:val="102"/>
        </w:numPr>
        <w:rPr>
          <w:rFonts w:ascii="Times New Roman" w:cs="Times New Roman" w:eastAsia="Times New Roman" w:hAnsi="Times New Roman"/>
          <w:sz w:val="18"/>
          <w:szCs w:val="18"/>
          <w:b w:val="1"/>
          <w:bCs w:val="1"/>
          <w:color w:val="4A7EBB"/>
        </w:rPr>
      </w:pPr>
      <w:r>
        <w:rPr>
          <w:rFonts w:ascii="Arial" w:cs="Arial" w:eastAsia="Arial" w:hAnsi="Arial"/>
          <w:sz w:val="18"/>
          <w:szCs w:val="18"/>
          <w:color w:val="auto"/>
        </w:rPr>
        <w:t>The following shares will be deemed not to have been issued and will remain available for issuance under new awards:</w:t>
      </w:r>
    </w:p>
    <w:p>
      <w:pPr>
        <w:spacing w:after="0" w:line="1" w:lineRule="exact"/>
        <w:rPr>
          <w:rFonts w:ascii="Times New Roman" w:cs="Times New Roman" w:eastAsia="Times New Roman" w:hAnsi="Times New Roman"/>
          <w:sz w:val="18"/>
          <w:szCs w:val="18"/>
          <w:b w:val="1"/>
          <w:bCs w:val="1"/>
          <w:color w:val="4A7EBB"/>
        </w:rPr>
      </w:pPr>
    </w:p>
    <w:p>
      <w:pPr>
        <w:ind w:left="1000" w:hanging="317"/>
        <w:spacing w:after="0" w:line="266" w:lineRule="auto"/>
        <w:tabs>
          <w:tab w:leader="none" w:pos="100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shares covered by an option or stock appreciation right that is forfeited or otherwise terminated or canceled for any reason other than exercise;</w:t>
      </w:r>
    </w:p>
    <w:p>
      <w:pPr>
        <w:ind w:left="1000" w:hanging="317"/>
        <w:spacing w:after="0"/>
        <w:tabs>
          <w:tab w:leader="none" w:pos="100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shares covered by restricted stock, restricted stock unit or other awards that are forfeited;</w:t>
      </w:r>
    </w:p>
    <w:p>
      <w:pPr>
        <w:spacing w:after="0" w:line="49" w:lineRule="exact"/>
        <w:rPr>
          <w:rFonts w:ascii="Arial" w:cs="Arial" w:eastAsia="Arial" w:hAnsi="Arial"/>
          <w:sz w:val="18"/>
          <w:szCs w:val="18"/>
          <w:color w:val="auto"/>
        </w:rPr>
      </w:pPr>
    </w:p>
    <w:p>
      <w:pPr>
        <w:ind w:left="1000" w:hanging="317"/>
        <w:spacing w:after="0" w:line="266" w:lineRule="auto"/>
        <w:tabs>
          <w:tab w:leader="none" w:pos="100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shares covered by an award that is settled in cash or that otherwise terminates without shares being issued; and</w:t>
      </w:r>
    </w:p>
    <w:p>
      <w:pPr>
        <w:ind w:left="1000" w:right="20" w:hanging="317"/>
        <w:spacing w:after="0" w:line="271" w:lineRule="auto"/>
        <w:tabs>
          <w:tab w:leader="none" w:pos="100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shares issued pursuant to awards that are assumed, converted or substituted as a result of the acquisition of another company or a combination with another company.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4A7EBB"/>
        </w:rPr>
        <w:t>ADJUSTMENTS FOR CAPITAL CHANGES</w:t>
      </w:r>
    </w:p>
    <w:p>
      <w:pPr>
        <w:spacing w:after="0" w:line="17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the event of a stock split, reverse stock split, stock dividend, extraordinary cash dividend or other capital change involving the outstanding shares of our Common Stock, the aggregate number of shares that may be issued under the 2023 Plan, the number, class and exercise price of shares covered by outstanding awards and performance goals expressed in or with respect to shares will be subject to equitable adjustment in order to avoid undue dilution or enlargement of the benefits available under the 2023 Plan and any outstanding awards.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4A7EBB"/>
        </w:rPr>
        <w:t>ADMINISTRATION</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general, the Compensation Committee of the Board, acting in its discretion, has full authority and responsibility for administering the 2023 Plan. Subject to the terms of the 2023 Plan, the Compensation Committee may select the persons who will receive awards, determine the types of awards to be granted and prescribe the terms and conditions of such awards. The Compensation Committee is also responsible for construing, interpreting and applying the provisions of the 2023 Plan and of any award made under the 2023 Plan, and its decisions and determinations are final and binding on all persons. We will indemnify the members of the Compensation Committee and others to whom authority is delegated for claims they may incur in connection with the administration of the 2023 Plan, unless attributable to fraud or willful misconduct.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4A7EBB"/>
        </w:rPr>
        <w:t>VESTING LIMITATIONS</w:t>
      </w:r>
    </w:p>
    <w:p>
      <w:pPr>
        <w:spacing w:after="0" w:line="171"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Compensation Committee does not have the authority to accelerate the vesting of an outstanding award by reason of a participant’s termination of employment unless either (a) the termination is in connection with a change in control of our company (as defined in the 2023 Plan) or on account of the participant’s death, disability or retirement, or (b) the termination occurs for any other reason and the aggregate number of shares the Company may issue by reason of such acceleration of vesting under this clause (b) does not exceed 5% of the total number of shares that may be issued under the 2023 Plan. In addition, all share-based awards granted by the Compensation Committee must provide a vesting condition of at least one year, except in the very limited circumstance when an award is granted in connection with a participant voluntarily giving up the contractual right to a cash bonus.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4A7EBB"/>
        </w:rPr>
        <w:t>STOCK OPTIONS</w:t>
      </w:r>
    </w:p>
    <w:p>
      <w:pPr>
        <w:spacing w:after="0" w:line="171"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Compensation Committee may grant stock options under the 2023 Plan, subject to such terms and conditions as the Compensation Committee may prescribe. Stock options granted under the 2023 Plan may be classified as “incentive stock options” (within the meaning of Section 422 of the Code) or as nonqualified stock options (i.e., options which do not qualify as “incentive stock options”). The exercise price of any stock option granted under the 2023 Plan must be at least equal to the fair market value of our Common Stock on the date the option is granted (110% of fair market value in the case of “incentive stock options” granted to ten percent stockholders). The maximum term of an option granted under the 2023 Plan is ten years (five years in the case of “incentive stock options” granted to ten percent stockholders (as defined in the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280670</wp:posOffset>
            </wp:positionV>
            <wp:extent cx="6292215"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ind w:left="7560"/>
        <w:spacing w:after="0"/>
        <w:rPr>
          <w:sz w:val="20"/>
          <w:szCs w:val="20"/>
          <w:color w:val="auto"/>
        </w:rPr>
      </w:pPr>
      <w:r>
        <w:rPr>
          <w:rFonts w:ascii="Arial" w:cs="Arial" w:eastAsia="Arial" w:hAnsi="Arial"/>
          <w:sz w:val="16"/>
          <w:szCs w:val="16"/>
          <w:color w:val="auto"/>
        </w:rPr>
        <w:t xml:space="preserve">2026 PROXY STATEMENT </w:t>
      </w:r>
      <w:r>
        <w:rPr>
          <w:rFonts w:ascii="Arial" w:cs="Arial" w:eastAsia="Arial" w:hAnsi="Arial"/>
          <w:sz w:val="19"/>
          <w:szCs w:val="19"/>
          <w:color w:val="808080"/>
        </w:rPr>
        <w:t>/</w:t>
      </w:r>
      <w:r>
        <w:rPr>
          <w:rFonts w:ascii="Arial" w:cs="Arial" w:eastAsia="Arial" w:hAnsi="Arial"/>
          <w:sz w:val="16"/>
          <w:szCs w:val="16"/>
          <w:color w:val="auto"/>
        </w:rPr>
        <w:t xml:space="preserve"> </w:t>
      </w:r>
      <w:r>
        <w:rPr>
          <w:rFonts w:ascii="Arial" w:cs="Arial" w:eastAsia="Arial" w:hAnsi="Arial"/>
          <w:sz w:val="19"/>
          <w:szCs w:val="19"/>
          <w:b w:val="1"/>
          <w:bCs w:val="1"/>
          <w:color w:val="4A7EBB"/>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356235</wp:posOffset>
            </wp:positionV>
            <wp:extent cx="6292215" cy="2603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4A7EBB"/>
        </w:rPr>
        <w:t xml:space="preserve">Proposal No. 3 </w:t>
      </w:r>
      <w:r>
        <w:rPr>
          <w:rFonts w:ascii="Arial" w:cs="Arial" w:eastAsia="Arial" w:hAnsi="Arial"/>
          <w:sz w:val="18"/>
          <w:szCs w:val="18"/>
          <w:color w:val="000000"/>
        </w:rPr>
        <w:t>Approval of Our Amended 2023 Long-Term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17780</wp:posOffset>
            </wp:positionV>
            <wp:extent cx="624903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249035" cy="8255"/>
                    </a:xfrm>
                    <a:prstGeom prst="rect">
                      <a:avLst/>
                    </a:prstGeom>
                    <a:noFill/>
                  </pic:spPr>
                </pic:pic>
              </a:graphicData>
            </a:graphic>
          </wp:anchor>
        </w:drawing>
      </w:r>
    </w:p>
    <w:p>
      <w:pPr>
        <w:spacing w:after="0" w:line="21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Plan). Our Named Executive Officers are required to hold for at least one year 50% of any shares they acquire upon exercise of stock options, determined on a net basis after accounting for any shares withheld to pay taxes and/or the exercise price.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4A7EBB"/>
        </w:rPr>
        <w:t>STOCK APPRECIATION RIGHTS</w:t>
      </w:r>
    </w:p>
    <w:p>
      <w:pPr>
        <w:spacing w:after="0" w:line="171"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Compensation Committee may grant stock appreciation rights under the 2023 Plan, subject to such terms and conditions as the Compensation Committee may prescribe. A stock appreciation right allows the participant to receive payment, in cash and/or shares of our Common Stock, equal to the difference between the fair market value of our Common Stock on the date the stock appreciation right is exercised, and the base price specified in the award. The base price must be at least equal to the fair market value of our Common Stock on the date the stock appreciation right is granted. The maximum term of a stock appreciation right granted under the 2023 Plan is ten years. Our Named Executive Officers are required to hold for at least one year 50% of any shares they acquire upon exercise of stock appreciation rights, determined on a net basis after accounting for any shares withheld to pay taxes.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4A7EBB"/>
        </w:rPr>
        <w:t>RESTRICTED STOCK</w:t>
      </w:r>
    </w:p>
    <w:p>
      <w:pPr>
        <w:spacing w:after="0" w:line="18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Compensation Committee may grant restricted stock awards under the 2023 Plan, pursuant to which shares of our Common Stock are issued to the participant subject to specified vesting and other terms and conditions. In general, the holder of restricted shares will have all of the rights of a stockholder with respect to such shares. Dividends on restricted shares will be subject to the same vesting, forfeiture and payment terms and conditions that apply to the restricted shares. In general, if the recipient of a restricted stock award terminates employment or service, any unvested shares will be forfeited.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4A7EBB"/>
        </w:rPr>
        <w:t>RESTRICTED STOCK UNITS</w:t>
      </w:r>
    </w:p>
    <w:p>
      <w:pPr>
        <w:spacing w:after="0" w:line="171"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Compensation Committee may grant restricted stock units under the 2023 Plan. Restricted stock units represent the right to receive shares of our Common Stock in the future, subject to specified vesting and other terms and conditions. Vested restricted stock units may be settled in cash and/or shares of our Common Stock. The holder of restricted stock units may not vote the underlying shares before the units become vested and the shares are issued. The Compensation Committee may provide for the crediting of dividend equivalents with respect to restricted stock units (based upon dividends paid to our stockholders), subject to applicable vesting and payment conditions. In general, if the recipient of restricted stock units terminates employment or service, any unvested restricted stock units (and related dividend equivalents, if any) will be forfeited.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4A7EBB"/>
        </w:rPr>
        <w:t>OTHER FORMS OF STOCK AWARD; PERFORMANCE-BASED CASH INCENTIVE AWARDS</w:t>
      </w:r>
    </w:p>
    <w:p>
      <w:pPr>
        <w:spacing w:after="0" w:line="171"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Compensation Committee may grant other forms of awards under the 2023 Plan that are denominated or payable in, valued in whole or in part by reference to, or otherwise based upon or related to, shares of our Common Stock, including, for example, performance share awards, performance unit awards, stock bonus awards and dividend equivalent awards. Any such other awards will be settled in the form of cash and/or shares of our Common Stock and will be subject to the provisions of the 2023 Plan and any vesting and other terms and conditions prescribed by the Compensation Committee. In addition, the 2023 Plan authorizes the Compensation Committee to make annual and/or long-term cash incentive awards that are contingent on the achievement of pre-established performance goals and such other terms and conditions as the Compensation Committee may prescribe.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4A7EBB"/>
        </w:rPr>
        <w:t>PERFORMANCE AWARDS AND METRICS</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2023 Plan includes the following list of criteria on which performance goals for performance awards under the 2023 Plan may be based:</w:t>
      </w:r>
    </w:p>
    <w:p>
      <w:pPr>
        <w:spacing w:after="0" w:line="154" w:lineRule="exact"/>
        <w:rPr>
          <w:sz w:val="20"/>
          <w:szCs w:val="20"/>
          <w:color w:val="auto"/>
        </w:rPr>
      </w:pPr>
    </w:p>
    <w:p>
      <w:pPr>
        <w:ind w:left="680" w:hanging="321"/>
        <w:spacing w:after="0"/>
        <w:tabs>
          <w:tab w:leader="none" w:pos="6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revenues on a corporate or product by product basis, gross profit or gross profit growth;</w:t>
      </w:r>
    </w:p>
    <w:p>
      <w:pPr>
        <w:spacing w:after="0" w:line="49" w:lineRule="exact"/>
        <w:rPr>
          <w:rFonts w:ascii="Arial" w:cs="Arial" w:eastAsia="Arial" w:hAnsi="Arial"/>
          <w:sz w:val="18"/>
          <w:szCs w:val="18"/>
          <w:color w:val="auto"/>
        </w:rPr>
      </w:pPr>
    </w:p>
    <w:p>
      <w:pPr>
        <w:ind w:left="680" w:right="20" w:hanging="321"/>
        <w:spacing w:after="0" w:line="266" w:lineRule="auto"/>
        <w:tabs>
          <w:tab w:leader="none" w:pos="6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earnings from operations, earnings before or after taxes, earnings before or after interest, depreciation, amortization, incentives, service fees and/or extraordinary or special items;</w:t>
      </w:r>
    </w:p>
    <w:p>
      <w:pPr>
        <w:ind w:left="680" w:hanging="321"/>
        <w:spacing w:after="0"/>
        <w:tabs>
          <w:tab w:leader="none" w:pos="6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net income or net income per common share (basic or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300355</wp:posOffset>
            </wp:positionV>
            <wp:extent cx="6292215"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288925</wp:posOffset>
            </wp:positionH>
            <wp:positionV relativeFrom="paragraph">
              <wp:posOffset>351790</wp:posOffset>
            </wp:positionV>
            <wp:extent cx="265430" cy="14541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265430" cy="145415"/>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20"/>
          <w:szCs w:val="20"/>
          <w:b w:val="1"/>
          <w:bCs w:val="1"/>
          <w:color w:val="4A7EBB"/>
        </w:rPr>
        <w:t xml:space="preserve">66 </w:t>
      </w:r>
      <w:r>
        <w:rPr>
          <w:rFonts w:ascii="Arial" w:cs="Arial" w:eastAsia="Arial" w:hAnsi="Arial"/>
          <w:sz w:val="20"/>
          <w:szCs w:val="20"/>
          <w:color w:val="80808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left="4060"/>
        <w:spacing w:after="0"/>
        <w:rPr>
          <w:sz w:val="20"/>
          <w:szCs w:val="20"/>
          <w:color w:val="auto"/>
        </w:rPr>
      </w:pPr>
      <w:r>
        <w:rPr>
          <w:rFonts w:ascii="Arial" w:cs="Arial" w:eastAsia="Arial" w:hAnsi="Arial"/>
          <w:sz w:val="17"/>
          <w:szCs w:val="17"/>
          <w:color w:val="4A7EBB"/>
        </w:rPr>
        <w:t xml:space="preserve">Proposal No. 3 </w:t>
      </w:r>
      <w:r>
        <w:rPr>
          <w:rFonts w:ascii="Arial" w:cs="Arial" w:eastAsia="Arial" w:hAnsi="Arial"/>
          <w:sz w:val="17"/>
          <w:szCs w:val="17"/>
          <w:color w:val="000000"/>
        </w:rPr>
        <w:t>Approval of Our Amended 2023 Long-Term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24765</wp:posOffset>
            </wp:positionV>
            <wp:extent cx="629221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30" w:lineRule="exact"/>
        <w:rPr>
          <w:sz w:val="20"/>
          <w:szCs w:val="20"/>
          <w:color w:val="auto"/>
        </w:rPr>
      </w:pPr>
    </w:p>
    <w:p>
      <w:pPr>
        <w:ind w:left="680" w:hanging="321"/>
        <w:spacing w:after="0" w:line="266" w:lineRule="auto"/>
        <w:tabs>
          <w:tab w:leader="none" w:pos="6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return measures, including return on assets, return on investment, return on capital, total capital or tangible capital, return on sales or return on equity;</w:t>
      </w:r>
    </w:p>
    <w:p>
      <w:pPr>
        <w:ind w:left="680" w:hanging="321"/>
        <w:spacing w:after="0"/>
        <w:tabs>
          <w:tab w:leader="none" w:pos="6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cash flow, free cash flow, cash flow return on investment, or net cash provided by operations;</w:t>
      </w:r>
    </w:p>
    <w:p>
      <w:pPr>
        <w:spacing w:after="0" w:line="49" w:lineRule="exact"/>
        <w:rPr>
          <w:rFonts w:ascii="Arial" w:cs="Arial" w:eastAsia="Arial" w:hAnsi="Arial"/>
          <w:sz w:val="18"/>
          <w:szCs w:val="18"/>
          <w:color w:val="auto"/>
        </w:rPr>
      </w:pPr>
    </w:p>
    <w:p>
      <w:pPr>
        <w:ind w:left="680" w:hanging="321"/>
        <w:spacing w:after="0"/>
        <w:tabs>
          <w:tab w:leader="none" w:pos="6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economic value created or added;</w:t>
      </w:r>
    </w:p>
    <w:p>
      <w:pPr>
        <w:spacing w:after="0" w:line="49" w:lineRule="exact"/>
        <w:rPr>
          <w:rFonts w:ascii="Arial" w:cs="Arial" w:eastAsia="Arial" w:hAnsi="Arial"/>
          <w:sz w:val="18"/>
          <w:szCs w:val="18"/>
          <w:color w:val="auto"/>
        </w:rPr>
      </w:pPr>
    </w:p>
    <w:p>
      <w:pPr>
        <w:ind w:left="680" w:hanging="321"/>
        <w:spacing w:after="0"/>
        <w:tabs>
          <w:tab w:leader="none" w:pos="6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operating margin or profit margin;</w:t>
      </w:r>
    </w:p>
    <w:p>
      <w:pPr>
        <w:spacing w:after="0" w:line="49" w:lineRule="exact"/>
        <w:rPr>
          <w:rFonts w:ascii="Arial" w:cs="Arial" w:eastAsia="Arial" w:hAnsi="Arial"/>
          <w:sz w:val="18"/>
          <w:szCs w:val="18"/>
          <w:color w:val="auto"/>
        </w:rPr>
      </w:pPr>
    </w:p>
    <w:p>
      <w:pPr>
        <w:ind w:left="680" w:hanging="321"/>
        <w:spacing w:after="0"/>
        <w:tabs>
          <w:tab w:leader="none" w:pos="6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expense or costs targets;</w:t>
      </w:r>
    </w:p>
    <w:p>
      <w:pPr>
        <w:spacing w:after="0" w:line="49" w:lineRule="exact"/>
        <w:rPr>
          <w:rFonts w:ascii="Arial" w:cs="Arial" w:eastAsia="Arial" w:hAnsi="Arial"/>
          <w:sz w:val="18"/>
          <w:szCs w:val="18"/>
          <w:color w:val="auto"/>
        </w:rPr>
      </w:pPr>
    </w:p>
    <w:p>
      <w:pPr>
        <w:ind w:left="680" w:hanging="321"/>
        <w:spacing w:after="0"/>
        <w:tabs>
          <w:tab w:leader="none" w:pos="6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objective measures of customer satisfaction;</w:t>
      </w:r>
    </w:p>
    <w:p>
      <w:pPr>
        <w:spacing w:after="0" w:line="49" w:lineRule="exact"/>
        <w:rPr>
          <w:rFonts w:ascii="Arial" w:cs="Arial" w:eastAsia="Arial" w:hAnsi="Arial"/>
          <w:sz w:val="18"/>
          <w:szCs w:val="18"/>
          <w:color w:val="auto"/>
        </w:rPr>
      </w:pPr>
    </w:p>
    <w:p>
      <w:pPr>
        <w:ind w:left="680" w:hanging="321"/>
        <w:spacing w:after="0"/>
        <w:tabs>
          <w:tab w:leader="none" w:pos="6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working capital targets;</w:t>
      </w:r>
    </w:p>
    <w:p>
      <w:pPr>
        <w:spacing w:after="0" w:line="49" w:lineRule="exact"/>
        <w:rPr>
          <w:rFonts w:ascii="Arial" w:cs="Arial" w:eastAsia="Arial" w:hAnsi="Arial"/>
          <w:sz w:val="18"/>
          <w:szCs w:val="18"/>
          <w:color w:val="auto"/>
        </w:rPr>
      </w:pPr>
    </w:p>
    <w:p>
      <w:pPr>
        <w:ind w:left="680" w:hanging="321"/>
        <w:spacing w:after="0"/>
        <w:tabs>
          <w:tab w:leader="none" w:pos="6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inventory control;</w:t>
      </w:r>
    </w:p>
    <w:p>
      <w:pPr>
        <w:spacing w:after="0" w:line="49" w:lineRule="exact"/>
        <w:rPr>
          <w:rFonts w:ascii="Arial" w:cs="Arial" w:eastAsia="Arial" w:hAnsi="Arial"/>
          <w:sz w:val="18"/>
          <w:szCs w:val="18"/>
          <w:color w:val="auto"/>
        </w:rPr>
      </w:pPr>
    </w:p>
    <w:p>
      <w:pPr>
        <w:ind w:left="680" w:hanging="321"/>
        <w:spacing w:after="0"/>
        <w:tabs>
          <w:tab w:leader="none" w:pos="6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debt targets;</w:t>
      </w:r>
    </w:p>
    <w:p>
      <w:pPr>
        <w:spacing w:after="0" w:line="49" w:lineRule="exact"/>
        <w:rPr>
          <w:rFonts w:ascii="Arial" w:cs="Arial" w:eastAsia="Arial" w:hAnsi="Arial"/>
          <w:sz w:val="18"/>
          <w:szCs w:val="18"/>
          <w:color w:val="auto"/>
        </w:rPr>
      </w:pPr>
    </w:p>
    <w:p>
      <w:pPr>
        <w:ind w:left="680" w:hanging="321"/>
        <w:spacing w:after="0" w:line="266" w:lineRule="auto"/>
        <w:tabs>
          <w:tab w:leader="none" w:pos="6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implementation, completion or attainment of measurable objectives with respect to store openings or closings, acquisitions and divestitures, and recruiting and maintaining personnel; and/or</w:t>
      </w:r>
    </w:p>
    <w:p>
      <w:pPr>
        <w:ind w:left="680" w:hanging="321"/>
        <w:spacing w:after="0"/>
        <w:tabs>
          <w:tab w:leader="none" w:pos="6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share price (including, without limitation, growth measures, market capitalization and/or total stockholder return).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4A7EBB"/>
        </w:rPr>
        <w:t>TRANSFERABILITY OF AWARDS</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general, awards made under the 2023 Plan may not be transferred or assigned, except under certain circumstances as may be permitted by the Compensation Committee.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4A7EBB"/>
        </w:rPr>
        <w:t>RECOUPMENT OF AWARDS</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2023 Plan provides that shares and/or cash distributed pursuant to awards made under the 2023 Plan are subject to our incentive compensation clawback policies as in effect from time to time and, as applicable, the clawback requirements of Section 954 of the Dodd-Frank Act and of the Nasdaq rules.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4A7EBB"/>
        </w:rPr>
        <w:t>NO REPRICING OF AWARDS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Without the approval of our stockholders, we may not (a) reduce the exercise price of options or stock appreciation rights,</w:t>
      </w:r>
    </w:p>
    <w:p>
      <w:pPr>
        <w:spacing w:after="0" w:line="14" w:lineRule="exact"/>
        <w:rPr>
          <w:sz w:val="20"/>
          <w:szCs w:val="20"/>
          <w:color w:val="auto"/>
        </w:rPr>
      </w:pPr>
    </w:p>
    <w:p>
      <w:pPr>
        <w:jc w:val="both"/>
        <w:ind w:firstLine="8"/>
        <w:spacing w:after="0" w:line="242" w:lineRule="auto"/>
        <w:tabs>
          <w:tab w:leader="none" w:pos="2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cancel outstanding options or stock appreciation rights in exchange for options or stock appreciation rights with a lower exercise price or (c) cancel options or stock appreciation rights in exchange for cash or securities at a time when the per share exercise price is higher than the per share fair market value of our Common Stock.</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4A7EBB"/>
        </w:rPr>
        <w:t>PAYMENT OF EXERCISE PRICE AND TAX WITHHOLDING</w:t>
      </w:r>
    </w:p>
    <w:p>
      <w:pPr>
        <w:spacing w:after="0" w:line="171"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general, the exercise price under a stock option and tax withholding obligation resulting from the exercise or settlement of an award may be satisfied in cash and/or in such other ways as the Compensation Committee may permit. If the withholding obligation is satisfied by the participant’s delivery of previously-owned shares or by our issuing a net amount of shares pursuant to which we hold back shares that would otherwise be issued in connection with such settlement the amount of tax covered by share withholding must be based on a rate that is not less than the minimum applicable withholding rate and may be based on a rate that does not exceed the maximum individual statutory rate in the Participant’s applicable tax jurisdiction(s).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4A7EBB"/>
        </w:rPr>
        <w:t>CHANGE IN CONTROL</w:t>
      </w:r>
    </w:p>
    <w:p>
      <w:pPr>
        <w:spacing w:after="0" w:line="17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If, in connection with a “change in control” (as defined in the 2023 Plan), existing awards are continued or converted into substantially equivalent awards of the successor company, then the existing or substitute awards will generally remain governed by their respective vesting and other terms and conditions, except that (a) any performance-based earnout condition will be deemed to have been satisfied at the greater of the target level or the level that would have been attained if the pre-Change in Control performance had continued at the same rate through the end of the performance period (unless the Compensation Committee determines in the award agreement to measure performance based on actual performance through the change-in-control date), and (b) vesting of the awards will accelerate and any post-change in control performance conditions will be deemed satisfied at the maximum level (unless the Compensation Committee determines in the award agreement to measure performance based on actual performance through the termination date) if, within two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282575</wp:posOffset>
            </wp:positionV>
            <wp:extent cx="629221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ind w:left="7560"/>
        <w:spacing w:after="0"/>
        <w:rPr>
          <w:sz w:val="20"/>
          <w:szCs w:val="20"/>
          <w:color w:val="auto"/>
        </w:rPr>
      </w:pPr>
      <w:r>
        <w:rPr>
          <w:rFonts w:ascii="Arial" w:cs="Arial" w:eastAsia="Arial" w:hAnsi="Arial"/>
          <w:sz w:val="16"/>
          <w:szCs w:val="16"/>
          <w:color w:val="auto"/>
        </w:rPr>
        <w:t xml:space="preserve">2026 PROXY STATEMENT </w:t>
      </w:r>
      <w:r>
        <w:rPr>
          <w:rFonts w:ascii="Arial" w:cs="Arial" w:eastAsia="Arial" w:hAnsi="Arial"/>
          <w:sz w:val="19"/>
          <w:szCs w:val="19"/>
          <w:color w:val="808080"/>
        </w:rPr>
        <w:t>/</w:t>
      </w:r>
      <w:r>
        <w:rPr>
          <w:rFonts w:ascii="Arial" w:cs="Arial" w:eastAsia="Arial" w:hAnsi="Arial"/>
          <w:sz w:val="16"/>
          <w:szCs w:val="16"/>
          <w:color w:val="auto"/>
        </w:rPr>
        <w:t xml:space="preserve"> </w:t>
      </w:r>
      <w:r>
        <w:rPr>
          <w:rFonts w:ascii="Arial" w:cs="Arial" w:eastAsia="Arial" w:hAnsi="Arial"/>
          <w:sz w:val="19"/>
          <w:szCs w:val="19"/>
          <w:b w:val="1"/>
          <w:bCs w:val="1"/>
          <w:color w:val="4A7EBB"/>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365125</wp:posOffset>
            </wp:positionV>
            <wp:extent cx="6292215" cy="254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4A7EBB"/>
        </w:rPr>
        <w:t xml:space="preserve">Proposal No. 3 </w:t>
      </w:r>
      <w:r>
        <w:rPr>
          <w:rFonts w:ascii="Arial" w:cs="Arial" w:eastAsia="Arial" w:hAnsi="Arial"/>
          <w:sz w:val="18"/>
          <w:szCs w:val="18"/>
          <w:color w:val="000000"/>
        </w:rPr>
        <w:t>Approval of Our Amended 2023 Long-Term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17780</wp:posOffset>
            </wp:positionV>
            <wp:extent cx="624903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249035" cy="8255"/>
                    </a:xfrm>
                    <a:prstGeom prst="rect">
                      <a:avLst/>
                    </a:prstGeom>
                    <a:noFill/>
                  </pic:spPr>
                </pic:pic>
              </a:graphicData>
            </a:graphic>
          </wp:anchor>
        </w:drawing>
      </w:r>
    </w:p>
    <w:p>
      <w:pPr>
        <w:spacing w:after="0" w:line="219" w:lineRule="exact"/>
        <w:rPr>
          <w:sz w:val="20"/>
          <w:szCs w:val="20"/>
          <w:color w:val="auto"/>
        </w:rPr>
      </w:pPr>
    </w:p>
    <w:p>
      <w:pPr>
        <w:jc w:val="both"/>
        <w:spacing w:after="0"/>
        <w:rPr>
          <w:sz w:val="20"/>
          <w:szCs w:val="20"/>
          <w:color w:val="auto"/>
        </w:rPr>
      </w:pPr>
      <w:r>
        <w:rPr>
          <w:rFonts w:ascii="Arial" w:cs="Arial" w:eastAsia="Arial" w:hAnsi="Arial"/>
          <w:sz w:val="18"/>
          <w:szCs w:val="18"/>
          <w:color w:val="auto"/>
        </w:rPr>
        <w:t>years after the change in control, the participant’s employment terminates by reason of death, or is terminated by the successor company without “cause” or by the participant for “good reason” (as those terms are defined in the 2023 Plan). If an existing award is not continued, assumed or converted into a substantially similar award upon a change in control, then any performance-based earnout condition will be deemed to have been satisfied at the maximum level (unless the Compensation Committee determines in the award agreement to measure performance based on actual performance through the change-in-control date), the award will be deemed to be fully vested immediately prior to the change in control and, to the extent not previously exercised or settled, the award will be canceled at the time of the change in control in exchange for the right to receive the change in control transaction value of the award.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4A7EBB"/>
        </w:rPr>
        <w:t>AMENDMENT AND TERMINATION</w:t>
      </w:r>
    </w:p>
    <w:p>
      <w:pPr>
        <w:spacing w:after="0" w:line="18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Board may amend or terminate the 2023 Plan, provided such action does not have an adverse effect on any then outstanding awards. Amendments to the 2023 Plan will be subject to stockholder approval if such approval is necessary in order to satisfy applicable legal or stock exchange listing requirements. Stock exchange rules generally require stockholder approval of increases in the shares reserved under a plan or other material modifications, but such rules do not require that all amendments be submitted to stockholders. Therefore, it is possible that the 2023 Plan could be amended in ways that increase the cost to us without further stockholder approval.</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4A7EBB"/>
        </w:rPr>
        <w:t>TERM OF THE 2023 PLAN</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stockholders approved the 2023 Plan at our Special Meeting held on October 10, 2023. The 2023 Plan will terminate on the tenth anniversary of the date of its approval by our stockholders.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4A7EBB"/>
        </w:rPr>
        <w:t>CERTAIN U.S. INCOME TAX CONSEQUENCES</w:t>
      </w:r>
    </w:p>
    <w:p>
      <w:pPr>
        <w:spacing w:after="0" w:line="171"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Set forth below is a brief summary of material U.S. federal income tax consequences applicable to awards made under our 2023 Plan. This discussion is intended for general informational purposes and not as tax guidance to any participant who may receive an award under the 2023 Plan.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595959"/>
        </w:rPr>
        <w:t>NONQUALIFIED STOCK OPTIONS</w:t>
      </w:r>
    </w:p>
    <w:p>
      <w:pPr>
        <w:spacing w:after="0" w:line="222" w:lineRule="exact"/>
        <w:rPr>
          <w:sz w:val="20"/>
          <w:szCs w:val="20"/>
          <w:color w:val="auto"/>
        </w:rPr>
      </w:pPr>
    </w:p>
    <w:p>
      <w:pPr>
        <w:jc w:val="both"/>
        <w:spacing w:after="0"/>
        <w:rPr>
          <w:sz w:val="20"/>
          <w:szCs w:val="20"/>
          <w:color w:val="auto"/>
        </w:rPr>
      </w:pPr>
      <w:r>
        <w:rPr>
          <w:rFonts w:ascii="Arial" w:cs="Arial" w:eastAsia="Arial" w:hAnsi="Arial"/>
          <w:sz w:val="18"/>
          <w:szCs w:val="18"/>
          <w:color w:val="auto"/>
        </w:rPr>
        <w:t>A nonqualified stock option is an option that does not qualify as an “incentive stock option” under Section 422 of the Code. The grant of a nonqualified stock option is not a taxable event. In general, a participant who exercises a nonqualified stock option will realize ordinary income on the date the option is exercised equal to the excess of the value of the shares acquired on that date over the option exercise price paid for the shares, and we will be entitled to a corresponding tax deduction, subject to the limitations of Section 162(m) of the Code. In general, the participant’s tax basis in the shares will be equal to the value of the shares on the date the option is exercised, and the participant’s holding period for the shares will begin on that date. Gain or loss on a subsequent sale of the shares will be long- or short-term capital gain or loss, depending on whether the sale occurs more than one year after the participant’s holding period begins.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595959"/>
        </w:rPr>
        <w:t>INCENTIVE STOCK OPTIONS</w:t>
      </w:r>
    </w:p>
    <w:p>
      <w:pPr>
        <w:spacing w:after="0" w:line="20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general, no taxable event will occur upon either the grant or exercise of an option that qualifies as an “incentive stock option” under Section 422 of the Code (although the exercise may have alternative minimum tax consequences to the participant). A participant will realize taxable income (or loss) when shares acquired upon the exercise of an “incentive stock option” are subsequently sold. If the participant sells the shares more than two years after the date the option is granted and more than one year after the date the option is exercised, any gain or loss realized on the sale will be long-term capital gain or loss, and we will not be entitled to a tax deduction. If the participant sells the shares before the end of either of those two holding periods, any gain realized on the sale will be taxable as ordinary income to the extent that the value of the shares on the date the option is exercised exceeds the option exercise price paid for the shares, and any remaining gain will be capital gain. In general, we will be entitled to a tax deduction equal to any ordinary income realized by the participant upon the sale of the shares, subject to the limitations of Section 162(m) of the Code.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595959"/>
        </w:rPr>
        <w:t>STOCK APPRECIATION RIGHTS</w:t>
      </w:r>
    </w:p>
    <w:p>
      <w:pPr>
        <w:spacing w:after="0" w:line="209"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grant of a stock appreciation right is not a taxable event. In general, a participant will realize ordinary income when a stock appreciation right is exercised, equal to the value of the shares of our Common Stock and/or the amount of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263525</wp:posOffset>
            </wp:positionV>
            <wp:extent cx="629221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288925</wp:posOffset>
            </wp:positionH>
            <wp:positionV relativeFrom="paragraph">
              <wp:posOffset>314960</wp:posOffset>
            </wp:positionV>
            <wp:extent cx="265430" cy="15430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265430" cy="15430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342" w:lineRule="exact"/>
        <w:rPr>
          <w:sz w:val="20"/>
          <w:szCs w:val="20"/>
          <w:color w:val="auto"/>
        </w:rPr>
      </w:pPr>
    </w:p>
    <w:p>
      <w:pPr>
        <w:ind w:left="280" w:hanging="271"/>
        <w:spacing w:after="0"/>
        <w:tabs>
          <w:tab w:leader="none" w:pos="280" w:val="left"/>
        </w:tabs>
        <w:numPr>
          <w:ilvl w:val="0"/>
          <w:numId w:val="109"/>
        </w:numPr>
        <w:rPr>
          <w:rFonts w:ascii="Arial" w:cs="Arial" w:eastAsia="Arial" w:hAnsi="Arial"/>
          <w:sz w:val="20"/>
          <w:szCs w:val="20"/>
          <w:b w:val="1"/>
          <w:bCs w:val="1"/>
          <w:color w:val="4A7EBB"/>
        </w:rPr>
      </w:pPr>
      <w:r>
        <w:rPr>
          <w:rFonts w:ascii="Arial" w:cs="Arial" w:eastAsia="Arial" w:hAnsi="Arial"/>
          <w:sz w:val="20"/>
          <w:szCs w:val="20"/>
          <w:color w:val="80808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356235</wp:posOffset>
            </wp:positionV>
            <wp:extent cx="6292215" cy="254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left="4060"/>
        <w:spacing w:after="0"/>
        <w:rPr>
          <w:sz w:val="20"/>
          <w:szCs w:val="20"/>
          <w:color w:val="auto"/>
        </w:rPr>
      </w:pPr>
      <w:r>
        <w:rPr>
          <w:rFonts w:ascii="Arial" w:cs="Arial" w:eastAsia="Arial" w:hAnsi="Arial"/>
          <w:sz w:val="17"/>
          <w:szCs w:val="17"/>
          <w:color w:val="4A7EBB"/>
        </w:rPr>
        <w:t xml:space="preserve">Proposal No. 3 </w:t>
      </w:r>
      <w:r>
        <w:rPr>
          <w:rFonts w:ascii="Arial" w:cs="Arial" w:eastAsia="Arial" w:hAnsi="Arial"/>
          <w:sz w:val="17"/>
          <w:szCs w:val="17"/>
          <w:color w:val="000000"/>
        </w:rPr>
        <w:t>Approval of Our Amended 2023 Long-Term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24765</wp:posOffset>
            </wp:positionV>
            <wp:extent cx="629221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3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received by the participant in connection with such exercise, and we will be entitled to a corresponding tax deduction, subject to the limitations of Section 162(m) of the Code. The participant’s tax basis in any shares received upon exercise will be equal to the exercise-date value of the shares received, and the participant’s holding period for the shares will begin on that date. Gain or loss on a subsequent sale of the shares will be long- or short-term capital gain or loss, depending on whether the sale occurs more than one year after the participant’s holding period begins.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595959"/>
        </w:rPr>
        <w:t>RESTRICTED STOCK</w:t>
      </w:r>
    </w:p>
    <w:p>
      <w:pPr>
        <w:spacing w:after="0" w:line="22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general, a participant who receives shares of restricted stock will not realize taxable income unless and until the shares become vested, at which time the participant will realize ordinary income equal to the then fair market value of the vested shares and we will be entitled to a corresponding tax deduction, subject to the limitations of Section 162(m) of the Code. The participant’s tax basis for the shares will be equal to their fair market value on the vesting date and, upon a subsequent sale of the vested shares, the participant will realize long- or short-term capital gain, depending on whether the sale occurs more than one year after the vesting date (when ordinary income was realized). A participant may make an early income election within 30 days after he or she receives shares of restricted stock, in which case the participant will realize ordinary income on the date the shares are received equal to the fair market value of the shares on that date (determined without regard to the restrictions), and we would be entitled to a corresponding tax deduction, subject to the limitations of Section 162(m) of the Code. If an early income election is made, no income would be realized if and when the shares become vested and, upon a subsequent sale of the shares, any gain or loss will be treated as long- or short-term capital gain or loss, depending on whether the sale occurs more than one year after the date the shares were issued to the participant (in the form of restricted shares).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595959"/>
        </w:rPr>
        <w:t>RESTRICTED STOCK UNITS AND OTHER AWARDS</w:t>
      </w:r>
    </w:p>
    <w:p>
      <w:pPr>
        <w:spacing w:after="0" w:line="20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general, a participant who receives shares of our Common Stock and/or cash in settlement of a restricted stock unit or performance share unit award will realize ordinary income equal to the then value of the shares and/or cash he or she received, and we will have a corresponding tax deduction, subject to the limitations of Section 162(m) of the Code. Similarly, if a participant receives cash and/or shares pursuant to a performance unit, performance share or other form of award under the 2023 Plan, then, in general, the participant will realize ordinary income upon such receipt equal to the then fair market value of the shares and/or the amount of cash received, and we will be entitled to a corresponding tax deduction, subject to the limitations of Section 162(m) of the Code. The participant’s tax basis in any such shares received will generally be equal to the value of the shares on the date that ordinary income is realized, and the participant’s tax holding period for the shares will generally begin on that date. Gain or loss on a subsequent sale of the shares will be long- or short-term capital gain or loss, depending on whether the sale occurs more than one year after the participant’s holding period begins.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595959"/>
        </w:rPr>
        <w:t>WITHHOLDING</w:t>
      </w:r>
    </w:p>
    <w:p>
      <w:pPr>
        <w:spacing w:after="0" w:line="209"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have the right to deduct or withhold, or require a participant to remit to us, any amounts sufficient to satisfy applicable tax withholding requirements arising in connection with the exercise, vesting, lapse of restrictions or other taxable event pertaining to any awards made under the 2023 Plan. The Compensation Committee may, at the time the award is granted or thereafter, require or permit any such withholding requirement to be satisfied, in whole or in part, by delivery of, or withholding from the award, shares. If shares of our Common Stock to be issued pursuant to awards under the 2023 Plan are withheld to satisfy the participant’s tax withholding obligations, the withholding must be based upon a tax rate that is no less than the minimum applicable withholding rate and up to the maximum applicable withholding rate.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4A7EBB"/>
        </w:rPr>
        <w:t>NEW PLAN BENEFITS</w:t>
      </w:r>
    </w:p>
    <w:p>
      <w:pPr>
        <w:spacing w:after="0" w:line="18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Future grants under the 2023 Plan will be made at the discretion of the Compensation Committee and, accordingly, are not yet determinable, other than annual equity grants of PSUs and RSUs that will be granted to Morris Goldfarb and Sammy Aaron, pursuant to their respective employment agreements. In addition, benefits under the 2023 Plan will depend on a number of factors, including the fair market value of our Common Stock on future dates. Consequently, it is not possible to determine the benefits that might be received by participants receiving discretionary grants under the 2023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278130</wp:posOffset>
            </wp:positionV>
            <wp:extent cx="629221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7560"/>
        <w:spacing w:after="0"/>
        <w:rPr>
          <w:sz w:val="20"/>
          <w:szCs w:val="20"/>
          <w:color w:val="auto"/>
        </w:rPr>
      </w:pPr>
      <w:r>
        <w:rPr>
          <w:rFonts w:ascii="Arial" w:cs="Arial" w:eastAsia="Arial" w:hAnsi="Arial"/>
          <w:sz w:val="16"/>
          <w:szCs w:val="16"/>
          <w:color w:val="auto"/>
        </w:rPr>
        <w:t xml:space="preserve">2026 PROXY STATEMENT </w:t>
      </w:r>
      <w:r>
        <w:rPr>
          <w:rFonts w:ascii="Arial" w:cs="Arial" w:eastAsia="Arial" w:hAnsi="Arial"/>
          <w:sz w:val="19"/>
          <w:szCs w:val="19"/>
          <w:color w:val="808080"/>
        </w:rPr>
        <w:t>/</w:t>
      </w:r>
      <w:r>
        <w:rPr>
          <w:rFonts w:ascii="Arial" w:cs="Arial" w:eastAsia="Arial" w:hAnsi="Arial"/>
          <w:sz w:val="16"/>
          <w:szCs w:val="16"/>
          <w:color w:val="auto"/>
        </w:rPr>
        <w:t xml:space="preserve"> </w:t>
      </w:r>
      <w:r>
        <w:rPr>
          <w:rFonts w:ascii="Arial" w:cs="Arial" w:eastAsia="Arial" w:hAnsi="Arial"/>
          <w:sz w:val="19"/>
          <w:szCs w:val="19"/>
          <w:b w:val="1"/>
          <w:bCs w:val="1"/>
          <w:color w:val="4A7EBB"/>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365125</wp:posOffset>
            </wp:positionV>
            <wp:extent cx="6292215" cy="171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4A7EBB"/>
        </w:rPr>
        <w:t xml:space="preserve">Proposal No. 3 </w:t>
      </w:r>
      <w:r>
        <w:rPr>
          <w:rFonts w:ascii="Arial" w:cs="Arial" w:eastAsia="Arial" w:hAnsi="Arial"/>
          <w:sz w:val="18"/>
          <w:szCs w:val="18"/>
          <w:color w:val="000000"/>
        </w:rPr>
        <w:t>Approval of Our Amended 2023 Long-Term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17780</wp:posOffset>
            </wp:positionV>
            <wp:extent cx="624903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24903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Approval of the amendment to the 2023 Plan requires the affirmative vote of the holders of a majority of the shares of Common Stock present in person or represented by proxy and entitled to vote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92075</wp:posOffset>
            </wp:positionV>
            <wp:extent cx="5031740" cy="59182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5031740" cy="591820"/>
                    </a:xfrm>
                    <a:prstGeom prst="rect">
                      <a:avLst/>
                    </a:prstGeom>
                    <a:noFill/>
                  </pic:spPr>
                </pic:pic>
              </a:graphicData>
            </a:graphic>
          </wp:anchor>
        </w:drawing>
      </w:r>
    </w:p>
    <w:p>
      <w:pPr>
        <w:spacing w:after="0" w:line="363" w:lineRule="exact"/>
        <w:rPr>
          <w:sz w:val="20"/>
          <w:szCs w:val="20"/>
          <w:color w:val="auto"/>
        </w:rPr>
      </w:pPr>
    </w:p>
    <w:p>
      <w:pPr>
        <w:ind w:left="1600" w:right="1160"/>
        <w:spacing w:after="0" w:line="281" w:lineRule="auto"/>
        <w:rPr>
          <w:sz w:val="20"/>
          <w:szCs w:val="20"/>
          <w:color w:val="auto"/>
        </w:rPr>
      </w:pPr>
      <w:r>
        <w:rPr>
          <w:rFonts w:ascii="Arial" w:cs="Arial" w:eastAsia="Arial" w:hAnsi="Arial"/>
          <w:sz w:val="18"/>
          <w:szCs w:val="18"/>
          <w:b w:val="1"/>
          <w:bCs w:val="1"/>
          <w:color w:val="auto"/>
        </w:rPr>
        <w:t xml:space="preserve">The Board of Directors deems Proposal No. 3 to be in the best interests of G-III and our stockholders and recommends a vote </w:t>
      </w:r>
      <w:r>
        <w:rPr>
          <w:rFonts w:ascii="Arial" w:cs="Arial" w:eastAsia="Arial" w:hAnsi="Arial"/>
          <w:sz w:val="21"/>
          <w:szCs w:val="21"/>
          <w:b w:val="1"/>
          <w:bCs w:val="1"/>
          <w:color w:val="4A7EBB"/>
        </w:rPr>
        <w:t>FOR</w:t>
      </w:r>
      <w:r>
        <w:rPr>
          <w:rFonts w:ascii="Arial" w:cs="Arial" w:eastAsia="Arial" w:hAnsi="Arial"/>
          <w:sz w:val="18"/>
          <w:szCs w:val="18"/>
          <w:b w:val="1"/>
          <w:bCs w:val="1"/>
          <w:color w:val="auto"/>
        </w:rPr>
        <w:t xml:space="preserve"> approval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1204595</wp:posOffset>
            </wp:positionV>
            <wp:extent cx="629221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288925</wp:posOffset>
            </wp:positionH>
            <wp:positionV relativeFrom="paragraph">
              <wp:posOffset>1256030</wp:posOffset>
            </wp:positionV>
            <wp:extent cx="265430" cy="14605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26543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4A7EBB"/>
        </w:rPr>
        <w:t xml:space="preserve">70 </w:t>
      </w:r>
      <w:r>
        <w:rPr>
          <w:rFonts w:ascii="Arial" w:cs="Arial" w:eastAsia="Arial" w:hAnsi="Arial"/>
          <w:sz w:val="20"/>
          <w:szCs w:val="20"/>
          <w:color w:val="80808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AUDIT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24130</wp:posOffset>
            </wp:positionV>
            <wp:extent cx="6292215" cy="171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4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accordance with its written charter adopted by the Board of Directors, the Audit Committee of the Board of Directors is responsible for, among other things, overseeing G-III’s accounting and financial reporting processes and reviewing and discussing G-III’s audited financial statements with management. The Audit Committee is directly responsible for the appointment, compensation and oversight of the work of Ernst &amp; Young LLP, G-III’s independent registered public accounting firm.</w:t>
      </w:r>
    </w:p>
    <w:p>
      <w:pPr>
        <w:spacing w:after="0" w:line="176" w:lineRule="exact"/>
        <w:rPr>
          <w:sz w:val="20"/>
          <w:szCs w:val="20"/>
          <w:color w:val="auto"/>
        </w:rPr>
      </w:pPr>
    </w:p>
    <w:p>
      <w:pPr>
        <w:jc w:val="both"/>
        <w:spacing w:after="0"/>
        <w:rPr>
          <w:sz w:val="20"/>
          <w:szCs w:val="20"/>
          <w:color w:val="auto"/>
        </w:rPr>
      </w:pPr>
      <w:r>
        <w:rPr>
          <w:rFonts w:ascii="Arial" w:cs="Arial" w:eastAsia="Arial" w:hAnsi="Arial"/>
          <w:sz w:val="18"/>
          <w:szCs w:val="18"/>
          <w:color w:val="auto"/>
        </w:rPr>
        <w:t>Management is responsible for G-III’s financial reporting process including its system of internal control and for the preparation of consolidated financial statements in accordance with generally accepted accounting principles. G-III’s independent auditors are responsible for auditing those financial statements. The responsibility of the Audit Committee is to monitor and review these processes. Members of the Audit Committee are not employees of G-III and are not required to be accountants or auditors by profession. Therefore, the Audit Committee has relied, without independent verification, on management’s representation that the financial statements have been prepared with integrity and objectivity and in conformity with generally accepted accounting principles and on the representations of the independent auditors included in their report of G-III’s financial statements.</w:t>
      </w:r>
    </w:p>
    <w:p>
      <w:pPr>
        <w:spacing w:after="0" w:line="18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oversight by the Audit Committee does not provide an independent basis to determine that management has maintained appropriate accounting and financial reporting principles or policies, or appropriate internal controls and procedures designed to assure compliance with accounting standards and applicable laws and regulations. Furthermore, the Audit Committee cannot give assurance that G-III’s financial statements are presented in accordance with generally accepted accounting principles, that the audit of G-III’s financial statements has been carried out in accordance with generally accepted auditing standards or that G-III’s independent accountants are in fact “independent.”</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REVIEW OF AUDITED FINANCIAL STATEMENTS</w:t>
      </w:r>
    </w:p>
    <w:p>
      <w:pPr>
        <w:spacing w:after="0" w:line="175"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The Audit Committee has reviewed G-III’s audited financial statements for the fiscal year ended January 31, 2026 as prepared by management and audited by Ernst &amp; Young LLP and has discussed these financial statements with management. The Audit Committee has discussed with Ernst &amp; Young LLP the matters required to be discussed by the applicable requirements of the Public Company Accounting Oversight Board (the “PCAOB”) and the SEC. Furthermore, the Audit Committee has received the written disclosures and the letter from Ernst &amp; Young LLP required by PCAOB Rule No. 3526, </w:t>
      </w:r>
      <w:r>
        <w:rPr>
          <w:rFonts w:ascii="Arial" w:cs="Arial" w:eastAsia="Arial" w:hAnsi="Arial"/>
          <w:sz w:val="18"/>
          <w:szCs w:val="18"/>
          <w:i w:val="1"/>
          <w:iCs w:val="1"/>
          <w:color w:val="auto"/>
        </w:rPr>
        <w:t>Communication with Audit Committees Concerning Independence</w:t>
      </w:r>
      <w:r>
        <w:rPr>
          <w:rFonts w:ascii="Arial" w:cs="Arial" w:eastAsia="Arial" w:hAnsi="Arial"/>
          <w:sz w:val="18"/>
          <w:szCs w:val="18"/>
          <w:color w:val="auto"/>
        </w:rPr>
        <w:t>, and has discussed with Ernst &amp; Young LLP its independence.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RECOMMENDATION</w:t>
      </w:r>
    </w:p>
    <w:p>
      <w:pPr>
        <w:spacing w:after="0" w:line="175"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In reliance on the reviews and discussions referenced above, the Audit Committee recommended to the Board of Directors that the audited financial statements for the fiscal year ended January 31, 2026 be included in G-III’s Annual Report on Form 10-K for that fiscal year.</w:t>
      </w:r>
    </w:p>
    <w:p>
      <w:pPr>
        <w:spacing w:after="0" w:line="182" w:lineRule="exact"/>
        <w:rPr>
          <w:sz w:val="20"/>
          <w:szCs w:val="20"/>
          <w:color w:val="auto"/>
        </w:rPr>
      </w:pPr>
    </w:p>
    <w:p>
      <w:pPr>
        <w:ind w:left="6220"/>
        <w:spacing w:after="0"/>
        <w:rPr>
          <w:sz w:val="20"/>
          <w:szCs w:val="20"/>
          <w:color w:val="auto"/>
        </w:rPr>
      </w:pPr>
      <w:r>
        <w:rPr>
          <w:rFonts w:ascii="Arial" w:cs="Arial" w:eastAsia="Arial" w:hAnsi="Arial"/>
          <w:sz w:val="18"/>
          <w:szCs w:val="18"/>
          <w:b w:val="1"/>
          <w:bCs w:val="1"/>
          <w:color w:val="auto"/>
        </w:rPr>
        <w:t>Audit Committee</w:t>
      </w:r>
    </w:p>
    <w:p>
      <w:pPr>
        <w:spacing w:after="0" w:line="198"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Michael Shaffer, Chairman</w:t>
      </w:r>
    </w:p>
    <w:p>
      <w:pPr>
        <w:spacing w:after="0" w:line="9"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Victor Herrero</w:t>
      </w:r>
    </w:p>
    <w:p>
      <w:pPr>
        <w:ind w:left="6220"/>
        <w:spacing w:after="0" w:line="234" w:lineRule="auto"/>
        <w:rPr>
          <w:sz w:val="20"/>
          <w:szCs w:val="20"/>
          <w:color w:val="auto"/>
        </w:rPr>
      </w:pPr>
      <w:r>
        <w:rPr>
          <w:rFonts w:ascii="Arial" w:cs="Arial" w:eastAsia="Arial" w:hAnsi="Arial"/>
          <w:sz w:val="18"/>
          <w:szCs w:val="18"/>
          <w:color w:val="auto"/>
        </w:rPr>
        <w:t>Richard White</w:t>
      </w:r>
    </w:p>
    <w:p>
      <w:pPr>
        <w:spacing w:after="0" w:line="1"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Andrew Yaeger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563245</wp:posOffset>
            </wp:positionV>
            <wp:extent cx="629221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7560"/>
        <w:spacing w:after="0"/>
        <w:rPr>
          <w:sz w:val="20"/>
          <w:szCs w:val="20"/>
          <w:color w:val="auto"/>
        </w:rPr>
      </w:pPr>
      <w:r>
        <w:rPr>
          <w:rFonts w:ascii="Arial" w:cs="Arial" w:eastAsia="Arial" w:hAnsi="Arial"/>
          <w:sz w:val="16"/>
          <w:szCs w:val="16"/>
          <w:color w:val="auto"/>
        </w:rPr>
        <w:t xml:space="preserve">2026 PROXY STATEMENT </w:t>
      </w:r>
      <w:r>
        <w:rPr>
          <w:rFonts w:ascii="Arial" w:cs="Arial" w:eastAsia="Arial" w:hAnsi="Arial"/>
          <w:sz w:val="19"/>
          <w:szCs w:val="19"/>
          <w:color w:val="808080"/>
        </w:rPr>
        <w:t>/</w:t>
      </w:r>
      <w:r>
        <w:rPr>
          <w:rFonts w:ascii="Arial" w:cs="Arial" w:eastAsia="Arial" w:hAnsi="Arial"/>
          <w:sz w:val="16"/>
          <w:szCs w:val="16"/>
          <w:color w:val="auto"/>
        </w:rPr>
        <w:t xml:space="preserve"> </w:t>
      </w:r>
      <w:r>
        <w:rPr>
          <w:rFonts w:ascii="Arial" w:cs="Arial" w:eastAsia="Arial" w:hAnsi="Arial"/>
          <w:sz w:val="19"/>
          <w:szCs w:val="19"/>
          <w:b w:val="1"/>
          <w:bCs w:val="1"/>
          <w:color w:val="4A7EBB"/>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356235</wp:posOffset>
            </wp:positionV>
            <wp:extent cx="6292215" cy="254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PRINCIPAL ACCOUNTING FEES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24130</wp:posOffset>
            </wp:positionV>
            <wp:extent cx="6292215" cy="171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42"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following table sets forth fees we paid for audit, audit-related, tax and other services provided by Ernst &amp; Young LLP during each of the last two fiscal years.</w:t>
      </w:r>
    </w:p>
    <w:p>
      <w:pPr>
        <w:spacing w:after="0" w:line="185" w:lineRule="exact"/>
        <w:rPr>
          <w:sz w:val="20"/>
          <w:szCs w:val="20"/>
          <w:color w:val="auto"/>
        </w:rPr>
      </w:pPr>
    </w:p>
    <w:p>
      <w:pPr>
        <w:ind w:left="7380"/>
        <w:spacing w:after="0"/>
        <w:rPr>
          <w:sz w:val="20"/>
          <w:szCs w:val="20"/>
          <w:color w:val="auto"/>
        </w:rPr>
      </w:pPr>
      <w:r>
        <w:rPr>
          <w:rFonts w:ascii="Arial" w:cs="Arial" w:eastAsia="Arial" w:hAnsi="Arial"/>
          <w:sz w:val="16"/>
          <w:szCs w:val="16"/>
          <w:b w:val="1"/>
          <w:bCs w:val="1"/>
          <w:color w:val="auto"/>
        </w:rPr>
        <w:t>Fiscal Year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-115570</wp:posOffset>
            </wp:positionV>
            <wp:extent cx="6292215" cy="25717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292215" cy="25717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6900" w:type="dxa"/>
            <w:vAlign w:val="bottom"/>
          </w:tcPr>
          <w:p>
            <w:pPr>
              <w:spacing w:after="0" w:line="20" w:lineRule="exact"/>
              <w:rPr>
                <w:sz w:val="1"/>
                <w:szCs w:val="1"/>
                <w:color w:val="auto"/>
              </w:rPr>
            </w:pPr>
          </w:p>
        </w:tc>
        <w:tc>
          <w:tcPr>
            <w:tcW w:w="260" w:type="dxa"/>
            <w:vAlign w:val="bottom"/>
            <w:shd w:val="clear" w:color="auto" w:fill="DBE5F1"/>
          </w:tcPr>
          <w:p>
            <w:pPr>
              <w:spacing w:after="0" w:line="20" w:lineRule="exact"/>
              <w:rPr>
                <w:sz w:val="1"/>
                <w:szCs w:val="1"/>
                <w:color w:val="auto"/>
              </w:rPr>
            </w:pPr>
          </w:p>
        </w:tc>
        <w:tc>
          <w:tcPr>
            <w:tcW w:w="200" w:type="dxa"/>
            <w:vAlign w:val="bottom"/>
            <w:shd w:val="clear" w:color="auto" w:fill="4A7EBB"/>
          </w:tcPr>
          <w:p>
            <w:pPr>
              <w:spacing w:after="0" w:line="20" w:lineRule="exact"/>
              <w:rPr>
                <w:sz w:val="1"/>
                <w:szCs w:val="1"/>
                <w:color w:val="auto"/>
              </w:rPr>
            </w:pPr>
          </w:p>
        </w:tc>
        <w:tc>
          <w:tcPr>
            <w:tcW w:w="1080" w:type="dxa"/>
            <w:vAlign w:val="bottom"/>
            <w:shd w:val="clear" w:color="auto" w:fill="4A7EBB"/>
          </w:tcPr>
          <w:p>
            <w:pPr>
              <w:spacing w:after="0" w:line="20" w:lineRule="exact"/>
              <w:rPr>
                <w:sz w:val="1"/>
                <w:szCs w:val="1"/>
                <w:color w:val="auto"/>
              </w:rPr>
            </w:pPr>
          </w:p>
        </w:tc>
        <w:tc>
          <w:tcPr>
            <w:tcW w:w="440" w:type="dxa"/>
            <w:vAlign w:val="bottom"/>
            <w:shd w:val="clear" w:color="auto" w:fill="4A7EBB"/>
          </w:tcPr>
          <w:p>
            <w:pPr>
              <w:spacing w:after="0" w:line="20" w:lineRule="exact"/>
              <w:rPr>
                <w:sz w:val="1"/>
                <w:szCs w:val="1"/>
                <w:color w:val="auto"/>
              </w:rPr>
            </w:pPr>
          </w:p>
        </w:tc>
        <w:tc>
          <w:tcPr>
            <w:tcW w:w="1040" w:type="dxa"/>
            <w:vAlign w:val="bottom"/>
            <w:shd w:val="clear" w:color="auto" w:fill="4A7EB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3"/>
        </w:trPr>
        <w:tc>
          <w:tcPr>
            <w:tcW w:w="6900" w:type="dxa"/>
            <w:vAlign w:val="bottom"/>
            <w:tcBorders>
              <w:bottom w:val="single" w:sz="8" w:color="4A7EBB"/>
            </w:tcBorders>
          </w:tcPr>
          <w:p>
            <w:pPr>
              <w:spacing w:after="0"/>
              <w:rPr>
                <w:sz w:val="14"/>
                <w:szCs w:val="14"/>
                <w:color w:val="auto"/>
              </w:rPr>
            </w:pPr>
          </w:p>
        </w:tc>
        <w:tc>
          <w:tcPr>
            <w:tcW w:w="460" w:type="dxa"/>
            <w:vAlign w:val="bottom"/>
            <w:tcBorders>
              <w:bottom w:val="single" w:sz="8" w:color="4A7EBB"/>
            </w:tcBorders>
            <w:gridSpan w:val="2"/>
            <w:shd w:val="clear" w:color="auto" w:fill="DBE5F1"/>
          </w:tcPr>
          <w:p>
            <w:pPr>
              <w:ind w:left="100"/>
              <w:spacing w:after="0" w:line="162" w:lineRule="exact"/>
              <w:rPr>
                <w:sz w:val="20"/>
                <w:szCs w:val="20"/>
                <w:color w:val="auto"/>
              </w:rPr>
            </w:pPr>
            <w:r>
              <w:rPr>
                <w:rFonts w:ascii="Arial" w:cs="Arial" w:eastAsia="Arial" w:hAnsi="Arial"/>
                <w:sz w:val="16"/>
                <w:szCs w:val="16"/>
                <w:color w:val="auto"/>
              </w:rPr>
              <w:t>​ ​</w:t>
            </w:r>
          </w:p>
        </w:tc>
        <w:tc>
          <w:tcPr>
            <w:tcW w:w="1080" w:type="dxa"/>
            <w:vAlign w:val="bottom"/>
            <w:tcBorders>
              <w:bottom w:val="single" w:sz="8" w:color="4A7EBB"/>
            </w:tcBorders>
            <w:shd w:val="clear" w:color="auto" w:fill="DBE5F1"/>
          </w:tcPr>
          <w:p>
            <w:pPr>
              <w:jc w:val="right"/>
              <w:ind w:right="399"/>
              <w:spacing w:after="0" w:line="162" w:lineRule="exact"/>
              <w:rPr>
                <w:sz w:val="20"/>
                <w:szCs w:val="20"/>
                <w:color w:val="auto"/>
              </w:rPr>
            </w:pPr>
            <w:r>
              <w:rPr>
                <w:rFonts w:ascii="Arial" w:cs="Arial" w:eastAsia="Arial" w:hAnsi="Arial"/>
                <w:sz w:val="16"/>
                <w:szCs w:val="16"/>
                <w:b w:val="1"/>
                <w:bCs w:val="1"/>
                <w:color w:val="auto"/>
              </w:rPr>
              <w:t>2026</w:t>
            </w:r>
          </w:p>
        </w:tc>
        <w:tc>
          <w:tcPr>
            <w:tcW w:w="440" w:type="dxa"/>
            <w:vAlign w:val="bottom"/>
            <w:tcBorders>
              <w:bottom w:val="single" w:sz="8" w:color="4A7EBB"/>
            </w:tcBorders>
            <w:shd w:val="clear" w:color="auto" w:fill="DBE5F1"/>
          </w:tcPr>
          <w:p>
            <w:pPr>
              <w:ind w:left="80"/>
              <w:spacing w:after="0" w:line="162" w:lineRule="exact"/>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w:t>
            </w:r>
          </w:p>
        </w:tc>
        <w:tc>
          <w:tcPr>
            <w:tcW w:w="1040" w:type="dxa"/>
            <w:vAlign w:val="bottom"/>
            <w:tcBorders>
              <w:bottom w:val="single" w:sz="8" w:color="4A7EBB"/>
            </w:tcBorders>
            <w:shd w:val="clear" w:color="auto" w:fill="DBE5F1"/>
          </w:tcPr>
          <w:p>
            <w:pPr>
              <w:jc w:val="right"/>
              <w:ind w:right="359"/>
              <w:spacing w:after="0" w:line="162" w:lineRule="exact"/>
              <w:rPr>
                <w:sz w:val="20"/>
                <w:szCs w:val="20"/>
                <w:color w:val="auto"/>
              </w:rPr>
            </w:pPr>
            <w:r>
              <w:rPr>
                <w:rFonts w:ascii="Arial" w:cs="Arial" w:eastAsia="Arial" w:hAnsi="Arial"/>
                <w:sz w:val="16"/>
                <w:szCs w:val="16"/>
                <w:b w:val="1"/>
                <w:bCs w:val="1"/>
                <w:color w:val="auto"/>
              </w:rPr>
              <w:t>2025</w:t>
            </w:r>
          </w:p>
        </w:tc>
        <w:tc>
          <w:tcPr>
            <w:tcW w:w="20" w:type="dxa"/>
            <w:vAlign w:val="bottom"/>
            <w:tcBorders>
              <w:bottom w:val="single" w:sz="8" w:color="4A7EBB"/>
            </w:tcBorders>
          </w:tcPr>
          <w:p>
            <w:pPr>
              <w:spacing w:after="0"/>
              <w:rPr>
                <w:sz w:val="14"/>
                <w:szCs w:val="14"/>
                <w:color w:val="auto"/>
              </w:rPr>
            </w:pPr>
          </w:p>
        </w:tc>
      </w:tr>
      <w:tr>
        <w:trPr>
          <w:trHeight w:val="183"/>
        </w:trPr>
        <w:tc>
          <w:tcPr>
            <w:tcW w:w="6900" w:type="dxa"/>
            <w:vAlign w:val="bottom"/>
            <w:tcBorders>
              <w:bottom w:val="single" w:sz="8" w:color="4A7EBB"/>
            </w:tcBorders>
          </w:tcPr>
          <w:p>
            <w:pPr>
              <w:ind w:left="120"/>
              <w:spacing w:after="0" w:line="183" w:lineRule="exact"/>
              <w:rPr>
                <w:sz w:val="20"/>
                <w:szCs w:val="20"/>
                <w:color w:val="auto"/>
              </w:rPr>
            </w:pPr>
            <w:r>
              <w:rPr>
                <w:rFonts w:ascii="Arial" w:cs="Arial" w:eastAsia="Arial" w:hAnsi="Arial"/>
                <w:sz w:val="16"/>
                <w:szCs w:val="16"/>
                <w:color w:val="auto"/>
              </w:rPr>
              <w:t>Audit fees</w:t>
            </w:r>
          </w:p>
        </w:tc>
        <w:tc>
          <w:tcPr>
            <w:tcW w:w="260" w:type="dxa"/>
            <w:vAlign w:val="bottom"/>
            <w:tcBorders>
              <w:bottom w:val="single" w:sz="8" w:color="4A7EBB"/>
            </w:tcBorders>
          </w:tcPr>
          <w:p>
            <w:pPr>
              <w:spacing w:after="0"/>
              <w:rPr>
                <w:sz w:val="15"/>
                <w:szCs w:val="15"/>
                <w:color w:val="auto"/>
              </w:rPr>
            </w:pPr>
          </w:p>
        </w:tc>
        <w:tc>
          <w:tcPr>
            <w:tcW w:w="200" w:type="dxa"/>
            <w:vAlign w:val="bottom"/>
            <w:tcBorders>
              <w:bottom w:val="single" w:sz="8" w:color="4A7EBB"/>
            </w:tcBorders>
          </w:tcPr>
          <w:p>
            <w:pPr>
              <w:spacing w:after="0"/>
              <w:rPr>
                <w:sz w:val="15"/>
                <w:szCs w:val="15"/>
                <w:color w:val="auto"/>
              </w:rPr>
            </w:pPr>
          </w:p>
        </w:tc>
        <w:tc>
          <w:tcPr>
            <w:tcW w:w="1080" w:type="dxa"/>
            <w:vAlign w:val="bottom"/>
            <w:tcBorders>
              <w:bottom w:val="single" w:sz="8" w:color="4A7EBB"/>
            </w:tcBorders>
          </w:tcPr>
          <w:p>
            <w:pPr>
              <w:jc w:val="right"/>
              <w:spacing w:after="0" w:line="183" w:lineRule="exact"/>
              <w:rPr>
                <w:sz w:val="20"/>
                <w:szCs w:val="20"/>
                <w:color w:val="auto"/>
              </w:rPr>
            </w:pPr>
            <w:r>
              <w:rPr>
                <w:rFonts w:ascii="Arial" w:cs="Arial" w:eastAsia="Arial" w:hAnsi="Arial"/>
                <w:sz w:val="16"/>
                <w:szCs w:val="16"/>
                <w:color w:val="auto"/>
              </w:rPr>
              <w:t>$4,749,000</w:t>
            </w:r>
          </w:p>
        </w:tc>
        <w:tc>
          <w:tcPr>
            <w:tcW w:w="440" w:type="dxa"/>
            <w:vAlign w:val="bottom"/>
            <w:tcBorders>
              <w:bottom w:val="single" w:sz="8" w:color="4A7EBB"/>
            </w:tcBorders>
          </w:tcPr>
          <w:p>
            <w:pPr>
              <w:spacing w:after="0"/>
              <w:rPr>
                <w:sz w:val="15"/>
                <w:szCs w:val="15"/>
                <w:color w:val="auto"/>
              </w:rPr>
            </w:pPr>
          </w:p>
        </w:tc>
        <w:tc>
          <w:tcPr>
            <w:tcW w:w="1040" w:type="dxa"/>
            <w:vAlign w:val="bottom"/>
            <w:tcBorders>
              <w:bottom w:val="single" w:sz="8" w:color="4A7EBB"/>
            </w:tcBorders>
          </w:tcPr>
          <w:p>
            <w:pPr>
              <w:jc w:val="right"/>
              <w:spacing w:after="0" w:line="183" w:lineRule="exact"/>
              <w:rPr>
                <w:sz w:val="20"/>
                <w:szCs w:val="20"/>
                <w:color w:val="auto"/>
              </w:rPr>
            </w:pPr>
            <w:r>
              <w:rPr>
                <w:rFonts w:ascii="Arial" w:cs="Arial" w:eastAsia="Arial" w:hAnsi="Arial"/>
                <w:sz w:val="16"/>
                <w:szCs w:val="16"/>
                <w:color w:val="auto"/>
              </w:rPr>
              <w:t>$4,224,000</w:t>
            </w:r>
          </w:p>
        </w:tc>
        <w:tc>
          <w:tcPr>
            <w:tcW w:w="20" w:type="dxa"/>
            <w:vAlign w:val="bottom"/>
            <w:tcBorders>
              <w:bottom w:val="single" w:sz="8" w:color="4A7EBB"/>
            </w:tcBorders>
          </w:tcPr>
          <w:p>
            <w:pPr>
              <w:spacing w:after="0"/>
              <w:rPr>
                <w:sz w:val="15"/>
                <w:szCs w:val="15"/>
                <w:color w:val="auto"/>
              </w:rPr>
            </w:pPr>
          </w:p>
        </w:tc>
      </w:tr>
      <w:tr>
        <w:trPr>
          <w:trHeight w:val="183"/>
        </w:trPr>
        <w:tc>
          <w:tcPr>
            <w:tcW w:w="7360" w:type="dxa"/>
            <w:vAlign w:val="bottom"/>
            <w:tcBorders>
              <w:bottom w:val="single" w:sz="8" w:color="4A7EBB"/>
            </w:tcBorders>
            <w:gridSpan w:val="3"/>
            <w:shd w:val="clear" w:color="auto" w:fill="F2F2F2"/>
          </w:tcPr>
          <w:p>
            <w:pPr>
              <w:ind w:left="120"/>
              <w:spacing w:after="0" w:line="183" w:lineRule="exact"/>
              <w:rPr>
                <w:sz w:val="20"/>
                <w:szCs w:val="20"/>
                <w:color w:val="auto"/>
              </w:rPr>
            </w:pPr>
            <w:r>
              <w:rPr>
                <w:rFonts w:ascii="Arial" w:cs="Arial" w:eastAsia="Arial" w:hAnsi="Arial"/>
                <w:sz w:val="16"/>
                <w:szCs w:val="16"/>
                <w:color w:val="auto"/>
              </w:rPr>
              <w:t>Audit-related fees</w:t>
            </w:r>
          </w:p>
        </w:tc>
        <w:tc>
          <w:tcPr>
            <w:tcW w:w="1080" w:type="dxa"/>
            <w:vAlign w:val="bottom"/>
            <w:tcBorders>
              <w:bottom w:val="single" w:sz="8" w:color="4A7EBB"/>
            </w:tcBorders>
            <w:shd w:val="clear" w:color="auto" w:fill="F2F2F2"/>
          </w:tcPr>
          <w:p>
            <w:pPr>
              <w:jc w:val="right"/>
              <w:spacing w:after="0" w:line="183" w:lineRule="exact"/>
              <w:rPr>
                <w:sz w:val="20"/>
                <w:szCs w:val="20"/>
                <w:color w:val="auto"/>
              </w:rPr>
            </w:pPr>
            <w:r>
              <w:rPr>
                <w:rFonts w:ascii="Arial" w:cs="Arial" w:eastAsia="Arial" w:hAnsi="Arial"/>
                <w:sz w:val="16"/>
                <w:szCs w:val="16"/>
                <w:color w:val="auto"/>
              </w:rPr>
              <w:t>485,000</w:t>
            </w:r>
          </w:p>
        </w:tc>
        <w:tc>
          <w:tcPr>
            <w:tcW w:w="440" w:type="dxa"/>
            <w:vAlign w:val="bottom"/>
            <w:tcBorders>
              <w:bottom w:val="single" w:sz="8" w:color="4A7EBB"/>
            </w:tcBorders>
            <w:shd w:val="clear" w:color="auto" w:fill="F2F2F2"/>
          </w:tcPr>
          <w:p>
            <w:pPr>
              <w:spacing w:after="0"/>
              <w:rPr>
                <w:sz w:val="15"/>
                <w:szCs w:val="15"/>
                <w:color w:val="auto"/>
              </w:rPr>
            </w:pPr>
          </w:p>
        </w:tc>
        <w:tc>
          <w:tcPr>
            <w:tcW w:w="1040" w:type="dxa"/>
            <w:vAlign w:val="bottom"/>
            <w:tcBorders>
              <w:bottom w:val="single" w:sz="8" w:color="4A7EBB"/>
            </w:tcBorders>
            <w:shd w:val="clear" w:color="auto" w:fill="F2F2F2"/>
          </w:tcPr>
          <w:p>
            <w:pPr>
              <w:jc w:val="right"/>
              <w:spacing w:after="0" w:line="183" w:lineRule="exact"/>
              <w:rPr>
                <w:sz w:val="20"/>
                <w:szCs w:val="20"/>
                <w:color w:val="auto"/>
              </w:rPr>
            </w:pPr>
            <w:r>
              <w:rPr>
                <w:rFonts w:ascii="Arial" w:cs="Arial" w:eastAsia="Arial" w:hAnsi="Arial"/>
                <w:sz w:val="16"/>
                <w:szCs w:val="16"/>
                <w:color w:val="auto"/>
              </w:rPr>
              <w:t>389,000</w:t>
            </w:r>
          </w:p>
        </w:tc>
        <w:tc>
          <w:tcPr>
            <w:tcW w:w="20" w:type="dxa"/>
            <w:vAlign w:val="bottom"/>
            <w:tcBorders>
              <w:bottom w:val="single" w:sz="8" w:color="4A7EBB"/>
            </w:tcBorders>
          </w:tcPr>
          <w:p>
            <w:pPr>
              <w:spacing w:after="0"/>
              <w:rPr>
                <w:sz w:val="15"/>
                <w:szCs w:val="15"/>
                <w:color w:val="auto"/>
              </w:rPr>
            </w:pPr>
          </w:p>
        </w:tc>
      </w:tr>
      <w:tr>
        <w:trPr>
          <w:trHeight w:val="183"/>
        </w:trPr>
        <w:tc>
          <w:tcPr>
            <w:tcW w:w="7360" w:type="dxa"/>
            <w:vAlign w:val="bottom"/>
            <w:tcBorders>
              <w:bottom w:val="single" w:sz="8" w:color="4A7EBB"/>
            </w:tcBorders>
            <w:gridSpan w:val="3"/>
          </w:tcPr>
          <w:p>
            <w:pPr>
              <w:ind w:left="120"/>
              <w:spacing w:after="0" w:line="183" w:lineRule="exact"/>
              <w:rPr>
                <w:sz w:val="20"/>
                <w:szCs w:val="20"/>
                <w:color w:val="auto"/>
              </w:rPr>
            </w:pPr>
            <w:r>
              <w:rPr>
                <w:rFonts w:ascii="Arial" w:cs="Arial" w:eastAsia="Arial" w:hAnsi="Arial"/>
                <w:sz w:val="16"/>
                <w:szCs w:val="16"/>
                <w:color w:val="auto"/>
              </w:rPr>
              <w:t>Tax fees</w:t>
            </w:r>
          </w:p>
        </w:tc>
        <w:tc>
          <w:tcPr>
            <w:tcW w:w="1080" w:type="dxa"/>
            <w:vAlign w:val="bottom"/>
            <w:tcBorders>
              <w:bottom w:val="single" w:sz="8" w:color="4A7EBB"/>
            </w:tcBorders>
          </w:tcPr>
          <w:p>
            <w:pPr>
              <w:jc w:val="right"/>
              <w:spacing w:after="0" w:line="183" w:lineRule="exact"/>
              <w:rPr>
                <w:sz w:val="20"/>
                <w:szCs w:val="20"/>
                <w:color w:val="auto"/>
              </w:rPr>
            </w:pPr>
            <w:r>
              <w:rPr>
                <w:rFonts w:ascii="Arial" w:cs="Arial" w:eastAsia="Arial" w:hAnsi="Arial"/>
                <w:sz w:val="16"/>
                <w:szCs w:val="16"/>
                <w:color w:val="auto"/>
              </w:rPr>
              <w:t>1,240,000</w:t>
            </w:r>
          </w:p>
        </w:tc>
        <w:tc>
          <w:tcPr>
            <w:tcW w:w="440" w:type="dxa"/>
            <w:vAlign w:val="bottom"/>
            <w:tcBorders>
              <w:bottom w:val="single" w:sz="8" w:color="4A7EBB"/>
            </w:tcBorders>
          </w:tcPr>
          <w:p>
            <w:pPr>
              <w:spacing w:after="0"/>
              <w:rPr>
                <w:sz w:val="15"/>
                <w:szCs w:val="15"/>
                <w:color w:val="auto"/>
              </w:rPr>
            </w:pPr>
          </w:p>
        </w:tc>
        <w:tc>
          <w:tcPr>
            <w:tcW w:w="1040" w:type="dxa"/>
            <w:vAlign w:val="bottom"/>
            <w:tcBorders>
              <w:bottom w:val="single" w:sz="8" w:color="4A7EBB"/>
            </w:tcBorders>
          </w:tcPr>
          <w:p>
            <w:pPr>
              <w:jc w:val="right"/>
              <w:spacing w:after="0" w:line="183" w:lineRule="exact"/>
              <w:rPr>
                <w:sz w:val="20"/>
                <w:szCs w:val="20"/>
                <w:color w:val="auto"/>
              </w:rPr>
            </w:pPr>
            <w:r>
              <w:rPr>
                <w:rFonts w:ascii="Arial" w:cs="Arial" w:eastAsia="Arial" w:hAnsi="Arial"/>
                <w:sz w:val="16"/>
                <w:szCs w:val="16"/>
                <w:color w:val="auto"/>
              </w:rPr>
              <w:t>798,000</w:t>
            </w:r>
          </w:p>
        </w:tc>
        <w:tc>
          <w:tcPr>
            <w:tcW w:w="20" w:type="dxa"/>
            <w:vAlign w:val="bottom"/>
            <w:tcBorders>
              <w:bottom w:val="single" w:sz="8" w:color="4A7EBB"/>
            </w:tcBorders>
          </w:tcPr>
          <w:p>
            <w:pPr>
              <w:spacing w:after="0"/>
              <w:rPr>
                <w:sz w:val="15"/>
                <w:szCs w:val="15"/>
                <w:color w:val="auto"/>
              </w:rPr>
            </w:pPr>
          </w:p>
        </w:tc>
      </w:tr>
      <w:tr>
        <w:trPr>
          <w:trHeight w:val="183"/>
        </w:trPr>
        <w:tc>
          <w:tcPr>
            <w:tcW w:w="7360" w:type="dxa"/>
            <w:vAlign w:val="bottom"/>
            <w:tcBorders>
              <w:bottom w:val="single" w:sz="8" w:color="4A7EBB"/>
            </w:tcBorders>
            <w:gridSpan w:val="3"/>
            <w:shd w:val="clear" w:color="auto" w:fill="F2F2F2"/>
          </w:tcPr>
          <w:p>
            <w:pPr>
              <w:ind w:left="120"/>
              <w:spacing w:after="0" w:line="183" w:lineRule="exact"/>
              <w:rPr>
                <w:sz w:val="20"/>
                <w:szCs w:val="20"/>
                <w:color w:val="auto"/>
              </w:rPr>
            </w:pPr>
            <w:r>
              <w:rPr>
                <w:rFonts w:ascii="Arial" w:cs="Arial" w:eastAsia="Arial" w:hAnsi="Arial"/>
                <w:sz w:val="16"/>
                <w:szCs w:val="16"/>
                <w:color w:val="auto"/>
              </w:rPr>
              <w:t>All other fees</w:t>
            </w:r>
          </w:p>
        </w:tc>
        <w:tc>
          <w:tcPr>
            <w:tcW w:w="1080" w:type="dxa"/>
            <w:vAlign w:val="bottom"/>
            <w:tcBorders>
              <w:bottom w:val="single" w:sz="8" w:color="4A7EBB"/>
            </w:tcBorders>
            <w:shd w:val="clear" w:color="auto" w:fill="F2F2F2"/>
          </w:tcPr>
          <w:p>
            <w:pPr>
              <w:jc w:val="right"/>
              <w:spacing w:after="0" w:line="183" w:lineRule="exact"/>
              <w:rPr>
                <w:sz w:val="20"/>
                <w:szCs w:val="20"/>
                <w:color w:val="auto"/>
              </w:rPr>
            </w:pPr>
            <w:r>
              <w:rPr>
                <w:rFonts w:ascii="Arial" w:cs="Arial" w:eastAsia="Arial" w:hAnsi="Arial"/>
                <w:sz w:val="16"/>
                <w:szCs w:val="16"/>
                <w:color w:val="auto"/>
              </w:rPr>
              <w:t>-</w:t>
            </w:r>
          </w:p>
        </w:tc>
        <w:tc>
          <w:tcPr>
            <w:tcW w:w="440" w:type="dxa"/>
            <w:vAlign w:val="bottom"/>
            <w:tcBorders>
              <w:bottom w:val="single" w:sz="8" w:color="4A7EBB"/>
            </w:tcBorders>
            <w:shd w:val="clear" w:color="auto" w:fill="F2F2F2"/>
          </w:tcPr>
          <w:p>
            <w:pPr>
              <w:spacing w:after="0"/>
              <w:rPr>
                <w:sz w:val="15"/>
                <w:szCs w:val="15"/>
                <w:color w:val="auto"/>
              </w:rPr>
            </w:pPr>
          </w:p>
        </w:tc>
        <w:tc>
          <w:tcPr>
            <w:tcW w:w="1040" w:type="dxa"/>
            <w:vAlign w:val="bottom"/>
            <w:tcBorders>
              <w:bottom w:val="single" w:sz="8" w:color="4A7EBB"/>
            </w:tcBorders>
            <w:shd w:val="clear" w:color="auto" w:fill="F2F2F2"/>
          </w:tcPr>
          <w:p>
            <w:pPr>
              <w:jc w:val="right"/>
              <w:spacing w:after="0" w:line="183" w:lineRule="exact"/>
              <w:rPr>
                <w:sz w:val="20"/>
                <w:szCs w:val="20"/>
                <w:color w:val="auto"/>
              </w:rPr>
            </w:pPr>
            <w:r>
              <w:rPr>
                <w:rFonts w:ascii="Arial" w:cs="Arial" w:eastAsia="Arial" w:hAnsi="Arial"/>
                <w:sz w:val="16"/>
                <w:szCs w:val="16"/>
                <w:color w:val="auto"/>
              </w:rPr>
              <w:t>5,000</w:t>
            </w:r>
          </w:p>
        </w:tc>
        <w:tc>
          <w:tcPr>
            <w:tcW w:w="20" w:type="dxa"/>
            <w:vAlign w:val="bottom"/>
            <w:tcBorders>
              <w:bottom w:val="single" w:sz="8" w:color="4A7EBB"/>
            </w:tcBorders>
          </w:tcPr>
          <w:p>
            <w:pPr>
              <w:spacing w:after="0"/>
              <w:rPr>
                <w:sz w:val="15"/>
                <w:szCs w:val="15"/>
                <w:color w:val="auto"/>
              </w:rPr>
            </w:pPr>
          </w:p>
        </w:tc>
      </w:tr>
      <w:tr>
        <w:trPr>
          <w:trHeight w:val="183"/>
        </w:trPr>
        <w:tc>
          <w:tcPr>
            <w:tcW w:w="7360" w:type="dxa"/>
            <w:vAlign w:val="bottom"/>
            <w:tcBorders>
              <w:bottom w:val="single" w:sz="8" w:color="808080"/>
            </w:tcBorders>
            <w:gridSpan w:val="3"/>
          </w:tcPr>
          <w:p>
            <w:pPr>
              <w:ind w:left="120"/>
              <w:spacing w:after="0" w:line="183" w:lineRule="exact"/>
              <w:rPr>
                <w:sz w:val="20"/>
                <w:szCs w:val="20"/>
                <w:color w:val="auto"/>
              </w:rPr>
            </w:pPr>
            <w:r>
              <w:rPr>
                <w:rFonts w:ascii="Arial" w:cs="Arial" w:eastAsia="Arial" w:hAnsi="Arial"/>
                <w:sz w:val="16"/>
                <w:szCs w:val="16"/>
                <w:b w:val="1"/>
                <w:bCs w:val="1"/>
                <w:color w:val="auto"/>
              </w:rPr>
              <w:t>Total</w:t>
            </w:r>
          </w:p>
        </w:tc>
        <w:tc>
          <w:tcPr>
            <w:tcW w:w="1080" w:type="dxa"/>
            <w:vAlign w:val="bottom"/>
            <w:tcBorders>
              <w:bottom w:val="single" w:sz="8" w:color="808080"/>
            </w:tcBorders>
          </w:tcPr>
          <w:p>
            <w:pPr>
              <w:jc w:val="right"/>
              <w:spacing w:after="0" w:line="183" w:lineRule="exact"/>
              <w:rPr>
                <w:sz w:val="20"/>
                <w:szCs w:val="20"/>
                <w:color w:val="auto"/>
              </w:rPr>
            </w:pPr>
            <w:r>
              <w:rPr>
                <w:rFonts w:ascii="Arial" w:cs="Arial" w:eastAsia="Arial" w:hAnsi="Arial"/>
                <w:sz w:val="16"/>
                <w:szCs w:val="16"/>
                <w:b w:val="1"/>
                <w:bCs w:val="1"/>
                <w:color w:val="auto"/>
              </w:rPr>
              <w:t>$6,474,000</w:t>
            </w:r>
          </w:p>
        </w:tc>
        <w:tc>
          <w:tcPr>
            <w:tcW w:w="440" w:type="dxa"/>
            <w:vAlign w:val="bottom"/>
            <w:tcBorders>
              <w:bottom w:val="single" w:sz="8" w:color="808080"/>
            </w:tcBorders>
          </w:tcPr>
          <w:p>
            <w:pPr>
              <w:spacing w:after="0"/>
              <w:rPr>
                <w:sz w:val="15"/>
                <w:szCs w:val="15"/>
                <w:color w:val="auto"/>
              </w:rPr>
            </w:pPr>
          </w:p>
        </w:tc>
        <w:tc>
          <w:tcPr>
            <w:tcW w:w="1040" w:type="dxa"/>
            <w:vAlign w:val="bottom"/>
            <w:tcBorders>
              <w:bottom w:val="single" w:sz="8" w:color="808080"/>
            </w:tcBorders>
          </w:tcPr>
          <w:p>
            <w:pPr>
              <w:jc w:val="right"/>
              <w:spacing w:after="0" w:line="183" w:lineRule="exact"/>
              <w:rPr>
                <w:sz w:val="20"/>
                <w:szCs w:val="20"/>
                <w:color w:val="auto"/>
              </w:rPr>
            </w:pPr>
            <w:r>
              <w:rPr>
                <w:rFonts w:ascii="Arial" w:cs="Arial" w:eastAsia="Arial" w:hAnsi="Arial"/>
                <w:sz w:val="16"/>
                <w:szCs w:val="16"/>
                <w:b w:val="1"/>
                <w:bCs w:val="1"/>
                <w:color w:val="auto"/>
              </w:rPr>
              <w:t>$5,416,000</w:t>
            </w:r>
          </w:p>
        </w:tc>
        <w:tc>
          <w:tcPr>
            <w:tcW w:w="20" w:type="dxa"/>
            <w:vAlign w:val="bottom"/>
            <w:tcBorders>
              <w:bottom w:val="single" w:sz="8" w:color="808080"/>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6297930</wp:posOffset>
            </wp:positionH>
            <wp:positionV relativeFrom="paragraph">
              <wp:posOffset>-650875</wp:posOffset>
            </wp:positionV>
            <wp:extent cx="8890" cy="65151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8890" cy="651510"/>
                    </a:xfrm>
                    <a:prstGeom prst="rect">
                      <a:avLst/>
                    </a:prstGeom>
                    <a:noFill/>
                  </pic:spPr>
                </pic:pic>
              </a:graphicData>
            </a:graphic>
          </wp:anchor>
        </w:drawing>
        <w:drawing>
          <wp:anchor simplePos="0" relativeHeight="251657728" behindDoc="1" locked="0" layoutInCell="0" allowOverlap="1">
            <wp:simplePos x="0" y="0"/>
            <wp:positionH relativeFrom="column">
              <wp:posOffset>5509260</wp:posOffset>
            </wp:positionH>
            <wp:positionV relativeFrom="paragraph">
              <wp:posOffset>-650875</wp:posOffset>
            </wp:positionV>
            <wp:extent cx="8255" cy="65151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8255" cy="651510"/>
                    </a:xfrm>
                    <a:prstGeom prst="rect">
                      <a:avLst/>
                    </a:prstGeom>
                    <a:noFill/>
                  </pic:spPr>
                </pic:pic>
              </a:graphicData>
            </a:graphic>
          </wp:anchor>
        </w:drawing>
        <w:drawing>
          <wp:anchor simplePos="0" relativeHeight="251657728" behindDoc="1" locked="0" layoutInCell="0" allowOverlap="1">
            <wp:simplePos x="0" y="0"/>
            <wp:positionH relativeFrom="column">
              <wp:posOffset>5423535</wp:posOffset>
            </wp:positionH>
            <wp:positionV relativeFrom="paragraph">
              <wp:posOffset>-650875</wp:posOffset>
            </wp:positionV>
            <wp:extent cx="8255" cy="65151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8255" cy="651510"/>
                    </a:xfrm>
                    <a:prstGeom prst="rect">
                      <a:avLst/>
                    </a:prstGeom>
                    <a:noFill/>
                  </pic:spPr>
                </pic:pic>
              </a:graphicData>
            </a:graphic>
          </wp:anchor>
        </w:drawing>
        <w:drawing>
          <wp:anchor simplePos="0" relativeHeight="251657728" behindDoc="1" locked="0" layoutInCell="0" allowOverlap="1">
            <wp:simplePos x="0" y="0"/>
            <wp:positionH relativeFrom="column">
              <wp:posOffset>5337810</wp:posOffset>
            </wp:positionH>
            <wp:positionV relativeFrom="paragraph">
              <wp:posOffset>-650875</wp:posOffset>
            </wp:positionV>
            <wp:extent cx="8255" cy="65151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8255" cy="651510"/>
                    </a:xfrm>
                    <a:prstGeom prst="rect">
                      <a:avLst/>
                    </a:prstGeom>
                    <a:noFill/>
                  </pic:spPr>
                </pic:pic>
              </a:graphicData>
            </a:graphic>
          </wp:anchor>
        </w:drawing>
        <w:drawing>
          <wp:anchor simplePos="0" relativeHeight="251657728" behindDoc="1" locked="0" layoutInCell="0" allowOverlap="1">
            <wp:simplePos x="0" y="0"/>
            <wp:positionH relativeFrom="column">
              <wp:posOffset>4549140</wp:posOffset>
            </wp:positionH>
            <wp:positionV relativeFrom="paragraph">
              <wp:posOffset>-650875</wp:posOffset>
            </wp:positionV>
            <wp:extent cx="8890" cy="65151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8890" cy="651510"/>
                    </a:xfrm>
                    <a:prstGeom prst="rect">
                      <a:avLst/>
                    </a:prstGeom>
                    <a:noFill/>
                  </pic:spPr>
                </pic:pic>
              </a:graphicData>
            </a:graphic>
          </wp:anchor>
        </w:drawing>
        <w:drawing>
          <wp:anchor simplePos="0" relativeHeight="251657728" behindDoc="1" locked="0" layoutInCell="0" allowOverlap="1">
            <wp:simplePos x="0" y="0"/>
            <wp:positionH relativeFrom="column">
              <wp:posOffset>4463415</wp:posOffset>
            </wp:positionH>
            <wp:positionV relativeFrom="paragraph">
              <wp:posOffset>-650875</wp:posOffset>
            </wp:positionV>
            <wp:extent cx="8890" cy="65151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8890" cy="651510"/>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AUDIT FEES</w:t>
      </w:r>
    </w:p>
    <w:p>
      <w:pPr>
        <w:spacing w:after="0" w:line="175"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Audit fees include services associated with the audit of our annual financial statements included in our Annual Report on Form 10-K, the audit of management’s assessment and overall effectiveness of internal control over financial reporting, review of financial statements included in our quarterly reports on Form 10-Q and statutory audits of foreign subsidiaries during each fiscal year.</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AUDIT-RELATED FEES</w:t>
      </w:r>
    </w:p>
    <w:p>
      <w:pPr>
        <w:spacing w:after="0" w:line="175"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In fiscal 2026, audit-related fees included financial due diligence procedures performed with respect to a potential strategic opportunity that did not come to fruition. In fiscal 2025, audit-related fees included financial due diligence procedures performed with respect to the All We Wear Group (AWWG) acquisition.</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TAX FEES</w:t>
      </w:r>
    </w:p>
    <w:p>
      <w:pPr>
        <w:spacing w:after="0" w:line="189"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Tax fees include services related to U.S. federal, state and local and international tax compliance, assistance with tax audits, tax advice and tax planning. These services also included services related to sales and use tax administration, transfer pricing studies and assistance on miscellaneous international tax issues. Additionally, in fiscal 2026, tax fees included financial due diligence procedures performed with respect to a potential strategic opportunity that did not come to fruition.</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ALL OTHER FEES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All other fees include services related to an accounting research tool.</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REVIEW AND APPROVAL OF SERVICES AND FEES</w:t>
      </w:r>
    </w:p>
    <w:p>
      <w:pPr>
        <w:spacing w:after="0" w:line="175"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Audit Committee has considered whether the provision of the above services is compatible with maintaining Ernst &amp; Young LLP’s independence and all of the above services were pre-approved by the Audit Committee.</w:t>
      </w:r>
    </w:p>
    <w:p>
      <w:pPr>
        <w:spacing w:after="0" w:line="154"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It is the Audit Committee’s policy to pre-approve all audit and permissible non-audit services to be performed by our independent accountants, the fees to be paid for those services and the time period over which those services are to be provided. On an annual basis, the independent accountants present a listing of all services they expect to perform for us in the ensuing one-year period, including fee estimates, in sufficient detail to enable the Audit Committee to perform an independence review of each proposed service. The Audit Committee reviews this list and approves appropriate services, which, in the Audit Committee’s judgment, will not impair the accountants’ independence. With respect to any additional services proposed to be performed by the independent accountants during the year, management will evaluate the impact on the independent accountant’s independence and obtain Audit Committee approval for such service. The Audit Committee has delegated interim pre-approval authority to the Chairman of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556895</wp:posOffset>
            </wp:positionV>
            <wp:extent cx="6292215"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288925</wp:posOffset>
            </wp:positionH>
            <wp:positionV relativeFrom="paragraph">
              <wp:posOffset>617220</wp:posOffset>
            </wp:positionV>
            <wp:extent cx="265430" cy="14605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26543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0"/>
          <w:szCs w:val="20"/>
          <w:b w:val="1"/>
          <w:bCs w:val="1"/>
          <w:color w:val="4A7EBB"/>
        </w:rPr>
        <w:t xml:space="preserve">72 </w:t>
      </w:r>
      <w:r>
        <w:rPr>
          <w:rFonts w:ascii="Arial" w:cs="Arial" w:eastAsia="Arial" w:hAnsi="Arial"/>
          <w:sz w:val="20"/>
          <w:szCs w:val="20"/>
          <w:color w:val="80808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603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40"/>
          </w:cols>
          <w:pgMar w:left="980" w:top="513" w:right="97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3" w:lineRule="exact"/>
        <w:rPr>
          <w:sz w:val="20"/>
          <w:szCs w:val="20"/>
          <w:color w:val="auto"/>
        </w:rPr>
      </w:pPr>
    </w:p>
    <w:p>
      <w:pPr>
        <w:ind w:right="120"/>
        <w:spacing w:after="0" w:line="288" w:lineRule="auto"/>
        <w:rPr>
          <w:sz w:val="20"/>
          <w:szCs w:val="20"/>
          <w:color w:val="auto"/>
        </w:rPr>
      </w:pPr>
      <w:r>
        <w:rPr>
          <w:rFonts w:ascii="Arial" w:cs="Arial" w:eastAsia="Arial" w:hAnsi="Arial"/>
          <w:sz w:val="29"/>
          <w:szCs w:val="29"/>
          <w:b w:val="1"/>
          <w:bCs w:val="1"/>
          <w:color w:val="4A7EBB"/>
        </w:rPr>
        <w:t xml:space="preserve">PROPOSAL NO. 4 </w:t>
      </w:r>
      <w:r>
        <w:rPr>
          <w:rFonts w:ascii="Arial" w:cs="Arial" w:eastAsia="Arial" w:hAnsi="Arial"/>
          <w:sz w:val="29"/>
          <w:szCs w:val="29"/>
          <w:b w:val="1"/>
          <w:bCs w:val="1"/>
          <w:color w:val="000000"/>
        </w:rPr>
        <w:t>RATIFICATION OF APPOINTMENT OF INDEPENDENT</w:t>
      </w:r>
      <w:r>
        <w:rPr>
          <w:rFonts w:ascii="Arial" w:cs="Arial" w:eastAsia="Arial" w:hAnsi="Arial"/>
          <w:sz w:val="29"/>
          <w:szCs w:val="29"/>
          <w:b w:val="1"/>
          <w:bCs w:val="1"/>
          <w:color w:val="4A7EBB"/>
        </w:rPr>
        <w:t xml:space="preserve"> </w:t>
      </w:r>
      <w:r>
        <w:rPr>
          <w:rFonts w:ascii="Arial" w:cs="Arial" w:eastAsia="Arial" w:hAnsi="Arial"/>
          <w:sz w:val="29"/>
          <w:szCs w:val="29"/>
          <w:b w:val="1"/>
          <w:bCs w:val="1"/>
          <w:color w:val="000000"/>
        </w:rPr>
        <w:t>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-57150</wp:posOffset>
            </wp:positionV>
            <wp:extent cx="6292215" cy="171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13"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stockholders will be asked to ratify the appointment by the Audit Committee of Ernst &amp; Young LLP as our independent registered public accounting firm for the fiscal year ending January 31, 2027. Ernst &amp; Young LLP has served as our auditors since 2000. If this appointment is not ratified by the stockholders, the Audit Committee will reconsider its decision. Ernst &amp; Young LLP audited our financial statements for the fiscal year ended January 31, 2026. A representative of Ernst &amp; Young LLP is expected to be present at the Annual Meeting and will have an opportunity to make a statement if such person desires to do so and is expected to be available to respond to appropriate questions from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125730</wp:posOffset>
            </wp:positionV>
            <wp:extent cx="5031740" cy="6686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5031740" cy="668655"/>
                    </a:xfrm>
                    <a:prstGeom prst="rect">
                      <a:avLst/>
                    </a:prstGeom>
                    <a:noFill/>
                  </pic:spPr>
                </pic:pic>
              </a:graphicData>
            </a:graphic>
          </wp:anchor>
        </w:drawing>
      </w:r>
    </w:p>
    <w:p>
      <w:pPr>
        <w:spacing w:after="0" w:line="388" w:lineRule="exact"/>
        <w:rPr>
          <w:sz w:val="20"/>
          <w:szCs w:val="20"/>
          <w:color w:val="auto"/>
        </w:rPr>
      </w:pPr>
    </w:p>
    <w:p>
      <w:pPr>
        <w:ind w:left="1600" w:right="1160"/>
        <w:spacing w:after="0" w:line="281" w:lineRule="auto"/>
        <w:rPr>
          <w:sz w:val="20"/>
          <w:szCs w:val="20"/>
          <w:color w:val="auto"/>
        </w:rPr>
      </w:pPr>
      <w:r>
        <w:rPr>
          <w:rFonts w:ascii="Arial" w:cs="Arial" w:eastAsia="Arial" w:hAnsi="Arial"/>
          <w:sz w:val="18"/>
          <w:szCs w:val="18"/>
          <w:b w:val="1"/>
          <w:bCs w:val="1"/>
          <w:color w:val="auto"/>
        </w:rPr>
        <w:t xml:space="preserve">The Board of Directors deems Proposal No. 4 to be in the best interests of G-III and our stockholders and recommends a vote </w:t>
      </w:r>
      <w:r>
        <w:rPr>
          <w:rFonts w:ascii="Arial" w:cs="Arial" w:eastAsia="Arial" w:hAnsi="Arial"/>
          <w:sz w:val="21"/>
          <w:szCs w:val="21"/>
          <w:b w:val="1"/>
          <w:bCs w:val="1"/>
          <w:color w:val="4A7EBB"/>
        </w:rPr>
        <w:t>FOR</w:t>
      </w:r>
      <w:r>
        <w:rPr>
          <w:rFonts w:ascii="Arial" w:cs="Arial" w:eastAsia="Arial" w:hAnsi="Arial"/>
          <w:sz w:val="18"/>
          <w:szCs w:val="18"/>
          <w:b w:val="1"/>
          <w:bCs w:val="1"/>
          <w:color w:val="auto"/>
        </w:rPr>
        <w:t xml:space="preserve"> approval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629920</wp:posOffset>
            </wp:positionV>
            <wp:extent cx="6292215"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2026 PROXY STATEMENT </w:t>
      </w:r>
      <w:r>
        <w:rPr>
          <w:rFonts w:ascii="Arial" w:cs="Arial" w:eastAsia="Arial" w:hAnsi="Arial"/>
          <w:sz w:val="19"/>
          <w:szCs w:val="19"/>
          <w:color w:val="808080"/>
        </w:rPr>
        <w:t>/</w:t>
      </w:r>
      <w:r>
        <w:rPr>
          <w:rFonts w:ascii="Arial" w:cs="Arial" w:eastAsia="Arial" w:hAnsi="Arial"/>
          <w:sz w:val="16"/>
          <w:szCs w:val="16"/>
          <w:color w:val="auto"/>
        </w:rPr>
        <w:t xml:space="preserve"> </w:t>
      </w:r>
      <w:r>
        <w:rPr>
          <w:rFonts w:ascii="Arial" w:cs="Arial" w:eastAsia="Arial" w:hAnsi="Arial"/>
          <w:sz w:val="19"/>
          <w:szCs w:val="19"/>
          <w:b w:val="1"/>
          <w:bCs w:val="1"/>
          <w:color w:val="4A7EBB"/>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365125</wp:posOffset>
            </wp:positionV>
            <wp:extent cx="6292215" cy="171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CERTAIN RELATIONSHIPS AND RELATED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24130</wp:posOffset>
            </wp:positionV>
            <wp:extent cx="6292215" cy="171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4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have had in effect for many years a Code of Ethics and Conduct that contains our conflicts of interest policy. Our Audit Committee has been responsible for reviewing transactions that might involve our Code of Ethics and Conduct and for reviewing related party transactions. In addition, our Board of Directors has adopted a written Related Party Transactions Policy. The Policy covers all transactions between us and any related party (including any transactions requiring disclosure under Item 404 of Regulation S-K), other than transactions involving less than ten thousand dollars ($10,000) when aggregated with all similar transactions. The Audit Committee is generally responsible for administering this Policy. However, our Policy permits the disinterested directors of the Board of Directors to exercise the authority otherwise assigned to the Audit Committee. A related party transaction may be consummated only if it is ratified or approved by the Audit Committee or disinterested members of the Board of Directors and if it is on terms comparable to those that could be obtained in arm’s length dealings with an unrelated third party. Our Compensation Committee reviewed and approved the compensation of Jeffrey Goldfarb set forth in this Proxy Statement and our Audit Committee ratified the approval by our Compensation Committee.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Transactions with Employees</w:t>
      </w:r>
    </w:p>
    <w:p>
      <w:pPr>
        <w:spacing w:after="0" w:line="21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Jeffrey Goldfarb, the son of Morris Goldfarb, our Chairman and Chief Executive Officer and a director of G-III, is our Executive Vice President. Jeffrey Goldfarb has been employed by us since 2002 in several different capacities. He is also a member of our Board of Directors and a Named Executive Officer. His compensation for the fiscal year ended January 31, 2026 is discussed in the “Compensation Discussion and Analysis” and in the Fiscal 2026 Summary Compensation Table, other tables relating to equity awards and the related narrative disclosure above. His employment agreement and executive transition agreement are also described elsewhere in this Proxy Statement.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Transactions with AWWG</w:t>
      </w:r>
    </w:p>
    <w:p>
      <w:pPr>
        <w:spacing w:after="0" w:line="21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fiscal 2025, we acquired an 18.7% ownership interest in AWWG and we are considered a related party of AWWG. We entered into an agreement for AWWG to be the agent for our DKNY, Donna Karan, and Karl Lagerfeld brands in Spain and Portugal. In connection with this agreement, we incurred commission, service and other fee expense of $6.9 million for fiscal 2026. As of January 31, 2026, we had $0.7 million due and payable to AWWG.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542290</wp:posOffset>
            </wp:positionV>
            <wp:extent cx="6292215"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288925</wp:posOffset>
            </wp:positionH>
            <wp:positionV relativeFrom="paragraph">
              <wp:posOffset>593725</wp:posOffset>
            </wp:positionV>
            <wp:extent cx="265430" cy="14605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26543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0"/>
          <w:szCs w:val="20"/>
          <w:b w:val="1"/>
          <w:bCs w:val="1"/>
          <w:color w:val="4A7EBB"/>
        </w:rPr>
        <w:t xml:space="preserve">74 </w:t>
      </w:r>
      <w:r>
        <w:rPr>
          <w:rFonts w:ascii="Arial" w:cs="Arial" w:eastAsia="Arial" w:hAnsi="Arial"/>
          <w:sz w:val="20"/>
          <w:szCs w:val="20"/>
          <w:color w:val="80808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STOCKHOLDER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24130</wp:posOffset>
            </wp:positionV>
            <wp:extent cx="6292215" cy="171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4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All stockholder proposals that are intended to be presented at our Annual Meeting of Stockholders to be held in 2027 must be received by us no later than January 5, 2027 for inclusion in the Board of Directors’ Proxy Statement and form of proxy relating to that meeting. Any stockholder proposal must also be proper in form and substance, as determined in accordance with the Exchange Act and the rules and regulations promulgated thereunder. All such proposals should be addressed to G-III Apparel Group, Ltd., 512 Seventh Avenue, New York, NY 10018, Attention: Secretary.</w:t>
      </w:r>
    </w:p>
    <w:p>
      <w:pPr>
        <w:spacing w:after="0" w:line="176" w:lineRule="exact"/>
        <w:rPr>
          <w:sz w:val="20"/>
          <w:szCs w:val="20"/>
          <w:color w:val="auto"/>
        </w:rPr>
      </w:pPr>
    </w:p>
    <w:p>
      <w:pPr>
        <w:jc w:val="both"/>
        <w:spacing w:after="0"/>
        <w:rPr>
          <w:sz w:val="20"/>
          <w:szCs w:val="20"/>
          <w:color w:val="auto"/>
        </w:rPr>
      </w:pPr>
      <w:r>
        <w:rPr>
          <w:rFonts w:ascii="Arial" w:cs="Arial" w:eastAsia="Arial" w:hAnsi="Arial"/>
          <w:sz w:val="18"/>
          <w:szCs w:val="18"/>
          <w:color w:val="auto"/>
        </w:rPr>
        <w:t>Any stockholder who intends to nominate a person for election to the Board of Directors or propose any other matter to be acted upon at the Annual Meeting of Stockholders to be held in 2027 (but not include such proposal in the Board of Directors’ Proxy Statement and form of proxy) must inform us no later than March 13, 2027. If notice is not provided by that date, the persons named in the proxy for the 2027 Annual Meeting will be allowed to exercise their discretionary authority to vote upon any such proposal without the matter having been discussed in the Proxy Statement for the 2027 Annual Meeting. All notices should be addressed to G-III Apparel Group, Ltd., 512 Seventh Avenue, New York, NY 10018, Attention: Secretary.</w:t>
      </w:r>
    </w:p>
    <w:p>
      <w:pPr>
        <w:spacing w:after="0" w:line="18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For the nomination of any person to the Board of Directors, the notice must set forth (a) the name, age, business address and residence address of the nominee, (b) the principal occupation or employment of the nominee, (c) the number of shares of capital stock of G-III which are owned of record and beneficially by the nominee (if any), (d) such other information concerning the nominee as would be required to be disclosed in a Proxy Statement soliciting proxies for the election of the nominee as a director in an election contest (even if an election contest is not involved) or that is otherwise required to be disclosed, under Section 14(a) of the Exchange Act and the rules and regulations promulgated thereunder, (e) the consent of the nominee to being named in the Proxy Statement as a nominee and to serving as a director if elected, and (f) as to the proposing stockholder: (i) the name and address of the proposing stockholder as they appear on G-III’s books and of the beneficial owner, if any, on whose behalf the nomination is being made, (ii) the class and number of G-III shares which are owned by the proposing stockholder (beneficially and of record) and owned by the beneficial owner, if any, on whose behalf the nomination is being made, as of the date of the proposing stockholder’s notice, (iii) a description of any agreement, arrangement or understanding with respect to such nomination between or among the proposing stockholder and any of its affiliates or associates, and any others (including their names) acting in concert with any of the foregoing, (iv) a description of any agreement, arrangement or understanding (including any derivative or short positions, profit interests, options, hedging transactions, and borrowed or loaned shares) that has been entered into as of the date of the proposing stockholder’s notice by, or on behalf of, the proposing stockholder or any of its affiliates or associates, the effect or intent of which is to mitigate loss to, manage risk or benefit of share price changes for, or increase or decrease the voting power of the proposing stockholder or any of its affiliates or associates with respect to shares of stock of G-III, (v) a representation that the proposing stockholder is a holder of record of shares of G-III entitled to vote at the meeting and intends to appear in person or by proxy at the meeting to nominate the person or persons specified in the notice, and (vi) a representation whether the proposing stockholder intends to deliver a Proxy Statement and/or form of proxy to holders of G-III’s outstanding capital stock and/or otherwise to solicit proxies from stockholders in support of the nomination. The proposing stockholder should also comply with the additional requirements of a proper notice under Rule 14a-19, which includes the statement that a dissident using the universal proxy rule intends to solicit 67% of the outstanding voting shares entitled to vote on the election of directors. G-III may require any proposed nominee to furnish such other information as it may reasonably require to determine the eligibility of such proposed nominee to serve as an independent director of G-III or that could be material to a reasonable stockholder’s understanding of the independence, or lack thereof, of such nominee.</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all business other than director nominations, the notice must set forth as to each matter the proposing stockholder proposes to bring before the annual meeting: (a) a brief description of the business desired to be brought before the annual meeting and the reasons for conducting such business at the annual meeting, (b) any other information relating to such stockholder and beneficial owner, if any, on whose behalf the proposal is being made, required to be disclosed in a Proxy Statement or other filings required to be made in connection with solicitations of proxies for the proposal and pursuant to and in accordance with Section 14(a) of the Exchange Act and the rules and regulations promulgated thereunder and (c) the information as to the proposing stockholder required by clause (f) in the first sentence of the preceding paragraph.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549275</wp:posOffset>
            </wp:positionV>
            <wp:extent cx="6292215"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7560"/>
        <w:spacing w:after="0"/>
        <w:rPr>
          <w:sz w:val="20"/>
          <w:szCs w:val="20"/>
          <w:color w:val="auto"/>
        </w:rPr>
      </w:pPr>
      <w:r>
        <w:rPr>
          <w:rFonts w:ascii="Arial" w:cs="Arial" w:eastAsia="Arial" w:hAnsi="Arial"/>
          <w:sz w:val="16"/>
          <w:szCs w:val="16"/>
          <w:color w:val="auto"/>
        </w:rPr>
        <w:t xml:space="preserve">2026 PROXY STATEMENT </w:t>
      </w:r>
      <w:r>
        <w:rPr>
          <w:rFonts w:ascii="Arial" w:cs="Arial" w:eastAsia="Arial" w:hAnsi="Arial"/>
          <w:sz w:val="19"/>
          <w:szCs w:val="19"/>
          <w:color w:val="808080"/>
        </w:rPr>
        <w:t>/</w:t>
      </w:r>
      <w:r>
        <w:rPr>
          <w:rFonts w:ascii="Arial" w:cs="Arial" w:eastAsia="Arial" w:hAnsi="Arial"/>
          <w:sz w:val="16"/>
          <w:szCs w:val="16"/>
          <w:color w:val="auto"/>
        </w:rPr>
        <w:t xml:space="preserve"> </w:t>
      </w:r>
      <w:r>
        <w:rPr>
          <w:rFonts w:ascii="Arial" w:cs="Arial" w:eastAsia="Arial" w:hAnsi="Arial"/>
          <w:sz w:val="19"/>
          <w:szCs w:val="19"/>
          <w:b w:val="1"/>
          <w:bCs w:val="1"/>
          <w:color w:val="4A7EBB"/>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365125</wp:posOffset>
            </wp:positionV>
            <wp:extent cx="6292215" cy="171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OTHER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24130</wp:posOffset>
            </wp:positionV>
            <wp:extent cx="6292215" cy="171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4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Board of Directors knows of no other business to be acted upon at the Annual Meeting. However, if any other business properly comes before the Annual Meeting, it is the intention of the persons named in the enclosed proxy to vote on such matters in accordance with their best judgment.</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prompt return of your proxy will be appreciated and helpful in obtaining the necessary vote. Therefore, whether or not you expect to attend the Annual Meeting, please sign the proxy and return it in the enclosed envelope or vote your shares by calling the telephone number or visiting the website specified on your proxy card or voting instruction form.</w:t>
      </w:r>
    </w:p>
    <w:p>
      <w:pPr>
        <w:spacing w:after="0" w:line="169"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3889375</wp:posOffset>
            </wp:positionH>
            <wp:positionV relativeFrom="paragraph">
              <wp:posOffset>8890</wp:posOffset>
            </wp:positionV>
            <wp:extent cx="848360" cy="23114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848360" cy="231140"/>
                    </a:xfrm>
                    <a:prstGeom prst="rect">
                      <a:avLst/>
                    </a:prstGeom>
                    <a:noFill/>
                  </pic:spPr>
                </pic:pic>
              </a:graphicData>
            </a:graphic>
          </wp:anchor>
        </w:drawing>
      </w:r>
    </w:p>
    <w:p>
      <w:pPr>
        <w:spacing w:after="0" w:line="354"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Michael C. Brady</w:t>
      </w:r>
    </w:p>
    <w:p>
      <w:pPr>
        <w:spacing w:after="0" w:line="9"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Secretary</w:t>
      </w:r>
    </w:p>
    <w:p>
      <w:pPr>
        <w:spacing w:after="0" w:line="234" w:lineRule="auto"/>
        <w:rPr>
          <w:sz w:val="20"/>
          <w:szCs w:val="20"/>
          <w:color w:val="auto"/>
        </w:rPr>
      </w:pPr>
      <w:r>
        <w:rPr>
          <w:rFonts w:ascii="Arial" w:cs="Arial" w:eastAsia="Arial" w:hAnsi="Arial"/>
          <w:sz w:val="18"/>
          <w:szCs w:val="18"/>
          <w:color w:val="auto"/>
        </w:rPr>
        <w:t>New York, NY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May 5, 2026</w:t>
      </w:r>
    </w:p>
    <w:p>
      <w:pPr>
        <w:spacing w:after="0" w:line="180" w:lineRule="exact"/>
        <w:rPr>
          <w:sz w:val="20"/>
          <w:szCs w:val="20"/>
          <w:color w:val="auto"/>
        </w:rPr>
      </w:pPr>
    </w:p>
    <w:p>
      <w:pPr>
        <w:jc w:val="both"/>
        <w:ind w:right="20"/>
        <w:spacing w:after="0" w:line="281" w:lineRule="auto"/>
        <w:rPr>
          <w:sz w:val="20"/>
          <w:szCs w:val="20"/>
          <w:color w:val="auto"/>
        </w:rPr>
      </w:pPr>
      <w:r>
        <w:rPr>
          <w:rFonts w:ascii="Arial" w:cs="Arial" w:eastAsia="Arial" w:hAnsi="Arial"/>
          <w:sz w:val="18"/>
          <w:szCs w:val="18"/>
          <w:b w:val="1"/>
          <w:bCs w:val="1"/>
          <w:color w:val="auto"/>
        </w:rPr>
        <w:t>A COPY OF OUR ANNUAL REPORT ON FORM 10-K WILL BE SENT WITHOUT CHARGE TO ANY STOCKHOLDER REQUESTING IT IN WRITING FROM:</w:t>
      </w:r>
    </w:p>
    <w:p>
      <w:pPr>
        <w:spacing w:after="0" w:line="223" w:lineRule="exact"/>
        <w:rPr>
          <w:sz w:val="20"/>
          <w:szCs w:val="20"/>
          <w:color w:val="auto"/>
        </w:rPr>
      </w:pPr>
    </w:p>
    <w:p>
      <w:pPr>
        <w:ind w:left="3460"/>
        <w:spacing w:after="0"/>
        <w:rPr>
          <w:sz w:val="20"/>
          <w:szCs w:val="20"/>
          <w:color w:val="auto"/>
        </w:rPr>
      </w:pPr>
      <w:r>
        <w:rPr>
          <w:sz w:val="1"/>
          <w:szCs w:val="1"/>
          <w:color w:val="auto"/>
        </w:rPr>
        <w:drawing>
          <wp:inline distT="0" distB="0" distL="0" distR="0">
            <wp:extent cx="222885" cy="154305"/>
            <wp:effectExtent l="0" t="0" r="0" b="0"/>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222885" cy="154305"/>
                    </a:xfrm>
                    <a:prstGeom prst="rect">
                      <a:avLst/>
                    </a:prstGeom>
                    <a:noFill/>
                    <a:ln>
                      <a:noFill/>
                    </a:ln>
                  </pic:spPr>
                </pic:pic>
              </a:graphicData>
            </a:graphic>
          </wp:inline>
        </w:drawing>
      </w:r>
      <w:r>
        <w:rPr>
          <w:rFonts w:ascii="Arial" w:cs="Arial" w:eastAsia="Arial" w:hAnsi="Arial"/>
          <w:sz w:val="16"/>
          <w:szCs w:val="16"/>
          <w:color w:val="auto"/>
        </w:rPr>
        <w:t xml:space="preserve"> G-III APPAREL GROUP, LTD.</w:t>
      </w:r>
    </w:p>
    <w:p>
      <w:pPr>
        <w:spacing w:after="0" w:line="49" w:lineRule="exact"/>
        <w:rPr>
          <w:sz w:val="20"/>
          <w:szCs w:val="20"/>
          <w:color w:val="auto"/>
        </w:rPr>
      </w:pPr>
    </w:p>
    <w:p>
      <w:pPr>
        <w:ind w:left="3860"/>
        <w:spacing w:after="0"/>
        <w:rPr>
          <w:sz w:val="20"/>
          <w:szCs w:val="20"/>
          <w:color w:val="auto"/>
        </w:rPr>
      </w:pPr>
      <w:r>
        <w:rPr>
          <w:rFonts w:ascii="Arial" w:cs="Arial" w:eastAsia="Arial" w:hAnsi="Arial"/>
          <w:sz w:val="16"/>
          <w:szCs w:val="16"/>
          <w:color w:val="auto"/>
        </w:rPr>
        <w:t>ATTENTION: INVESTOR RELATIONS</w:t>
      </w:r>
    </w:p>
    <w:p>
      <w:pPr>
        <w:spacing w:after="0" w:line="15" w:lineRule="exact"/>
        <w:rPr>
          <w:sz w:val="20"/>
          <w:szCs w:val="20"/>
          <w:color w:val="auto"/>
        </w:rPr>
      </w:pPr>
    </w:p>
    <w:p>
      <w:pPr>
        <w:ind w:left="3860"/>
        <w:spacing w:after="0"/>
        <w:rPr>
          <w:sz w:val="20"/>
          <w:szCs w:val="20"/>
          <w:color w:val="auto"/>
        </w:rPr>
      </w:pPr>
      <w:r>
        <w:rPr>
          <w:rFonts w:ascii="Arial" w:cs="Arial" w:eastAsia="Arial" w:hAnsi="Arial"/>
          <w:sz w:val="16"/>
          <w:szCs w:val="16"/>
          <w:color w:val="auto"/>
        </w:rPr>
        <w:t>512 SEVENTH AVENUE</w:t>
      </w:r>
    </w:p>
    <w:p>
      <w:pPr>
        <w:spacing w:after="0" w:line="19"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NEW YORK, NEW YORK 10018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459105</wp:posOffset>
            </wp:positionV>
            <wp:extent cx="629221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20"/>
          <w:szCs w:val="20"/>
          <w:b w:val="1"/>
          <w:bCs w:val="1"/>
          <w:color w:val="4A7EBB"/>
        </w:rPr>
        <w:t xml:space="preserve">76 </w:t>
      </w:r>
      <w:r>
        <w:rPr>
          <w:rFonts w:ascii="Arial" w:cs="Arial" w:eastAsia="Arial" w:hAnsi="Arial"/>
          <w:sz w:val="20"/>
          <w:szCs w:val="20"/>
          <w:color w:val="808080"/>
        </w:rPr>
        <w:t xml:space="preserve">\ </w:t>
      </w:r>
      <w:r>
        <w:rPr>
          <w:sz w:val="1"/>
          <w:szCs w:val="1"/>
          <w:color w:val="auto"/>
        </w:rPr>
        <w:drawing>
          <wp:inline distT="0" distB="0" distL="0" distR="0">
            <wp:extent cx="266065" cy="146050"/>
            <wp:effectExtent l="0" t="0" r="0" b="0"/>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266065" cy="14605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358775</wp:posOffset>
            </wp:positionV>
            <wp:extent cx="6292215" cy="171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24130</wp:posOffset>
            </wp:positionV>
            <wp:extent cx="6292215" cy="171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29"/>
          <w:szCs w:val="29"/>
          <w:b w:val="1"/>
          <w:bCs w:val="1"/>
          <w:color w:val="4A7EBB"/>
        </w:rPr>
        <w:t>G-III Apparel Group, Ltd.</w:t>
      </w:r>
    </w:p>
    <w:p>
      <w:pPr>
        <w:spacing w:after="0" w:line="34" w:lineRule="exact"/>
        <w:rPr>
          <w:sz w:val="20"/>
          <w:szCs w:val="20"/>
          <w:color w:val="auto"/>
        </w:rPr>
      </w:pPr>
    </w:p>
    <w:p>
      <w:pPr>
        <w:spacing w:after="0"/>
        <w:rPr>
          <w:sz w:val="20"/>
          <w:szCs w:val="20"/>
          <w:color w:val="auto"/>
        </w:rPr>
      </w:pPr>
      <w:r>
        <w:rPr>
          <w:rFonts w:ascii="Arial" w:cs="Arial" w:eastAsia="Arial" w:hAnsi="Arial"/>
          <w:sz w:val="29"/>
          <w:szCs w:val="29"/>
          <w:b w:val="1"/>
          <w:bCs w:val="1"/>
          <w:color w:val="4A7EBB"/>
        </w:rPr>
        <w:t>Amended 2023 Long-Term Incentive Plan</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b w:val="1"/>
          <w:bCs w:val="1"/>
          <w:color w:val="4A7EBB"/>
        </w:rPr>
        <w:t>(as proposed to be amended on June 11, 2026)</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1.1 Purpose. The purpose of the Plan is to establish a vehicle through which the Company can provide equity-based and other incentive compensation opportunities in order to facilitate its ability to recruit, motivate, reward and retain qualified individuals who contribute or are expected to contribute to the success and growth of the Company.</w:t>
      </w:r>
    </w:p>
    <w:p>
      <w:pPr>
        <w:spacing w:after="0" w:line="101"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1.2 Eligibility. Awards may be granted under the Plan to any employee or non-employee director of, and any consultant, independent contractor or other person who provides personal services to, the Company or any of its Subsidiaries, provided that Incentive Stock Options may be granted only to employees of the Company or its Subsidiaries and only if the Plan is approved by the Company’s stockholders within 12 months after the Plan is approved by the Board.</w:t>
      </w:r>
    </w:p>
    <w:p>
      <w:pPr>
        <w:spacing w:after="0" w:line="10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1.3 Types of Awards. Awards under the Plan may include, without limitation, Options, Stock Appreciation Rights, shares of Restricted Stock, Restricted Stock Units, other Share-based Awards and performance-based Cash Incentive Awards, all as described in Articles 5 through 7 hereof.</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2.1 “Award” means an award made to an eligible director, employee or consultant under the Plan.</w:t>
      </w:r>
    </w:p>
    <w:p>
      <w:pPr>
        <w:spacing w:after="0" w:line="15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2.2 “Award Agreement” means an agreement, in written or electronic form, between the Company and a Participant setting forth the terms and conditions of an Award.</w:t>
      </w:r>
    </w:p>
    <w:p>
      <w:pPr>
        <w:spacing w:after="0" w:line="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2.3 “Board” means the Board of Directors of the Company.</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2.4 “Cause” has the meaning set forth in Section 9.3(a).</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2.5 “Change in Control” has the meaning set forth in Section 9.3(b).</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2.6 “Code” means the Internal Revenue Code of 1986, as amended.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2.7 “Committee” means the Compensation Committee of the Board.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2.8 “Company” means G-III APPAREL GROUP, LTD., a Delaware corporation, and any successor thereto.</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2.9 “Exchange Act” means the Securities Exchange Act of 1934, as amended.</w:t>
      </w:r>
    </w:p>
    <w:p>
      <w:pPr>
        <w:spacing w:after="0" w:line="17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2.10 “Exercise Price” means, with respect to an Option, the price at which a holder may purchase the Shares covered by the Option and, with respect to a SAR, the baseline price of the Shares covered by the SAR.</w:t>
      </w:r>
    </w:p>
    <w:p>
      <w:pPr>
        <w:spacing w:after="0" w:line="8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2.11 “Fair Market Value” means, as of any relevant date, (1) the closing price per Share on such date on the principal securities exchange on which the Shares are traded or, if no Shares are traded on that date, the closing price per Share on the next preceding date on which Shares are traded, or (2) the value determined under such other method or convention as the Board or the Committee, acting in a consistent manner in accordance with the Plan and applicable tax law, may prescribe.</w:t>
      </w:r>
    </w:p>
    <w:p>
      <w:pPr>
        <w:spacing w:after="0" w:line="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2.12 “Good Reason” has the meaning set forth in Section 9.3(c).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317500</wp:posOffset>
            </wp:positionV>
            <wp:extent cx="6292215"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2026 PROXY STATEMENT </w:t>
      </w:r>
      <w:r>
        <w:rPr>
          <w:rFonts w:ascii="Arial" w:cs="Arial" w:eastAsia="Arial" w:hAnsi="Arial"/>
          <w:sz w:val="19"/>
          <w:szCs w:val="19"/>
          <w:color w:val="808080"/>
        </w:rPr>
        <w:t>/</w:t>
      </w:r>
      <w:r>
        <w:rPr>
          <w:rFonts w:ascii="Arial" w:cs="Arial" w:eastAsia="Arial" w:hAnsi="Arial"/>
          <w:sz w:val="16"/>
          <w:szCs w:val="16"/>
          <w:color w:val="auto"/>
        </w:rPr>
        <w:t xml:space="preserve"> </w:t>
      </w:r>
      <w:r>
        <w:rPr>
          <w:rFonts w:ascii="Arial" w:cs="Arial" w:eastAsia="Arial" w:hAnsi="Arial"/>
          <w:sz w:val="19"/>
          <w:szCs w:val="19"/>
          <w:b w:val="1"/>
          <w:bCs w:val="1"/>
          <w:color w:val="4A7EBB"/>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356235</wp:posOffset>
            </wp:positionV>
            <wp:extent cx="6292215" cy="254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2.13 “Incentive Cash Award” means a performance-based cash Award described in Section 7.2.</w:t>
      </w:r>
    </w:p>
    <w:p>
      <w:pPr>
        <w:spacing w:after="0" w:line="17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2.14 “Incentive Stock Option” or “ISO” means an Option that qualifies as an “incentive stock option” within the meaning of Section 422 of the Code.</w:t>
      </w:r>
    </w:p>
    <w:p>
      <w:pPr>
        <w:spacing w:after="0" w:line="73"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18"/>
          <w:szCs w:val="18"/>
          <w:color w:val="auto"/>
        </w:rPr>
        <w:t>2.15 “NEO” means the Company’s “named executive officers” as determined under Item 402(a) of Regulation S-K issued by the Securities and Exchange Commission.</w:t>
      </w:r>
    </w:p>
    <w:p>
      <w:pPr>
        <w:spacing w:after="0" w:line="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2.16 “Option” means an option to purchase Shares granted pursuant to Section 5.1.</w:t>
      </w:r>
    </w:p>
    <w:p>
      <w:pPr>
        <w:spacing w:after="0" w:line="171"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18"/>
          <w:szCs w:val="18"/>
          <w:color w:val="auto"/>
        </w:rPr>
        <w:t>2.17 “Participant” means any person who has been selected to receive an Award under the Plan or who holds an outstanding Award under the Plan.</w:t>
      </w:r>
    </w:p>
    <w:p>
      <w:pPr>
        <w:spacing w:after="0" w:line="7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2.18 “Performance Factors” means any of the factors listed in Section 8.2 that may be used in establishing performance goals for Awards.</w:t>
      </w:r>
    </w:p>
    <w:p>
      <w:pPr>
        <w:spacing w:after="0" w:line="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2.19 “Plan” means the incentive plan set forth herein, as it now exists or is hereafter amended.</w:t>
      </w:r>
    </w:p>
    <w:p>
      <w:pPr>
        <w:spacing w:after="0" w:line="17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2.20 “Restricted Stock” means stock issued in the name of a Participant pursuant to Section 6.1, subject to applicable transfer restrictions and vesting and other conditions.</w:t>
      </w:r>
    </w:p>
    <w:p>
      <w:pPr>
        <w:spacing w:after="0" w:line="7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2.21 “Restricted Stock Unit” or “RSU” means a contingent right to receive Shares in the future that is granted pursuant to Section 6.1.</w:t>
      </w:r>
    </w:p>
    <w:p>
      <w:pPr>
        <w:spacing w:after="0" w:line="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2.22 “Section 409A” means Section 409A of the Code.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2.23 “Shares” means shares of the Company’s common stock.</w:t>
      </w:r>
    </w:p>
    <w:p>
      <w:pPr>
        <w:spacing w:after="0" w:line="15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2.24 “Stock Appreciation Right” or “SAR” means a right to receive appreciation in the value of Shares that is granted pursuant to Section 5.2.</w:t>
      </w:r>
    </w:p>
    <w:p>
      <w:pPr>
        <w:spacing w:after="0" w:line="8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2.25 “Subsidiary” means (a) a corporation or other entity in an unbroken chain of corporations or other entities at least 50% of the total value or voting power of the equity securities of which is owned by the Company or by any other corporation or other entity in the chain, and (b) any other corporation or entity in which the Company has a 20% controlling interest, directly or indirectly, as may be designated by the Committee pursuant to the criteria set forth in Section 1.409A-1(b)(5)(iii)(E) of the Treasury regulations.</w:t>
      </w:r>
    </w:p>
    <w:p>
      <w:pPr>
        <w:spacing w:after="0" w:line="109"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18"/>
          <w:szCs w:val="18"/>
          <w:color w:val="auto"/>
        </w:rPr>
        <w:t>2.26 “Ten Percent Stockholder” means a person who owns or is deemed to own (under Section 424(d) of the Code) more than ten percent of the total combined voting power of all classes of stock of the Company or any Subsidiary.</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ADMINISTRATION</w:t>
      </w:r>
    </w:p>
    <w:p>
      <w:pPr>
        <w:spacing w:after="0" w:line="26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3.1 General. Except as specified herein or as otherwise determined by the Board, the Plan shall be administered by the Committee, the composition of which is governed by the Committee’s charter.</w:t>
      </w:r>
    </w:p>
    <w:p>
      <w:pPr>
        <w:spacing w:after="0" w:line="73"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3.2 Authority of the Committee. Subject to the provisions of the Plan, the Committee, acting in its discretion, shall have the power and authority to select the persons to whom Awards will be made, prescribe the terms and conditions of each Award and make amendments thereto, construe, interpret and apply the provisions of the Plan and of any Award Agreement, and make any and all determinations and take any and all other actions as it deems necessary or desirable in order to carry out the terms of the Plan or of any Award; provided that the Committee may not accelerate the vesting of an outstanding award by reason of the termination of a Participant’s employment unless (a) such termination is in connection with a Change in Control or on account of the Participant’s death, disability or retirement, or (b) such termination occurs for any other reason, provided that the aggregate number of shares the Company may issue by reason of such acceleration of vesting under this clause (b) may not exceed 5% of the total number of Shares that may be issued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291465</wp:posOffset>
            </wp:positionV>
            <wp:extent cx="629221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b w:val="1"/>
          <w:bCs w:val="1"/>
          <w:color w:val="4A7EBB"/>
        </w:rPr>
        <w:t xml:space="preserve">78 </w:t>
      </w:r>
      <w:r>
        <w:rPr>
          <w:rFonts w:ascii="Arial" w:cs="Arial" w:eastAsia="Arial" w:hAnsi="Arial"/>
          <w:sz w:val="20"/>
          <w:szCs w:val="20"/>
          <w:color w:val="808080"/>
        </w:rPr>
        <w:t xml:space="preserve">\ </w:t>
      </w:r>
      <w:r>
        <w:rPr>
          <w:sz w:val="1"/>
          <w:szCs w:val="1"/>
          <w:color w:val="auto"/>
        </w:rPr>
        <w:drawing>
          <wp:inline distT="0" distB="0" distL="0" distR="0">
            <wp:extent cx="266065" cy="145415"/>
            <wp:effectExtent l="0" t="0" r="0" b="0"/>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266065" cy="145415"/>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350520</wp:posOffset>
            </wp:positionV>
            <wp:extent cx="6292215" cy="254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3.3 Delegation of Authority. To the fullest extent authorized or permitted by applicable law, including, without limitation, Section 157(c) of the Delaware General Corporation Law, the Committee may (i) delegate to officers of the Company or any affiliate, or committees thereof, the authority, subject to such terms as the Committee shall determine, to perform such functions, including the authority to grant Awards, as the Committee may determine, and (ii) delegate to any person or subcommittee (who may, but need not be members of the Committee) such Plan-related administrative authority and responsibilities as it deems appropriate. The Committee may not delegate its authority with respect to non-ministerial actions relating to individuals who are subject to the reporting requirements of Section 16(a) of the Exchange Act.</w:t>
      </w:r>
    </w:p>
    <w:p>
      <w:pPr>
        <w:spacing w:after="0" w:line="104"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3.4 Indemnification. The Company shall indemnify and hold harmless each member of the Committee and the Board and any employee or director of the Company or any Subsidiary to whom any duty or power relating to the administration of the Plan or any Award is delegated from and against any loss, cost, liability (including any sum paid in settlement of a claim with the approval of the Board), damage and expense (including reasonable legal and other expenses incident thereto) arising out of or incurred in connection with the Plan, unless and except to the extent attributable to such person’s fraud or willful misconduct.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SUBJECT TO THE PLAN; INDIVIDUAL AWARD LIMITS</w:t>
      </w:r>
    </w:p>
    <w:p>
      <w:pPr>
        <w:spacing w:after="0" w:line="248"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4.1 Shares Issuable under the Plan. Subject to Section 4.2, up to 5,300,000 Shares shall be available for grant and issuance pursuant to Awards made under the Plan, any or all of which may (but need not) be issued pursuant to ISOs. For purposes of these limitations, (a) the total number of Shares covered by stock-settled SARs (and not just the number of Shares issued in settlement of such SARs) shall be deemed to have been issued under the Plan, and (b) Shares covered and/or issued pursuant to an Award will again be available for grant and issuance pursuant to subsequent Awards to the extent such Shares are covered by or relate to (1) the unexercised portion of an Option or SAR that is forfeited or otherwise terminated or canceled for any reason other than exercise, (2) Restricted Stock Awards, RSU Awards or any other forms of Award that are forfeited, (3) subject to an Award that is settled in cash or that otherwise terminates without such Shares being issued, or (4) awards granted under a stockholder-approved plan that are assumed, converted or substituted as a result of the acquisition of another company by the Company or a combination of the Company with another entity. Shares that are used or withheld to pay the exercise price of an Award or to satisfy the tax withholding obligations associated with the vesting or settlement of an Award will not be available for future grant and issuance under the Plan. Shares issued under the Plan may be either authorized and unissued Shares, or authorized and issued Shares held in the Company’s treasury, or any combination of the foregoing. For the avoidance of doubt, Shares purchased by the Company in the open market with proceeds from a cash exercise of an Option may not be added to the pool of Shares otherwise available under the Plan.</w:t>
      </w:r>
    </w:p>
    <w:p>
      <w:pPr>
        <w:spacing w:after="0" w:line="12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4.2 Adjustments for Capital Changes. In the event of a split-up, spin-off, stock dividend, extraordinary cash dividend, recapitalization, consolidation of Shares, reverse stock split or other similar capital change, the number and class of Shares that may be issued under the Plan pursuant to Section 4.1, the number, class and/or Exercise Price (if any) of Shares subject to outstanding Awards and performance goals expressed in or with respect to Shares shall be equitably adjusted by and at the discretion of the Board or the Committee in order to prevent undue dilution or enlargement of the benefits available under the Plan or an outstanding Award, as the case may be, provided that the number of Shares subject to any outstanding Award shall always be a whole number. In furtherance of the foregoing, in the event of an “equity restructuring,” each outstanding Award that constitutes a “share-based payment arrangement” (as such terms are defined in FASB Accounting Standards Codification Topic 718) shall be adjusted pursuant to this Section.</w:t>
      </w:r>
    </w:p>
    <w:p>
      <w:pPr>
        <w:spacing w:after="0" w:line="116"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4.3 Counting of Shares of An Acquired Company. In the event that a company acquired by the Company or any of its subsidiaries, or with which the Company or any of its subsidiaries combines, has shares available under a pre-existing plan approved by such entity’s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shares of the entities party to such acquisition or combination) may be used for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283210</wp:posOffset>
            </wp:positionV>
            <wp:extent cx="629221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7560"/>
        <w:spacing w:after="0"/>
        <w:rPr>
          <w:sz w:val="20"/>
          <w:szCs w:val="20"/>
          <w:color w:val="auto"/>
        </w:rPr>
      </w:pPr>
      <w:r>
        <w:rPr>
          <w:rFonts w:ascii="Arial" w:cs="Arial" w:eastAsia="Arial" w:hAnsi="Arial"/>
          <w:sz w:val="16"/>
          <w:szCs w:val="16"/>
          <w:color w:val="auto"/>
        </w:rPr>
        <w:t xml:space="preserve">2026 PROXY STATEMENT </w:t>
      </w:r>
      <w:r>
        <w:rPr>
          <w:rFonts w:ascii="Arial" w:cs="Arial" w:eastAsia="Arial" w:hAnsi="Arial"/>
          <w:sz w:val="19"/>
          <w:szCs w:val="19"/>
          <w:color w:val="808080"/>
        </w:rPr>
        <w:t>/</w:t>
      </w:r>
      <w:r>
        <w:rPr>
          <w:rFonts w:ascii="Arial" w:cs="Arial" w:eastAsia="Arial" w:hAnsi="Arial"/>
          <w:sz w:val="16"/>
          <w:szCs w:val="16"/>
          <w:color w:val="auto"/>
        </w:rPr>
        <w:t xml:space="preserve"> </w:t>
      </w:r>
      <w:r>
        <w:rPr>
          <w:rFonts w:ascii="Arial" w:cs="Arial" w:eastAsia="Arial" w:hAnsi="Arial"/>
          <w:sz w:val="19"/>
          <w:szCs w:val="19"/>
          <w:b w:val="1"/>
          <w:bCs w:val="1"/>
          <w:color w:val="4A7EBB"/>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365125</wp:posOffset>
            </wp:positionV>
            <wp:extent cx="6292215" cy="171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under the Plan and shall not reduce the Shares authorized for grant under the Plan (and Shares subject to such Awards shall not be added to the Shares available for Awards under the Plan), provided that Awards using such available Shares shall (i) not be made after the date that awards or grants could no longer have been made under the terms of the pre-existing plan, absent the acquisition or combination, and shall only be made to individuals who were not employed by or providing services to the Company or its subsidiaries immediately prior to such acquisition or combination, and (ii) be made in respect of Incentive Stock Options only to the extent allowable under Section 422 of the Code.</w:t>
      </w:r>
    </w:p>
    <w:p>
      <w:pPr>
        <w:spacing w:after="0" w:line="98"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4.4 Effect on the Prior Plan. Upon the Plan becoming effective, as described in Section 10.1, no further awards will be issued under the Company’s Amended 2015 Long-Term Incentive Plan, and no remaining shares available under such plan will become available under the Plan. Further, any awards granted under such plan after August 18, 2023 will reduce, on a one-for-one basis, the number of Shares available under the Plan.</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OPTIONS; STOCK APPRECIATION RIGHTS</w:t>
      </w:r>
    </w:p>
    <w:p>
      <w:pPr>
        <w:spacing w:after="0" w:line="248"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5.1 Grant of Company Stock Options. The Committee may grant Options to Participants upon such vesting, forfeiture and other terms and conditions as the Committee, acting in its discretion in accordance with the Plan, may determine, either at the time an Option is granted or, if the holder’s rights are not adversely affected, at any subsequent time. Each Option shall have a vesting period of at least one year from the date of grant, except when Options are granted in connection with a Participant voluntarily giving up a contractual right to a cash bonus. Each Option will be deemed not to be an ISO (a non-ISO) unless, at the time the Option is granted, the Committee specifically designates such Option as an ISO. If an Option is designated as an ISO and if part or all of the Option does not qualify as an ISO for any reason, then the Option or the portion of the Option that does not so qualify will nevertheless remain outstanding and will be characterized as a non-ISO.</w:t>
      </w:r>
    </w:p>
    <w:p>
      <w:pPr>
        <w:spacing w:after="0" w:line="116"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5.2 Grant of Stock Appreciation Rights. The Committee may grant Stock Appreciation Rights, or SARs, to Participants, either alone or in connection with the grant of an Option, upon such vesting, forfeiture and other terms and conditions as the Committee, acting in its discretion in accordance with the Plan, may determine, either at the time the SARs are granted or, if the holder’s rights are not adversely affected, at any subsequent time. SARs shall have a minimum vesting period of one year from the date of grant, except when SARs are granted in connection with a Participant voluntarily giving up a contractual right to a cash bonus. Upon exercise, the holder of an SAR shall be entitled to receive cash and/or a number of whole Shares (as determined by the Committee) having a value equal to the product of X and Y, where--</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X = the number of whole Shares as to which the SAR is being exercised, and</w:t>
      </w:r>
    </w:p>
    <w:p>
      <w:pPr>
        <w:spacing w:after="0" w:line="17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Y = the excess of (i) the Fair Market Value per Share on the date of exercise over (ii) the Exercise Price per Share covered by the SAR.</w:t>
      </w:r>
    </w:p>
    <w:p>
      <w:pPr>
        <w:spacing w:after="0" w:line="8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5.3 Exercise Price. The Committee shall determine the Exercise Price per Share under each Option and each SAR, provided that (a) the Exercise Price per Share shall be at least equal to the Fair Market Value per Share on the date the Option or SAR is granted; and (b) in the case of an ISO granted to a Ten Percent Stockholder, the Exercise Price per Share shall be at least equal to 110% of the Fair Market Value per Share on the date the ISO is granted.</w:t>
      </w:r>
    </w:p>
    <w:p>
      <w:pPr>
        <w:spacing w:after="0" w:line="93"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5.4 Repricing and Reloading Prohibited. Except in connection with a corporate transaction involving the Company (including, without limitation, any stock dividend, distribution (whether in the form of cash, Shares, other securities or other property), stock split, extraordinary cash dividend, recapitalization, change in control, reorganization, merger, consolidation, split-up, spin-off, combination, repurchase or exchange of Common Shares or other securities, or similar transaction(s)), the Company may not, without obtaining stockholder approval: (a) reduce the Exercise Price under outstanding Options or SARs; (b) cancel outstanding Options or SARs in exchange for Options or SARs with a lower Exercise Price; or (c) cancel outstanding Options or SARs in exchange for cash or other securities at a time when the per Share Exercise Price under such Options or SARs is higher than the Fair Market Value. The Committee may not grant an Option that includes a “reload”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288925</wp:posOffset>
            </wp:positionV>
            <wp:extent cx="6292215"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0"/>
          <w:szCs w:val="20"/>
          <w:b w:val="1"/>
          <w:bCs w:val="1"/>
          <w:color w:val="4A7EBB"/>
        </w:rPr>
        <w:t xml:space="preserve">80 </w:t>
      </w:r>
      <w:r>
        <w:rPr>
          <w:rFonts w:ascii="Arial" w:cs="Arial" w:eastAsia="Arial" w:hAnsi="Arial"/>
          <w:sz w:val="20"/>
          <w:szCs w:val="20"/>
          <w:color w:val="808080"/>
        </w:rPr>
        <w:t xml:space="preserve">\ </w:t>
      </w:r>
      <w:r>
        <w:rPr>
          <w:sz w:val="1"/>
          <w:szCs w:val="1"/>
          <w:color w:val="auto"/>
        </w:rPr>
        <w:drawing>
          <wp:inline distT="0" distB="0" distL="0" distR="0">
            <wp:extent cx="266065" cy="146050"/>
            <wp:effectExtent l="0" t="0" r="0" b="0"/>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266065" cy="14605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350520</wp:posOffset>
            </wp:positionV>
            <wp:extent cx="6292215" cy="254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feature or make any other Awards that have the effect of providing a “reload” feature with respect to Shares used to satisfy the Option exercise price or applicable withholding tax.</w:t>
      </w:r>
    </w:p>
    <w:p>
      <w:pPr>
        <w:spacing w:after="0" w:line="7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5.5 Exercise Period of Options and SARs. The Committee may establish such vesting, forfeiture, expiration and other conditions as it deems appropriate (on a grant-by-grant basis) with respect to the exercisability of an Option or SAR; provided, however, that, unless sooner terminated in accordance with its terms, each Option and each SAR shall automatically expire on the tenth anniversary of the date the Option or SAR is granted (or, in the case of an ISO granted to a Ten Percent Stockholder, on the fifth anniversary of the date the ISO is granted).</w:t>
      </w:r>
    </w:p>
    <w:p>
      <w:pPr>
        <w:spacing w:after="0" w:line="10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5.6 Exercise of Options. A Participant may exercise an outstanding Option that is vested and exercisable by transmitting to the Secretary of the Company (or another person designated by the Company for this purpose) a written notice identifying the Option that is being exercised and specifying the number of whole Shares to be purchased pursuant to such exercise, together with payment in full of the aggregate Exercise Price payable for such Shares and any applicable withholding taxes. The Exercise Price shall be payable in cash or by check or by any other means that the Committee may expressly permit, including, without limitation, (a) the Participant’s surrender of previously-owned Shares, (b) the Company’s withholding Shares that would otherwise be issued if the Exercise Price had been paid in cash, (c) payment pursuant to a broker-assisted cashless exercise program established and made available in accordance with applicable law, (d) any other method of payment that is permitted by applicable law, or (e) any combination of the foregoing. Applicable withholding taxes shall be payable in cash or by any other method that may be permitted or required by the Committee in accordance with Section 11.1. Shares tendered or withheld for the payment of the exercise price of an Option will be credited on the basis of the Fair Market Value of such Shares on the date they are tendered or withheld pursuant to such exercise. A Participant who is a NEO must hold at least fifty percent (50%) of any Shares received upon exercise of an Option, determined net of any Shares withheld to satisfy taxes or the exercise price, for a period of at least one (1) year following the exercise of such Option.</w:t>
      </w:r>
    </w:p>
    <w:p>
      <w:pPr>
        <w:spacing w:after="0" w:line="120"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5.7 Exercise of SARs. A Participant may exercise an outstanding SAR that is vested and exercisable by transmitting to the Secretary of the Company (or another person designated by the Company for this purpose) a written notice identifying the SAR that is being exercised and specifying the number of whole Shares for which the SAR is being exercised, together with payment in full of any applicable withholding taxes attributable to such exercise. Applicable withholding taxes shall be payable in cash or by any other method that may be permitted or required by the Committee in accordance with Section 11.1. A Participant who is a NEO must hold at least fifty percent (50%) of any Shares received upon exercise of a SAR, determined net of any Shares withheld to satisfy taxes, for a period of at least one (1) year following the exercise of such SAR.</w:t>
      </w:r>
    </w:p>
    <w:p>
      <w:pPr>
        <w:spacing w:after="0" w:line="9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5.8 Termination of Employment or Service. Unless the Committee determines otherwise at the time of grant, or thereafter if no rights of a Participant are thereby reduced, in the event of the termination of a Participant’s employment or service with the Company and its Subsidiaries, (a) the Participant will forfeit any then outstanding unvested Options or SARs, and (b) any then outstanding vested Option or SAR will remain outstanding for a period of at least 90 days (one year if such termination is due to the Participant’s death) following the date of such termination (but in no event longer than the expiration of its stated term). Notwithstanding the foregoing, if a Participant’s employment or other service is terminated by the Company or a Subsidiary for Cause (as such term is defined in Section 9.3(a) below) or at a time when grounds for such a termination exist, the Participant’s then outstanding Options and/or SARs (whether or not previously vested) shall immediately terminate and shall have no further force or effect.</w:t>
      </w:r>
    </w:p>
    <w:p>
      <w:pPr>
        <w:spacing w:after="0" w:line="11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5.9 Rights as a Stockholder. A Participant shall have no rights to vote or receive dividends or any other rights of a stockholder with respect to any Shares covered by an Option or SAR unless and until such Option or SAR is validly exercised and any such Shares are issued to the Participant (subject to Section 4.2). The Company will issue such Shares promptly after the exercise of such Option or SAR (to the extent the SAR is settled in Shares) is completed.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756920</wp:posOffset>
            </wp:positionV>
            <wp:extent cx="6292215"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7560"/>
        <w:spacing w:after="0"/>
        <w:rPr>
          <w:sz w:val="20"/>
          <w:szCs w:val="20"/>
          <w:color w:val="auto"/>
        </w:rPr>
      </w:pPr>
      <w:r>
        <w:rPr>
          <w:rFonts w:ascii="Arial" w:cs="Arial" w:eastAsia="Arial" w:hAnsi="Arial"/>
          <w:sz w:val="16"/>
          <w:szCs w:val="16"/>
          <w:color w:val="auto"/>
        </w:rPr>
        <w:t xml:space="preserve">2026 PROXY STATEMENT </w:t>
      </w:r>
      <w:r>
        <w:rPr>
          <w:rFonts w:ascii="Arial" w:cs="Arial" w:eastAsia="Arial" w:hAnsi="Arial"/>
          <w:sz w:val="19"/>
          <w:szCs w:val="19"/>
          <w:color w:val="808080"/>
        </w:rPr>
        <w:t>/</w:t>
      </w:r>
      <w:r>
        <w:rPr>
          <w:rFonts w:ascii="Arial" w:cs="Arial" w:eastAsia="Arial" w:hAnsi="Arial"/>
          <w:sz w:val="16"/>
          <w:szCs w:val="16"/>
          <w:color w:val="auto"/>
        </w:rPr>
        <w:t xml:space="preserve"> </w:t>
      </w:r>
      <w:r>
        <w:rPr>
          <w:rFonts w:ascii="Arial" w:cs="Arial" w:eastAsia="Arial" w:hAnsi="Arial"/>
          <w:sz w:val="19"/>
          <w:szCs w:val="19"/>
          <w:b w:val="1"/>
          <w:bCs w:val="1"/>
          <w:color w:val="4A7EBB"/>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365125</wp:posOffset>
            </wp:positionV>
            <wp:extent cx="6292215" cy="171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AND RESTRICTED STOCK UNIT AWARDS</w:t>
      </w:r>
    </w:p>
    <w:p>
      <w:pPr>
        <w:spacing w:after="0" w:line="248"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6.1 Grant of Restricted Stock and RSU Awards. The Committee may grant Restricted Stock Awards and/or Restricted Stock Unit Awards (RSUs) to any Participant. Under a Restricted Stock Award, the Company issues Shares to the Participant when the Award is made, subject to specified conditions and restrictions; and under an RSU Award, the Participant receives the right to receive Shares in the future upon satisfaction of specified terms and conditions. The vesting, forfeiture and other terms and conditions applicable to the Shares covered by a Restricted Stock Award or the RSUs and Shares covered by a Restricted Stock Unit Award (including, but not limited to, conditions and restrictions tied to the achievement of specified performance objectives and/or the completion of one or more specified periods of future service) will be determined by the Committee and will be set forth in the applicable Award Agreement. Each such Award will have a vesting period of at least one year from date of grant, except when such Awards are granted in connection with a Participant voluntarily giving up a contractual right to a cash bonus.</w:t>
      </w:r>
    </w:p>
    <w:p>
      <w:pPr>
        <w:spacing w:after="0" w:line="11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6.2 Restricted Shares. Shares issued pursuant to a Restricted Stock Award may be evidenced by book entries on the Company’s stock transfer records pending satisfaction of the applicable vesting conditions. If a stock certificate for restricted Shares is issued, the certificate will bear an appropriate legend to reflect the nature of the conditions and restrictions applicable to the Shares. The Company may retain physical possession of any such stock certificate and may require a Participant to deliver a stock power to the Company, endorsed in blank, in order to facilitate the transfer back to the Company of restricted Shares that are forfeited. Notwithstanding the foregoing, if a Participant forfeits Shares covered by a Restricted Stock Award, the Shares that are forfeited shall automatically be cancelled on the books and records of the Company whether or not the Participant returns a certificate for such Shares or otherwise fails or refuses to execute documents or take other action requested by the Company in connection with the cancellation of the forfeited Shares. Except to the extent otherwise provided under the Plan or the Award Agreement, a Participant who holds unvested Shares pursuant to an outstanding Restricted Stock Award shall have all of the rights of a stockholder with respect to said Shares, including the right to vote the Shares and the right to receive dividends thereon (subject to the payment and vesting conditions described in Section 6.4 below).</w:t>
      </w:r>
    </w:p>
    <w:p>
      <w:pPr>
        <w:spacing w:after="0" w:line="194"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6.3 Shares Covered by RSU Awards. No Shares will be issued pursuant to an RSU Award unless and until the applicable vesting and other conditions have been satisfied. The holder of an RSU Award shall have no rights as a stockholder with respect to Shares covered by the RSUs unless and until the RSUs becomes vested and the Shares covered by the vested RSUs are issued to the Participant. Subject to Section 6.4, the Committee may provide that a Participant who holds RSUs will be entitled to receive dividend equivalent credits based upon the dividends that would have been payable with respect to the Shares covered by the RSUs if such Shares were outstanding.</w:t>
      </w:r>
    </w:p>
    <w:p>
      <w:pPr>
        <w:spacing w:after="0" w:line="111"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6.4 Dividends on Restricted Stock and RSU Shares. If a dividend is declared with respect to outstanding Shares, then, unless the Committee determines otherwise, a corresponding dividend will be credited to a Participant with respect to Shares covered by an outstanding Restricted Stock or RSU Award as if such Shares were outstanding and free of vesting and other conditions and restrictions. Dividend credits (if any) will be made in the form of cash or in the form of additional Shares of Restricted Stock or RSUs (based upon the then Fair Market Value per Share) or any combination thereof, all as determined by the Committee. Dividends credited with respect to Restricted Stock and RSU Awards shall be subject to the same vesting and forfeiture conditions and the same payment terms that are applicable to the Shares of Restricted Stock or RSU Shares to which such dividend credits apply and/or, if applicable, such different terms and conditions that may be required in order to comply with Section 409A.</w:t>
      </w:r>
    </w:p>
    <w:p>
      <w:pPr>
        <w:spacing w:after="0" w:line="10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6.5 Non-Transferability. No Restricted Stock Award and no Shares covered by a Restricted Stock Award, may be sold, assigned, transferred, disposed of, pledged or otherwise hypothecated other than to the Company or its designee in accordance with the terms of the Award or the Plan, and any attempt to do so shall be null and void.</w:t>
      </w:r>
    </w:p>
    <w:p>
      <w:pPr>
        <w:spacing w:after="0" w:line="10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6.6 Termination of Service Before Vesting; Forfeiture. Unless otherwise specified in the Award Agreement or otherwise subsequently determined by the Committee, unvested Shares held pursuant to a Restricted Stock Award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272415</wp:posOffset>
            </wp:positionV>
            <wp:extent cx="6292215"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0"/>
          <w:szCs w:val="20"/>
          <w:b w:val="1"/>
          <w:bCs w:val="1"/>
          <w:color w:val="4A7EBB"/>
        </w:rPr>
        <w:t xml:space="preserve">82 </w:t>
      </w:r>
      <w:r>
        <w:rPr>
          <w:rFonts w:ascii="Arial" w:cs="Arial" w:eastAsia="Arial" w:hAnsi="Arial"/>
          <w:sz w:val="20"/>
          <w:szCs w:val="20"/>
          <w:color w:val="808080"/>
        </w:rPr>
        <w:t xml:space="preserve">\ </w:t>
      </w:r>
      <w:r>
        <w:rPr>
          <w:sz w:val="1"/>
          <w:szCs w:val="1"/>
          <w:color w:val="auto"/>
        </w:rPr>
        <w:drawing>
          <wp:inline distT="0" distB="0" distL="0" distR="0">
            <wp:extent cx="266065" cy="145415"/>
            <wp:effectExtent l="0" t="0" r="0" b="0"/>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266065" cy="145415"/>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358775</wp:posOffset>
            </wp:positionV>
            <wp:extent cx="6292215" cy="2603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unvested RSUs held under an RSU Award shall be forfeited and canceled upon the termination of a Participant’s employment or other service with the Company and its Subsidiaries.</w:t>
      </w:r>
    </w:p>
    <w:p>
      <w:pPr>
        <w:spacing w:after="0" w:line="73"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6.7 Timing Requirement for Settlement of RSUs. Unless otherwise specified in the applicable Award Agreement, RSUs shall be settled in the form of Shares or cash (as determined by the Committee) as soon as practicable after the RSUs become vested but in no event later than the 15th day of the third month following the calendar year in which the vesting of such RSUs occurs. Notwithstanding the foregoing, the terms of an RSU Award may expressly provide that settlement of vested RSUs covered by the Award will be deferred until a later date or the occurrence of a subsequent event, provided that any such deferral provision complies with the election, distribution timing and other requirements of Section 409A.</w:t>
      </w:r>
    </w:p>
    <w:p>
      <w:pPr>
        <w:spacing w:after="0" w:line="117"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6.8 Receipt of Shares. A Participant who holds Shares that become vested under a Restricted Stock Award or who holds RSUs that become vested (to the extent the vested RSUs are settled in Shares) will be entitled to receive such Shares, subject to the payment or satisfaction of applicable withholding taxes. Applicable withholding taxes shall be payable in cash or by any other method that may be permitted or required by the Committee in accordance with Section 11.1.</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7</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FORMS OF AWARD</w:t>
      </w:r>
    </w:p>
    <w:p>
      <w:pPr>
        <w:spacing w:after="0" w:line="248"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7.1 Other Share-Based Awards. Subject to applicable law, the Committee, acting in its discretion, may grant such other forms of Award denominated or payable in, valued in whole or in part by reference to, or otherwise based upon or related to, Shares, including, without limitation, performance share awards, performance unit awards, stock bonus Awards, dividend equivalent Awards (either alone or in conjunction with other Awards), purchase rights for Shares, and Share-based Awards designed to comply with or take advantage of applicable laws outside of the United States. Each such Share-based Award will be made upon such vesting, forfeiture, performance and other terms and conditions as the Committee, acting in its discretion, may determine. The vesting or earn out period under any such Award may not be less than one year, except when such Awards are granted in connection with a Participant voluntarily giving up a contractual right to a cash bonus. Dividend equivalent awards made in conjunction with other Share-based Awards shall be subject to the same vesting and forfeiture conditions and the same payment terms of the corresponding Share-based Awards and/or, if applicable, such different terms and conditions that may be required in order to comply with Section 409A. If and when a Share-based Award granted under this Section becomes payable, payment may be made in the form of cash, whole Shares or a combination of cash and whole Shares (as determined by the Committee), with a payment in Shares being based upon their Fair Market Value on the applicable vesting or payment date(s).</w:t>
      </w:r>
    </w:p>
    <w:p>
      <w:pPr>
        <w:spacing w:after="0" w:line="12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7.2 Cash Incentive Awards. The Committee may make annual and/or long-term Cash Incentive Awards pursuant to which a Participant may earn the right to receive a cash payment that is conditioned upon the achievement of a specified performance goal or goals established by the Committee and communicated to the Participant as soon as practicable after the beginning of the applicable performance period and the satisfaction of such other terms and conditions as the Committee may prescribe. A Cash Incentive Award will be payable in the form of a single sum cash payment on or as soon as practicable after the date the Award becomes earned and vested, but in no event later than the 15th day of the third month of the calendar year (or the applicable tax year) following the year in which such vesting occurs. Notwithstanding the foregoing, the Committee may require or permit the deferred payment and/or installment payout of all or part of any such Cash Incentive Award if (and only if) the Award is exempt from Section 409A or, if not so exempt, the deferred payout complies with the applicable terms and conditions of Section 409A.</w:t>
      </w:r>
    </w:p>
    <w:p>
      <w:pPr>
        <w:spacing w:after="0" w:line="9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7.3 Termination of Service Before Vesting; Forfeiture. Unless otherwise specified in the Award Agreement or otherwise subsequently determined by the Committee, unearned and/or unvested Share-based Awards and Cash Incentive Awards granted under this Article shall be forfeited and canceled upon the termination of a Participant’s employment or other service with the Company and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276860</wp:posOffset>
            </wp:positionV>
            <wp:extent cx="6292215"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ind w:left="7560"/>
        <w:spacing w:after="0"/>
        <w:rPr>
          <w:sz w:val="20"/>
          <w:szCs w:val="20"/>
          <w:color w:val="auto"/>
        </w:rPr>
      </w:pPr>
      <w:r>
        <w:rPr>
          <w:rFonts w:ascii="Arial" w:cs="Arial" w:eastAsia="Arial" w:hAnsi="Arial"/>
          <w:sz w:val="16"/>
          <w:szCs w:val="16"/>
          <w:color w:val="auto"/>
        </w:rPr>
        <w:t xml:space="preserve">2026 PROXY STATEMENT </w:t>
      </w:r>
      <w:r>
        <w:rPr>
          <w:rFonts w:ascii="Arial" w:cs="Arial" w:eastAsia="Arial" w:hAnsi="Arial"/>
          <w:sz w:val="19"/>
          <w:szCs w:val="19"/>
          <w:color w:val="808080"/>
        </w:rPr>
        <w:t>/</w:t>
      </w:r>
      <w:r>
        <w:rPr>
          <w:rFonts w:ascii="Arial" w:cs="Arial" w:eastAsia="Arial" w:hAnsi="Arial"/>
          <w:sz w:val="16"/>
          <w:szCs w:val="16"/>
          <w:color w:val="auto"/>
        </w:rPr>
        <w:t xml:space="preserve"> </w:t>
      </w:r>
      <w:r>
        <w:rPr>
          <w:rFonts w:ascii="Arial" w:cs="Arial" w:eastAsia="Arial" w:hAnsi="Arial"/>
          <w:sz w:val="19"/>
          <w:szCs w:val="19"/>
          <w:b w:val="1"/>
          <w:bCs w:val="1"/>
          <w:color w:val="4A7EBB"/>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356235</wp:posOffset>
            </wp:positionV>
            <wp:extent cx="6292215" cy="254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7.4 Dividend Equivalents under Performance-Based Awards. Dividends or dividend equivalents, if any, paid or credited with respect to performance-based Awards will be subject to the same performance conditions as apply to the underlying Awards.</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8</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PERFORMANCE-BASED AWARDS</w:t>
      </w:r>
    </w:p>
    <w:p>
      <w:pPr>
        <w:spacing w:after="0" w:line="26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8.1 Performance-Based Awards--General. The Committee may provide that the grant, exercise, vesting, amount and/or settlement of an Award shall be contingent upon achievement of one or more objective performance goals, which shall be prescribed in writing by the Committee. Such performance goals shall be based on any one or more of the Performance Factors listed in Section 8.2 and may be expressed in absolute terms, relative to performance in prior periods and/or relative to performance of other companies or an index of other companies or on such other basis as the Committee may determine. All determinations as to the establishment of performance goals, the amount of cash and/or the number of Shares that may be earned under such Award, the target level (and, if applicable, minimum and maximum levels) of performance goal achievement required as a condition of earning the Award, and the earned value of any such performance-based Award shall be made by the Committee and shall be recorded in writing.</w:t>
      </w:r>
    </w:p>
    <w:p>
      <w:pPr>
        <w:spacing w:after="0" w:line="10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8.2 Performance Factors. Any one or more of the following Performance Factors may be used by the Committee in establishing performance goals for Awards, in each case taking into account such adjustments and other objective factors as the Committee may specify at the time the goal is established: (a) revenues on a corporate or product by product basis, gross profit or gross profit growth; (b) earnings from operations, earnings before or after taxes, earnings before or after interest, depreciation, amortization, incentives, service fees and/or extraordinary or special items; (c) net income or net income per share (basic or diluted); (d) return measures, including return on assets, return on investment, return on capital, total capital or tangible capital, return on sales or return on equity; (e) cash flow, free cash flow, cash flow return on investment, or net cash provided by operations; (f) economic value created or added; (g) operating margin or profit margin;</w:t>
      </w:r>
    </w:p>
    <w:p>
      <w:pPr>
        <w:ind w:left="280" w:hanging="272"/>
        <w:spacing w:after="0" w:line="238" w:lineRule="auto"/>
        <w:tabs>
          <w:tab w:leader="none" w:pos="2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expense or cost targets; (i) objective measures of customer satisfaction; (j) working capital targets; (k) inventory control;</w:t>
      </w:r>
    </w:p>
    <w:p>
      <w:pPr>
        <w:jc w:val="both"/>
        <w:ind w:firstLine="8"/>
        <w:spacing w:after="0" w:line="242" w:lineRule="auto"/>
        <w:tabs>
          <w:tab w:leader="none" w:pos="231" w:val="left"/>
        </w:tabs>
        <w:numPr>
          <w:ilvl w:val="0"/>
          <w:numId w:val="114"/>
        </w:numPr>
        <w:rPr>
          <w:rFonts w:ascii="Arial" w:cs="Arial" w:eastAsia="Arial" w:hAnsi="Arial"/>
          <w:sz w:val="18"/>
          <w:szCs w:val="18"/>
          <w:color w:val="auto"/>
        </w:rPr>
      </w:pPr>
      <w:r>
        <w:rPr>
          <w:rFonts w:ascii="Arial" w:cs="Arial" w:eastAsia="Arial" w:hAnsi="Arial"/>
          <w:sz w:val="18"/>
          <w:szCs w:val="18"/>
          <w:color w:val="auto"/>
        </w:rPr>
        <w:t>debt targets; (m) implementation, completion or attainment of measurable objectives with respect to store openings or closings, acquisitions and divestitures, and recruiting and maintaining personnel; and/or (n) share price (including, without limitation, growth measures, market capitalization and/or total stockholder return).</w:t>
      </w:r>
    </w:p>
    <w:p>
      <w:pPr>
        <w:spacing w:after="0" w:line="11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8.3 Performance Goals. In establishing performance goals with respect to an Award, the applicable Performance Factors may be determined by reference to the Company’s performance and/or the performance of any one or more Subsidiaries, divisions, business segments or business units of the Company and its Subsidiaries, and may be based upon comparisons of any of the indicators of performance relative to other companies (or subsidiaries, divisions, business segments or business units of other companies) or relevant indices. The Committee may prescribe that performance goals under any such Award will be adjusted as necessary or appropriate in order to account for changes in law or accounting rules, principles or standards or to reflect the impact of extraordinary or unusual items, events or circumstances which, if not taken into account, would result in windfalls or hardships that are not consistent with the intent and purposes of the Award, including without limitation (a) restructurings, discontinued operations, extraordinary items, and other unusual or non-recurring charges, (b) an event either not directly related to the operations of the Company or not within the reasonable control of the Company’s management, (c) acquisitions and divestitures, or (d) changes in generally accepted accounting principles.</w:t>
      </w:r>
    </w:p>
    <w:p>
      <w:pPr>
        <w:spacing w:after="0" w:line="11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8.4 Certification. No amount shall be paid and no Shares shall be distributed or released pursuant to a performance-based Award unless and until the Committee certifies in writing the extent of achievement of the applicable performance goal(s) and the corresponding amount that is earned by the Participant under such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281940</wp:posOffset>
            </wp:positionV>
            <wp:extent cx="629221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20"/>
          <w:szCs w:val="20"/>
          <w:b w:val="1"/>
          <w:bCs w:val="1"/>
          <w:color w:val="4A7EBB"/>
        </w:rPr>
        <w:t xml:space="preserve">84 </w:t>
      </w:r>
      <w:r>
        <w:rPr>
          <w:rFonts w:ascii="Arial" w:cs="Arial" w:eastAsia="Arial" w:hAnsi="Arial"/>
          <w:sz w:val="20"/>
          <w:szCs w:val="20"/>
          <w:color w:val="808080"/>
        </w:rPr>
        <w:t xml:space="preserve">\ </w:t>
      </w:r>
      <w:r>
        <w:rPr>
          <w:sz w:val="1"/>
          <w:szCs w:val="1"/>
          <w:color w:val="auto"/>
        </w:rPr>
        <w:drawing>
          <wp:inline distT="0" distB="0" distL="0" distR="0">
            <wp:extent cx="266065" cy="146050"/>
            <wp:effectExtent l="0" t="0" r="0" b="0"/>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266065" cy="14605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358775</wp:posOffset>
            </wp:positionV>
            <wp:extent cx="6292215" cy="171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9</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CHANGE IN CONTROL</w:t>
      </w:r>
    </w:p>
    <w:p>
      <w:pPr>
        <w:spacing w:after="0" w:line="248"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9.1 Assumption or Substitution of Outstanding Awards. If a “Change in Control” (as defined below) is consummated, the parties to the Change in Control may agree that outstanding Awards shall be assumed by, or converted into a substitute award for or with respect to shares of common stock of, the successor or acquiring company (or a parent company thereof) on an economically equivalent basis. If the Change in Control does not involve an agreement with a third party, and if the Shares covered by an outstanding Award are still traded on a national securities exchange, then the Committee may unilaterally require that the Award be continued, assumed, converted or substituted in accordance with this Section. The vesting and other terms of any such assumed or substitute award shall be substantially the same as the vesting and other terms and conditions of the original Award, provided that (a) if the assumed or substituted Award is an Option or SAR, the number of shares and Exercise Price shall be adjusted in accordance with the principles set forth in Sections 1.424-1(a)(5) and 1.409A-1(b)(5)(v)(D) of the Treasury regulations, and (b) if the assumed or substituted Award is not an Option or SAR, the number of shares covered by the assumed or substitute Award will be based upon the Change in Control transaction value of the Company’s outstanding Shares. If the original Award is subject to the satisfaction of performance conditions, then such performance conditions (as opposed to service conditions) shall be deemed to have been satisfied immediately prior to the consummation of the Change in Control at the greater of (x) the target performance level, or (y) the performance level that would have been attained if the rate or level of performance from the beginning of the performance period through the date of the Change in Control had continued at the same rate through the end of the performance period; provided that the Committee may in the applicable Award Agreement provide that the satisfaction of such performance conditions will be determined based on the actual performance level during the performance period through the date of the Change in Control. If reasonably feasible, the assumed or substituted Award will also provide the Participant with an opportunity to earn any remaining portion of the Award (over and above the portion deemed to have been earned under the preceding sentence) based upon the achievement of a performance goal for the entire performance period that is similar in nature to the corresponding performance goal under the original terms of the Award. Further, if, within two years following the consummation of a Change in Control, a Participant’s employment or other service terminates due to the Participant’s death or is terminated by the Company or a successor or acquiring company (or any of its or their affiliates) without “Cause” or by the Participant for “Good Reason” (as such terms are defined below), any then outstanding assumed or substitute Awards held by such terminated Participant shall immediately be fully vested and any post-Change in Control performance conditions applicable to such Award will be deemed to have been satisfied immediately prior to such termination at the maximum performance level specified in the Award for purposes of determining the extent to which the Award is earned, provided that the Committee may in the applicable Award Agreement provide that the satisfaction of such performance conditions will be determined based on the actual performance level during the performance period through the date of such termination, and any outstanding assumed or substitute Options and SARs will remain outstanding for 180 days after such termination of employment (or, if earlier, until the expiration of their original stated terms).</w:t>
      </w:r>
    </w:p>
    <w:p>
      <w:pPr>
        <w:spacing w:after="0" w:line="115"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9.2 Awards Not Assumed or Substituted. If a Change in Control occurs and an outstanding Award is not assumed, converted, substituted or continued pursuant to Section 9.1, then such Award will be deemed fully vested and any performance conditions applicable to such Award will be deemed to have been satisfied immediately prior to the consummation of the Change in Control at the maximum performance level specified in the Award for purposes of determining the extent to which the Award is earned, provided that the Committee may in the applicable Award Agreement provide that the satisfaction of such performance conditions will be determined based on the actual performance level during the performance period through the date of the Change in Control. Each such Award shall be cancelled immediately prior to the effective time of the Change in Control in exchange for an amount equal to the per Share consideration received by the holders of outstanding Shares in the Change in Control transaction, reduced in the case of an Option or SAR by the Exercise Price for such Shares. No consideration will be payable in respect of the cancellation of an Option or SAR with an Exercise Price per Share that is equal to or greater than the value of the Change in Control transaction consideration per Share. The amount payable with respect to the cancellation of an outstanding Award pursuant to this Section will be paid in cash, unless the parties to the Change in Control agree that some or all of such amount will be payable in the form of freely tradable shares of common stock of the successor or acquiring company (or a parent company thereof). Subject to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286385</wp:posOffset>
            </wp:positionV>
            <wp:extent cx="6292215"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7560"/>
        <w:spacing w:after="0"/>
        <w:rPr>
          <w:sz w:val="20"/>
          <w:szCs w:val="20"/>
          <w:color w:val="auto"/>
        </w:rPr>
      </w:pPr>
      <w:r>
        <w:rPr>
          <w:rFonts w:ascii="Arial" w:cs="Arial" w:eastAsia="Arial" w:hAnsi="Arial"/>
          <w:sz w:val="16"/>
          <w:szCs w:val="16"/>
          <w:color w:val="auto"/>
        </w:rPr>
        <w:t xml:space="preserve">2026 PROXY STATEMENT </w:t>
      </w:r>
      <w:r>
        <w:rPr>
          <w:rFonts w:ascii="Arial" w:cs="Arial" w:eastAsia="Arial" w:hAnsi="Arial"/>
          <w:sz w:val="19"/>
          <w:szCs w:val="19"/>
          <w:color w:val="808080"/>
        </w:rPr>
        <w:t>/</w:t>
      </w:r>
      <w:r>
        <w:rPr>
          <w:rFonts w:ascii="Arial" w:cs="Arial" w:eastAsia="Arial" w:hAnsi="Arial"/>
          <w:sz w:val="16"/>
          <w:szCs w:val="16"/>
          <w:color w:val="auto"/>
        </w:rPr>
        <w:t xml:space="preserve"> </w:t>
      </w:r>
      <w:r>
        <w:rPr>
          <w:rFonts w:ascii="Arial" w:cs="Arial" w:eastAsia="Arial" w:hAnsi="Arial"/>
          <w:sz w:val="19"/>
          <w:szCs w:val="19"/>
          <w:b w:val="1"/>
          <w:bCs w:val="1"/>
          <w:color w:val="4A7EBB"/>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365125</wp:posOffset>
            </wp:positionV>
            <wp:extent cx="6292215" cy="171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both"/>
        <w:spacing w:after="0"/>
        <w:rPr>
          <w:sz w:val="20"/>
          <w:szCs w:val="20"/>
          <w:color w:val="auto"/>
        </w:rPr>
      </w:pPr>
      <w:r>
        <w:rPr>
          <w:rFonts w:ascii="Arial" w:cs="Arial" w:eastAsia="Arial" w:hAnsi="Arial"/>
          <w:sz w:val="18"/>
          <w:szCs w:val="18"/>
          <w:color w:val="auto"/>
        </w:rPr>
        <w:t>11.2, the payments contemplated by this Section 9.2 shall be made upon at or as soon as practicable following (but no later than 30 days following) the effective time of the Change in Control, provided that such payments, to the extent that they constitute “transaction-based compensation” within the meaning of Section 1.409A-3(i)(5)(iv) of the Treasury regulations, may be made at later dates in accordance with the rules for transaction-based compensation under such regulations. Notwithstanding the foregoing, the Committee, acting in its discretion, may prescribe different treatment of an Award in the circumstances governed by this Section, provided that the terms of such different treatment, together with a specific reference to this Section, are set forth in the applicable Award Agreement.</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9.3 Certain Defined Terms.</w:t>
      </w:r>
    </w:p>
    <w:p>
      <w:pPr>
        <w:spacing w:after="0" w:line="171" w:lineRule="exact"/>
        <w:rPr>
          <w:sz w:val="20"/>
          <w:szCs w:val="20"/>
          <w:color w:val="auto"/>
        </w:rPr>
      </w:pPr>
    </w:p>
    <w:p>
      <w:pPr>
        <w:jc w:val="both"/>
        <w:ind w:left="660" w:hanging="4"/>
        <w:spacing w:after="0" w:line="236" w:lineRule="auto"/>
        <w:tabs>
          <w:tab w:leader="none" w:pos="976" w:val="left"/>
        </w:tabs>
        <w:numPr>
          <w:ilvl w:val="0"/>
          <w:numId w:val="115"/>
        </w:numPr>
        <w:rPr>
          <w:rFonts w:ascii="Arial" w:cs="Arial" w:eastAsia="Arial" w:hAnsi="Arial"/>
          <w:sz w:val="18"/>
          <w:szCs w:val="18"/>
          <w:color w:val="auto"/>
        </w:rPr>
      </w:pPr>
      <w:r>
        <w:rPr>
          <w:rFonts w:ascii="Arial" w:cs="Arial" w:eastAsia="Arial" w:hAnsi="Arial"/>
          <w:sz w:val="18"/>
          <w:szCs w:val="18"/>
          <w:color w:val="auto"/>
        </w:rPr>
        <w:t>“Cause” means, with respect to any Participant and unless otherwise specified in the Participant’s Award Agreement, (i) if there is an employment or other services agreement in effect between the Participant and the Company or a Subsidiary that defines the term “cause” (or a term of like import), the Participant’s engaging in conduct that constitutes “cause” (or a term of like import) within the meaning of that agreement, or (ii) if there is no such employment or other services agreement in effect, “Cause” shall mean (1) a Participant’s repeated failure or refusal to perform the duties of the Participant’s employment or other service, consistent with past practice and his or her position and title where such conduct shall not have ceased or been remedied within ten days following written warning from the Company specifying such conduct; (2) the Participant’s conviction of, or entering a plea of guilty or no contest to, a felony; (3) the Participant’s performance of any act or the Participant’s failure to act, for which, if the Participant were prosecuted and convicted, a crime or offense involving money or property of the Company would have occurred; (4) the Participant’s performance of any act or the Participant’s failure to act which constitutes fraud or a breach of a fiduciary trust, including, without limitation, misappropriation of funds or a material misrepresentation of the Company’s operating results or financial condition; (5) any attempt by the Participant to secure any personal profit (other than pursuant to the terms of the Participant’s employment or other service or through the Participant’s ownership of equity in the Company) in connection with the business of the Company (for example, without limitation, using Company assets to pursue other interests, diverting to the Participant or to a third party any business opportunity belonging to the Company, insider trading or taking bribes or kickbacks); (6) the Participant’s engagement in conduct or activities materially damaging to the property, business or reputation of the Company other than as a result of good faith performance of his or her duties; (7) the Participant’s illegal use of controlled substances; (8) any act or omission by the Participant involving malfeasance or gross negligence in the performance of the duties of the Participant’s employment or other service to the material detriment of the Company; or (9) the entry of any order of a court that remains in effect and is not discharged for a period of at least sixty days, which enjoins or otherwise limits or restricts the performance by the Participant of the duties of the Participant’s employment, relating to any contract, agreement or commitment made by or applicable to the Participant in favor of any former employer or any other person.</w:t>
      </w:r>
    </w:p>
    <w:p>
      <w:pPr>
        <w:spacing w:after="0" w:line="203" w:lineRule="exact"/>
        <w:rPr>
          <w:rFonts w:ascii="Arial" w:cs="Arial" w:eastAsia="Arial" w:hAnsi="Arial"/>
          <w:sz w:val="18"/>
          <w:szCs w:val="18"/>
          <w:color w:val="auto"/>
        </w:rPr>
      </w:pPr>
    </w:p>
    <w:p>
      <w:pPr>
        <w:ind w:left="920" w:hanging="264"/>
        <w:spacing w:after="0"/>
        <w:tabs>
          <w:tab w:leader="none" w:pos="9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 “Change in Control” shall be deemed to have occurred upon the happening of any of the following events:</w:t>
      </w:r>
    </w:p>
    <w:p>
      <w:pPr>
        <w:spacing w:after="0" w:line="171" w:lineRule="exact"/>
        <w:rPr>
          <w:rFonts w:ascii="Arial" w:cs="Arial" w:eastAsia="Arial" w:hAnsi="Arial"/>
          <w:sz w:val="18"/>
          <w:szCs w:val="18"/>
          <w:color w:val="auto"/>
        </w:rPr>
      </w:pPr>
    </w:p>
    <w:p>
      <w:pPr>
        <w:jc w:val="both"/>
        <w:ind w:left="1300" w:firstLine="4"/>
        <w:spacing w:after="0" w:line="239" w:lineRule="auto"/>
        <w:tabs>
          <w:tab w:leader="none" w:pos="1541" w:val="left"/>
        </w:tabs>
        <w:numPr>
          <w:ilvl w:val="1"/>
          <w:numId w:val="115"/>
        </w:numPr>
        <w:rPr>
          <w:rFonts w:ascii="Arial" w:cs="Arial" w:eastAsia="Arial" w:hAnsi="Arial"/>
          <w:sz w:val="18"/>
          <w:szCs w:val="18"/>
          <w:color w:val="auto"/>
        </w:rPr>
      </w:pPr>
      <w:r>
        <w:rPr>
          <w:rFonts w:ascii="Arial" w:cs="Arial" w:eastAsia="Arial" w:hAnsi="Arial"/>
          <w:sz w:val="18"/>
          <w:szCs w:val="18"/>
          <w:color w:val="auto"/>
        </w:rPr>
        <w:t>any “person” as such term is used in Sections 13(d) and 14(d) of the Exchange Act (other than the Company, a subsidiary of the Company, any trustee or other fiduciary holding securities under any employee benefit plan of the Company or any corporation owned, directly or indirectly, by the stockholders of the Company in substantially the same proportions as their ownership of stock of the Company), is or becomes, including pursuant to a tender or exchange offer for Shares pursuant to which purchases are made, the “beneficial owner” (as defined in Rule 13d-3 under the Exchange Act), directly or indirectly, of securities of the Company representing more than 50% of the combined voting power of the Company’s then outstanding securities, provided, however, that the provisions of this paragraph (a) shall not be applicable to any acquisition directly from the Company; or</w:t>
      </w:r>
    </w:p>
    <w:p>
      <w:pPr>
        <w:spacing w:after="0" w:line="115" w:lineRule="exact"/>
        <w:rPr>
          <w:rFonts w:ascii="Arial" w:cs="Arial" w:eastAsia="Arial" w:hAnsi="Arial"/>
          <w:sz w:val="18"/>
          <w:szCs w:val="18"/>
          <w:color w:val="auto"/>
        </w:rPr>
      </w:pPr>
    </w:p>
    <w:p>
      <w:pPr>
        <w:jc w:val="both"/>
        <w:ind w:left="1300" w:firstLine="4"/>
        <w:spacing w:after="0" w:line="253" w:lineRule="auto"/>
        <w:tabs>
          <w:tab w:leader="none" w:pos="1557" w:val="left"/>
        </w:tabs>
        <w:numPr>
          <w:ilvl w:val="1"/>
          <w:numId w:val="115"/>
        </w:numPr>
        <w:rPr>
          <w:rFonts w:ascii="Arial" w:cs="Arial" w:eastAsia="Arial" w:hAnsi="Arial"/>
          <w:sz w:val="18"/>
          <w:szCs w:val="18"/>
          <w:color w:val="auto"/>
        </w:rPr>
      </w:pPr>
      <w:r>
        <w:rPr>
          <w:rFonts w:ascii="Arial" w:cs="Arial" w:eastAsia="Arial" w:hAnsi="Arial"/>
          <w:sz w:val="18"/>
          <w:szCs w:val="18"/>
          <w:color w:val="auto"/>
        </w:rPr>
        <w:t>individuals who, as of the date hereof, constitute the Board (the “Incumbent Board”), shall cease for any reason to constitute at least a majority thereof; provided, however, that any individual becoming a director subsequent to the date hereof whose appointment or election by the Board or nomination for election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281940</wp:posOffset>
            </wp:positionV>
            <wp:extent cx="6292215"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20"/>
          <w:szCs w:val="20"/>
          <w:b w:val="1"/>
          <w:bCs w:val="1"/>
          <w:color w:val="4A7EBB"/>
        </w:rPr>
        <w:t xml:space="preserve">86 </w:t>
      </w:r>
      <w:r>
        <w:rPr>
          <w:rFonts w:ascii="Arial" w:cs="Arial" w:eastAsia="Arial" w:hAnsi="Arial"/>
          <w:sz w:val="20"/>
          <w:szCs w:val="20"/>
          <w:color w:val="808080"/>
        </w:rPr>
        <w:t xml:space="preserve">\ </w:t>
      </w:r>
      <w:r>
        <w:rPr>
          <w:sz w:val="1"/>
          <w:szCs w:val="1"/>
          <w:color w:val="auto"/>
        </w:rPr>
        <w:drawing>
          <wp:inline distT="0" distB="0" distL="0" distR="0">
            <wp:extent cx="266065" cy="145415"/>
            <wp:effectExtent l="0" t="0" r="0" b="0"/>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266065" cy="145415"/>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358775</wp:posOffset>
            </wp:positionV>
            <wp:extent cx="6292215" cy="171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both"/>
        <w:ind w:left="1300"/>
        <w:spacing w:after="0" w:line="242" w:lineRule="auto"/>
        <w:rPr>
          <w:sz w:val="20"/>
          <w:szCs w:val="20"/>
          <w:color w:val="auto"/>
        </w:rPr>
      </w:pPr>
      <w:r>
        <w:rPr>
          <w:rFonts w:ascii="Arial" w:cs="Arial" w:eastAsia="Arial" w:hAnsi="Arial"/>
          <w:sz w:val="18"/>
          <w:szCs w:val="18"/>
          <w:color w:val="auto"/>
        </w:rPr>
        <w:t>the Company’s stockholders was approved or recommended by a vote of at least two-thirds (2/3rds) of the directors then still in office who were either directors on the date hereof, or whose appointment, election or nomination for election was previously so approved or recommended, shall be considered a member of the Incumbent Board, but excluding for this purpose any new director whose initial assumption of office is in connection with an actual or threatened election contest relating to the election of directors of the Company; or</w:t>
      </w:r>
    </w:p>
    <w:p>
      <w:pPr>
        <w:spacing w:after="0" w:line="98" w:lineRule="exact"/>
        <w:rPr>
          <w:sz w:val="20"/>
          <w:szCs w:val="20"/>
          <w:color w:val="auto"/>
        </w:rPr>
      </w:pPr>
    </w:p>
    <w:p>
      <w:pPr>
        <w:jc w:val="both"/>
        <w:ind w:left="1300" w:firstLine="4"/>
        <w:spacing w:after="0" w:line="242" w:lineRule="auto"/>
        <w:tabs>
          <w:tab w:leader="none" w:pos="1602"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there is consummated a merger or consolidation of the Company or any direct or indirect subsidiary of the Company with any other corporation, other than a merger or consolidation which would result in the voting securities of the Company outstanding immediately prior to such merger or consolidation continuing to represent (either by remaining outstanding or by being converted into voting securities of the surviving entity or any parent thereof) more than 50% of the combined voting power of the securities of the Company or such surviving entity or any parent thereof outstanding immediately after such merger or consolidation; or</w:t>
      </w:r>
    </w:p>
    <w:p>
      <w:pPr>
        <w:spacing w:after="0" w:line="111" w:lineRule="exact"/>
        <w:rPr>
          <w:rFonts w:ascii="Arial" w:cs="Arial" w:eastAsia="Arial" w:hAnsi="Arial"/>
          <w:sz w:val="18"/>
          <w:szCs w:val="18"/>
          <w:color w:val="auto"/>
        </w:rPr>
      </w:pPr>
    </w:p>
    <w:p>
      <w:pPr>
        <w:jc w:val="both"/>
        <w:ind w:left="1300" w:firstLine="4"/>
        <w:spacing w:after="0" w:line="242" w:lineRule="auto"/>
        <w:tabs>
          <w:tab w:leader="none" w:pos="1655"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there is consummated a plan of complete liquidation or dissolution of the Company or there is consummated the sale or disposition by the Company of all or substantially all of the Company’s assets, in one transaction or a series of related transactions, other than a sale or disposition by the Company of all or substantially all of the Company’s assets to an entity, more than 50% of the combined voting power of the voting securities of which is owned by stockholders of the Company in substantially the same proportion as their ownership of the Company immediately prior to such sale.</w:t>
      </w:r>
    </w:p>
    <w:p>
      <w:pPr>
        <w:spacing w:after="0" w:line="111" w:lineRule="exact"/>
        <w:rPr>
          <w:rFonts w:ascii="Arial" w:cs="Arial" w:eastAsia="Arial" w:hAnsi="Arial"/>
          <w:sz w:val="18"/>
          <w:szCs w:val="18"/>
          <w:color w:val="auto"/>
        </w:rPr>
      </w:pPr>
    </w:p>
    <w:p>
      <w:pPr>
        <w:jc w:val="both"/>
        <w:ind w:left="660" w:hanging="4"/>
        <w:spacing w:after="0" w:line="237" w:lineRule="auto"/>
        <w:tabs>
          <w:tab w:leader="none" w:pos="96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“Good Reason” shall have the meaning ascribed to that term (or a term of like import) in a Participant’s employment or other services agreement or, if such term (or a term of like import) is not defined in the Participant’s employment or other services agreement or there is no such agreement, then “Good Reason” shall mean any of the following events: (i) a material diminution of the Participant’s duties and responsibilities that result in a material adverse effect on the Participant’s status and authority, (ii) a change in the principal location of the Participant’s employment to a location more than fifty (50) miles outside of New York City or the Participant’s then current other business location, except for travel reasonably required as part of such employment, (iii) failure to timely pay the Participant any salary or bonus when due, or (iv) any reduction in (1) the Participant’s annual rate of salary from the highest annual rate of salary in effect during the one-year period prior to the date of the Change of Control, or (2) the amount of annual bonus paid to the Participant after the date of the Change in Control in light of the results of operations of the Company for that year compared to the bonus paid for the most recent fiscal year prior to the date of the Change of Control in light of the results of operations of the Company for that year. Notwithstanding the foregoing, in order to terminate for “Good Reason,” a Participant must specify in writing to the Company (or the successor or acquiring company or a parent thereof) the nature of the act or omission that the Participant deems to constitute Good Reason and provide the Company (or the successor or acquiring company or a parent thereof) 30 days after receipt of such notice to review and, if required, correct the situation (and thus prevent the Participant’s termination for Good Reason). Notice of termination for Good Reason must be provided, if at all, within 90 days after the occurrence of the event or condition giving rise to such termination.</w:t>
      </w:r>
    </w:p>
    <w:p>
      <w:pPr>
        <w:spacing w:after="0" w:line="19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9.4 No Fractional Shares. In the event of an adjustment in the number of shares covered by any Award pursuant to the provisions hereof, any fractional shares resulting from such adjustment shall be disregarded, and each converted Award shall cover only the number of full shares resulting from the adjustment.</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10</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AND TERMINATION</w:t>
      </w:r>
    </w:p>
    <w:p>
      <w:pPr>
        <w:spacing w:after="0" w:line="26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10.1 Amendment and Termination of the Plan. The Board, acting in its sole discretion, may amend the Plan at any time and from time to time and may terminate the Plan at any time. Plan amendments will be subject to approval by the Company’s stockholders if and to the extent such approval is required in order to satisfy applicable law and/or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273685</wp:posOffset>
            </wp:positionV>
            <wp:extent cx="6292215"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ind w:left="7560"/>
        <w:spacing w:after="0"/>
        <w:rPr>
          <w:sz w:val="20"/>
          <w:szCs w:val="20"/>
          <w:color w:val="auto"/>
        </w:rPr>
      </w:pPr>
      <w:r>
        <w:rPr>
          <w:rFonts w:ascii="Arial" w:cs="Arial" w:eastAsia="Arial" w:hAnsi="Arial"/>
          <w:sz w:val="16"/>
          <w:szCs w:val="16"/>
          <w:color w:val="auto"/>
        </w:rPr>
        <w:t xml:space="preserve">2026 PROXY STATEMENT </w:t>
      </w:r>
      <w:r>
        <w:rPr>
          <w:rFonts w:ascii="Arial" w:cs="Arial" w:eastAsia="Arial" w:hAnsi="Arial"/>
          <w:sz w:val="19"/>
          <w:szCs w:val="19"/>
          <w:color w:val="808080"/>
        </w:rPr>
        <w:t>/</w:t>
      </w:r>
      <w:r>
        <w:rPr>
          <w:rFonts w:ascii="Arial" w:cs="Arial" w:eastAsia="Arial" w:hAnsi="Arial"/>
          <w:sz w:val="16"/>
          <w:szCs w:val="16"/>
          <w:color w:val="auto"/>
        </w:rPr>
        <w:t xml:space="preserve"> </w:t>
      </w:r>
      <w:r>
        <w:rPr>
          <w:rFonts w:ascii="Arial" w:cs="Arial" w:eastAsia="Arial" w:hAnsi="Arial"/>
          <w:sz w:val="19"/>
          <w:szCs w:val="19"/>
          <w:b w:val="1"/>
          <w:bCs w:val="1"/>
          <w:color w:val="4A7EBB"/>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365125</wp:posOffset>
            </wp:positionV>
            <wp:extent cx="6292215" cy="254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exchange listing rules. Unless sooner terminated, the Plan will terminate on the tenth anniversary of the date it is approved by the Company’s stockholders (and the Plan will not become effective unless and until such approval is obtained).</w:t>
      </w:r>
    </w:p>
    <w:p>
      <w:pPr>
        <w:spacing w:after="0" w:line="73"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10.2 Outstanding Awards. Except as specifically required or permitted by the Plan or an Award Agreement, no amendment of an Award Agreement, and no termination, amendment or modification of the Plan, shall cause any then outstanding Award to be forfeited or altered in a way that adversely affects a Participant’s rights, unless the Participant consents thereto. The rights of any person with respect to an Award that is outstanding at the time of the termination of the Plan shall not be affected solely by reason of such termination and shall continue in accordance with the terms of the Award and of the Plan, as each is then in effect or is thereafter amended.</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11</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TAX WITHHOLDING; SECTION 409A</w:t>
      </w:r>
    </w:p>
    <w:p>
      <w:pPr>
        <w:spacing w:after="0" w:line="248"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11.1 Tax Withholding. Each Award and the exercise, vesting and settlement of each Award shall be subject to a Participant’s payment or other satisfaction of any applicable withholding taxes. The Committee, in its sole discretion and pursuant to applicable law and such procedures as it may specify from time to time, may require or permit the Participant to satisfy the tax withholding obligation(s) relating to an Award (in whole or in part) by or through (a) the payment of cash by the Participant, (b) the Company’s withholding cash or Shares that would otherwise be paid, issued or released pursuant to the Award, (c) the transfer to the Company of other Shares owned by the Participant, (d) a broker-assisted cashless exercise arrangement that complies with applicable law, and/or (e) by such other means as the Committee may determine. The amount of a Participant’s withholding tax obligation that is satisfied in Shares (whether previously-owned or withheld from the Shares that would otherwise be issued or released) shall be based upon the Fair Market Value of the Shares on the date such Shares are delivered or withheld. If Shares are withheld for the payment of a Participant’s taxes associated with an Award, the amount of tax covered by such Share withholding must be based upon a rate that is not less than the minimum applicable withholding rate and may be based upon a rate that does not exceed the maximum individual statutory tax rate in the Participant’s applicable tax jurisdiction(s). For the avoidance of doubt, if a Participant’s actual marginal tax rate is lower than the maximum applicable tax rate, the amount of Share-based withholding may be based upon the higher maximum tax rate.</w:t>
      </w:r>
    </w:p>
    <w:p>
      <w:pPr>
        <w:spacing w:after="0" w:line="12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11.2 Section 409A Compliance. It is intended that Awards made under the Plan, including any deferred payment or settlement terms and conditions, shall be exempt from or comply with Section 409A. Without limiting the generality of the preceding sentence and notwithstanding anything to the contrary contained herein, the following provisions shall apply with respect to an Award if and to the extent that such Award provides for the payment of “nonqualified deferred compensation” (within the meaning of Section 409A).</w:t>
      </w:r>
    </w:p>
    <w:p>
      <w:pPr>
        <w:spacing w:after="0" w:line="109" w:lineRule="exact"/>
        <w:rPr>
          <w:sz w:val="20"/>
          <w:szCs w:val="20"/>
          <w:color w:val="auto"/>
        </w:rPr>
      </w:pPr>
    </w:p>
    <w:p>
      <w:pPr>
        <w:jc w:val="both"/>
        <w:ind w:left="660" w:hanging="4"/>
        <w:spacing w:after="0" w:line="247" w:lineRule="auto"/>
        <w:tabs>
          <w:tab w:leader="none" w:pos="931"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If a Participant becomes entitled to payments (cash or Shares) under the Award on account of the “termination of the Participant’s employment or other service” or words of like import, then such termination of employment or service will not be deemed to have occurred unless and until the Participant incurs a “separation from service” within the meaning of Section 409A.</w:t>
      </w:r>
    </w:p>
    <w:p>
      <w:pPr>
        <w:spacing w:after="0" w:line="92" w:lineRule="exact"/>
        <w:rPr>
          <w:rFonts w:ascii="Arial" w:cs="Arial" w:eastAsia="Arial" w:hAnsi="Arial"/>
          <w:sz w:val="18"/>
          <w:szCs w:val="18"/>
          <w:color w:val="auto"/>
        </w:rPr>
      </w:pPr>
    </w:p>
    <w:p>
      <w:pPr>
        <w:jc w:val="both"/>
        <w:ind w:left="660" w:hanging="4"/>
        <w:spacing w:after="0"/>
        <w:tabs>
          <w:tab w:leader="none" w:pos="93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If the Participant is a “specified employee” within the meaning of Section 409A at the time of his or her separation from service, then any such payment covered by Section 409A that is made on account of such separation from service (as described above) shall be delayed until the first business day following the earlier of (i) the date which is six months after the date of such separation from service, or (ii) the date of the Participant’s death. On the delayed payment date, the Participant (or the Participant’s beneficiary) will be entitled to receive a lump sum payment or distribution of the payments that otherwise would have been made during the period that such payments are delayed, without any interest or other lost earnings with respect to the period of such delay.</w:t>
      </w:r>
    </w:p>
    <w:p>
      <w:pPr>
        <w:spacing w:after="0" w:line="117" w:lineRule="exact"/>
        <w:rPr>
          <w:rFonts w:ascii="Arial" w:cs="Arial" w:eastAsia="Arial" w:hAnsi="Arial"/>
          <w:sz w:val="18"/>
          <w:szCs w:val="18"/>
          <w:color w:val="auto"/>
        </w:rPr>
      </w:pPr>
    </w:p>
    <w:p>
      <w:pPr>
        <w:jc w:val="both"/>
        <w:ind w:left="660" w:hanging="4"/>
        <w:spacing w:after="0" w:line="247" w:lineRule="auto"/>
        <w:tabs>
          <w:tab w:leader="none" w:pos="949"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If a payment covered by Section 409A would be accelerated on account of the occurrence of a “Change in Control,” then such payment shall not be made unless such Change in Control also constitutes a “change in ownership,” “change in effective control” or “change in ownership of a substantial portion of the Company’s assets” within the meaning of Section 409A (referred to as a “change in control event” under the applicable Treasury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285115</wp:posOffset>
            </wp:positionV>
            <wp:extent cx="6292215"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4A7EBB"/>
        </w:rPr>
        <w:t xml:space="preserve">88 </w:t>
      </w:r>
      <w:r>
        <w:rPr>
          <w:rFonts w:ascii="Arial" w:cs="Arial" w:eastAsia="Arial" w:hAnsi="Arial"/>
          <w:sz w:val="20"/>
          <w:szCs w:val="20"/>
          <w:color w:val="808080"/>
        </w:rPr>
        <w:t xml:space="preserve">\ </w:t>
      </w:r>
      <w:r>
        <w:rPr>
          <w:sz w:val="1"/>
          <w:szCs w:val="1"/>
          <w:color w:val="auto"/>
        </w:rPr>
        <w:drawing>
          <wp:inline distT="0" distB="0" distL="0" distR="0">
            <wp:extent cx="266065" cy="154305"/>
            <wp:effectExtent l="0" t="0" r="0" b="0"/>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266065" cy="154305"/>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350520</wp:posOffset>
            </wp:positionV>
            <wp:extent cx="6292215" cy="2603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both"/>
        <w:ind w:left="660"/>
        <w:spacing w:after="0" w:line="247" w:lineRule="auto"/>
        <w:rPr>
          <w:sz w:val="20"/>
          <w:szCs w:val="20"/>
          <w:color w:val="auto"/>
        </w:rPr>
      </w:pPr>
      <w:r>
        <w:rPr>
          <w:rFonts w:ascii="Arial" w:cs="Arial" w:eastAsia="Arial" w:hAnsi="Arial"/>
          <w:sz w:val="18"/>
          <w:szCs w:val="18"/>
          <w:color w:val="auto"/>
        </w:rPr>
        <w:t>regulation). Any payment that would have been made except for the application of the preceding sentence shall be made in accordance with the payment or settlement schedule that would have applied under the Award in the absence of a Change in Control or, if earlier, on the date of the Participant’s separation from service (without regard to any further service or performance conditions that otherwise would have applied).</w:t>
      </w:r>
    </w:p>
    <w:p>
      <w:pPr>
        <w:spacing w:after="0" w:line="93" w:lineRule="exact"/>
        <w:rPr>
          <w:sz w:val="20"/>
          <w:szCs w:val="20"/>
          <w:color w:val="auto"/>
        </w:rPr>
      </w:pPr>
    </w:p>
    <w:p>
      <w:pPr>
        <w:jc w:val="both"/>
        <w:ind w:left="660" w:hanging="4"/>
        <w:spacing w:after="0" w:line="253" w:lineRule="auto"/>
        <w:tabs>
          <w:tab w:leader="none" w:pos="959" w:val="left"/>
        </w:tabs>
        <w:numPr>
          <w:ilvl w:val="0"/>
          <w:numId w:val="119"/>
        </w:numPr>
        <w:rPr>
          <w:rFonts w:ascii="Arial" w:cs="Arial" w:eastAsia="Arial" w:hAnsi="Arial"/>
          <w:sz w:val="18"/>
          <w:szCs w:val="18"/>
          <w:color w:val="auto"/>
        </w:rPr>
      </w:pPr>
      <w:r>
        <w:rPr>
          <w:rFonts w:ascii="Arial" w:cs="Arial" w:eastAsia="Arial" w:hAnsi="Arial"/>
          <w:sz w:val="18"/>
          <w:szCs w:val="18"/>
          <w:color w:val="auto"/>
        </w:rPr>
        <w:t>Notwithstanding the foregoing, each Participant shall be solely responsible, and the Company shall have no liability to the Participant or otherwise, for or with respect to any taxes, acceleration of taxes, interest or penalties arising under Section 409A.</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12</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48"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12.1 Non-Transferability. Except as otherwise specifically permitted by the Plan or the applicable Award Agreement, no Award shall be assignable or transferable except upon the Participant’s death to his or her “beneficiary” (as defined below), and, during a Participant’s lifetime, an Option or SAR may be exercised only by the Participant or the Participant’s guardian or legal representative. Notwithstanding the foregoing, subject to the consent of the Committee (which it may grant, condition or deny in its sole discretion for any or no reason), a Participant may make an inter vivos transfer of an Option (other than an ISO), SAR or RSU to any “family member” (within the meaning of Item A(1)(a)(5) of the General Instructions to SEC Form S-8 or a successor), including, without limitation, to one or more trusts, partnerships, limited liability companies and other entities which qualify as family members, provided that such transfer is not a transfer for value or is a transfer for value that the Committee determines is for estate planning purposes, and provided further that such transfer is permitted by applicable law and does not give rise to tax under Section 409A. For the purposes hereof, a Participant’s “beneficiary” is any person or entity (including, without limitation, a trust or estate) designated in writing by a Participant to succeed to the Participant’s Award(s) upon the Participant’s death, subject to the provisions hereof and of the applicable Award Agreement(s). A Participant may designate a beneficiary by delivering a written beneficiary designation to the Committee (or its designee) in such form and in such manner as the Committee (or its designee) may prescribe. Each beneficiary designation duly filed with the Committee (or its designee) will have the effect of superseding and revoking any prior beneficiary designation. If a Participant does not designate a beneficiary, or if no designated beneficiary survives the Participant, then the Participant’s estate will be deemed to be his or her beneficiary. The term “Participant,” as used herein, shall be deemed to include the Participant’s beneficiary if and to the extent the context requires.</w:t>
      </w:r>
    </w:p>
    <w:p>
      <w:pPr>
        <w:spacing w:after="0" w:line="114"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12.2 Successors. All obligations of the Company with respect to Awards granted under the Plan shall be binding on any successor to the Company of all or substantially all of the business and/or assets of the Company, whether the existence of such successor is the result of a direct or indirect purchase, merger, consolidation or otherwise, and the term “Company” as used herein shall be construed accordingly.</w:t>
      </w:r>
    </w:p>
    <w:p>
      <w:pPr>
        <w:spacing w:after="0" w:line="10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12.3 Legal Construction. If any provision of the Plan shall be held illegal or invalid for any reason, such illegality or invalidity shall not affect the remaining parts of the Plan, and the Plan shall be construed and enforced as if the illegal or invalid provision had not been included.</w:t>
      </w:r>
    </w:p>
    <w:p>
      <w:pPr>
        <w:spacing w:after="0" w:line="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12.4 Compliance with Law. The granting of Awards and the issuance of Shares under the Plan shall be subject to all applicable laws, rules, and regulations, and to such approvals by any governmental agencies or national securities exchanges as may be required.</w:t>
      </w:r>
    </w:p>
    <w:p>
      <w:pPr>
        <w:spacing w:after="0" w:line="101"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12.5 Transfer Orders; Placement of Legends. All certificates for Shares delivered under the Plan shall be subject to such stock-transfer orders and other restrictions as the Company may deem advisable under the rules, regulations, and other requirements of the Securities and Exchange Commission, any stock exchange or market upon which the Shares may then be listed, and any applicable federal or state securities law. The Company may cause a legend or legends to be placed on any such certificates to make appropriate reference to such restrictions.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278130</wp:posOffset>
            </wp:positionV>
            <wp:extent cx="6292215"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7560"/>
        <w:spacing w:after="0"/>
        <w:rPr>
          <w:sz w:val="20"/>
          <w:szCs w:val="20"/>
          <w:color w:val="auto"/>
        </w:rPr>
      </w:pPr>
      <w:r>
        <w:rPr>
          <w:rFonts w:ascii="Arial" w:cs="Arial" w:eastAsia="Arial" w:hAnsi="Arial"/>
          <w:sz w:val="16"/>
          <w:szCs w:val="16"/>
          <w:color w:val="auto"/>
        </w:rPr>
        <w:t xml:space="preserve">2026 PROXY STATEMENT </w:t>
      </w:r>
      <w:r>
        <w:rPr>
          <w:rFonts w:ascii="Arial" w:cs="Arial" w:eastAsia="Arial" w:hAnsi="Arial"/>
          <w:sz w:val="19"/>
          <w:szCs w:val="19"/>
          <w:color w:val="808080"/>
        </w:rPr>
        <w:t>/</w:t>
      </w:r>
      <w:r>
        <w:rPr>
          <w:rFonts w:ascii="Arial" w:cs="Arial" w:eastAsia="Arial" w:hAnsi="Arial"/>
          <w:sz w:val="16"/>
          <w:szCs w:val="16"/>
          <w:color w:val="auto"/>
        </w:rPr>
        <w:t xml:space="preserve"> </w:t>
      </w:r>
      <w:r>
        <w:rPr>
          <w:rFonts w:ascii="Arial" w:cs="Arial" w:eastAsia="Arial" w:hAnsi="Arial"/>
          <w:sz w:val="19"/>
          <w:szCs w:val="19"/>
          <w:b w:val="1"/>
          <w:bCs w:val="1"/>
          <w:color w:val="4A7EBB"/>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365125</wp:posOffset>
            </wp:positionV>
            <wp:extent cx="6292215" cy="2603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12.6 Nonexclusivity of the Plan. No provision of the Plan, and neither its adoption by the Board or submission to the stockholders for approval, shall be construed as creating any limitations on the power of the Board or a committee thereof to adopt such other incentive arrangements, apart from the Plan, as it may deem desirable.</w:t>
      </w:r>
    </w:p>
    <w:p>
      <w:pPr>
        <w:spacing w:after="0" w:line="88"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12.7 Sub-Plans. The Committee may from time to time establish sub-plans under the Plan for purposes of satisfying securities, tax or other laws of any foreign jurisdictions that may apply to Participants who receive Awards. Any such sub-plan shall contain such limitations and other terms and conditions as the Committee determines are necessary or desirable for such purposes and shall be in such form (including, without limitation, as an appendix to the Plan) as the Committee deems appropriate. Each sub-plan shall be deemed a part of the Plan, but shall apply only to the Participants who are subject to the laws of the jurisdiction to which the sub-plan relates.</w:t>
      </w:r>
    </w:p>
    <w:p>
      <w:pPr>
        <w:spacing w:after="0" w:line="11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12.8 Uniformity Not Required. The provisions of the Award Agreements need not be uniform among all Awards, among all Awards of the same type, among all Awards granted to the same Participant, or among all Awards granted at the same time.</w:t>
      </w:r>
    </w:p>
    <w:p>
      <w:pPr>
        <w:spacing w:after="0" w:line="101"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12.9 Claw Back Conditions. Notwithstanding anything to the contrary contained herein or in an Award Agreement, Awards and benefits otherwise provided by Awards made under the Plan shall be subject to the Company’s incentive compensation claw back policies as in effect from time to time, whether or not such policy was in effect on the date the Plan was adopted or the date on which the Award was granted, and, as applicable, the claw back requirements of the Dodd-Frank Act Section 954 and any stock exchange upon which the Shares are then listed.</w:t>
      </w:r>
    </w:p>
    <w:p>
      <w:pPr>
        <w:spacing w:after="0" w:line="95"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12.10 Forfeiture Events. The Board or the Committee, as applicable, may specify in an Award Agreement that the Participant’s rights, payments and benefits with respect to an Award shall be subject to reduction, cancellation, forfeiture or recoupment upon the occurrence of certain events, in addition to applicable vesting conditions of an Award. Such events may include, without limitation, breach of non-competition, non-solicitation, confidentiality, or other restrictive covenants that are contained in the Award Agreement or otherwise applicable to the Participant, a termination of the Participant’s service for Cause, or other conduct by the Participant that is detrimental to the business or reputation of the Company and/or its Subsidiaries.</w:t>
      </w:r>
    </w:p>
    <w:p>
      <w:pPr>
        <w:spacing w:after="0" w:line="11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12.11 Limitation of Rights. The Plan shall not interfere with or limit in any way the right of the Company or of any Subsidiary to terminate any person’s employment or other service at any time, and the Plan shall not confer upon any person the right to continue in the employ or other service of the Company or any Subsidiary. No employee, director or other person shall have any right to be selected to receive an Award or, having been so selected, to be selected to receive a future Award.</w:t>
      </w:r>
    </w:p>
    <w:p>
      <w:pPr>
        <w:spacing w:after="0" w:line="10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12.12 Decisions and Determinations Final. All decisions and determinations made by the Board pursuant to the provisions hereof and, except to the extent rights or powers under the Plan are reserved specifically to the discretion of the Board, all decisions and determinations made by the Committee in connection with the exercise of its authority and responsibilities under the Plan (including, without limitation, decisions and determinations relating to the construction, interpretation and administration of the Plan or any Award), shall be final, binding and conclusive on all persons.</w:t>
      </w:r>
    </w:p>
    <w:p>
      <w:pPr>
        <w:spacing w:after="0" w:line="95" w:lineRule="exact"/>
        <w:rPr>
          <w:sz w:val="20"/>
          <w:szCs w:val="20"/>
          <w:color w:val="auto"/>
        </w:rPr>
      </w:pPr>
    </w:p>
    <w:p>
      <w:pPr>
        <w:ind w:left="660"/>
        <w:spacing w:after="0" w:line="271" w:lineRule="auto"/>
        <w:rPr>
          <w:sz w:val="20"/>
          <w:szCs w:val="20"/>
          <w:color w:val="auto"/>
        </w:rPr>
      </w:pPr>
      <w:r>
        <w:rPr>
          <w:rFonts w:ascii="Arial" w:cs="Arial" w:eastAsia="Arial" w:hAnsi="Arial"/>
          <w:sz w:val="18"/>
          <w:szCs w:val="18"/>
          <w:color w:val="auto"/>
        </w:rPr>
        <w:t>12.13 Governing Law. The Plan and all Award Agreements shall be construed in accordance with and governed by the laws of the State of Delaware (without regard to the legislative or judicial conflict of laws rules of any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889635</wp:posOffset>
            </wp:positionV>
            <wp:extent cx="6292215"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b w:val="1"/>
          <w:bCs w:val="1"/>
          <w:color w:val="4A7EBB"/>
        </w:rPr>
        <w:t xml:space="preserve">90 </w:t>
      </w:r>
      <w:r>
        <w:rPr>
          <w:rFonts w:ascii="Arial" w:cs="Arial" w:eastAsia="Arial" w:hAnsi="Arial"/>
          <w:sz w:val="20"/>
          <w:szCs w:val="20"/>
          <w:color w:val="808080"/>
        </w:rPr>
        <w:t xml:space="preserve">\ </w:t>
      </w:r>
      <w:r>
        <w:rPr>
          <w:sz w:val="1"/>
          <w:szCs w:val="1"/>
          <w:color w:val="auto"/>
        </w:rPr>
        <w:drawing>
          <wp:inline distT="0" distB="0" distL="0" distR="0">
            <wp:extent cx="266065" cy="145415"/>
            <wp:effectExtent l="0" t="0" r="0" b="0"/>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266065" cy="145415"/>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358775</wp:posOffset>
            </wp:positionV>
            <wp:extent cx="6292215" cy="171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24130</wp:posOffset>
            </wp:positionV>
            <wp:extent cx="6292215" cy="171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27" w:lineRule="exact"/>
        <w:rPr>
          <w:sz w:val="20"/>
          <w:szCs w:val="20"/>
          <w:color w:val="auto"/>
        </w:rPr>
      </w:pPr>
    </w:p>
    <w:p>
      <w:pPr>
        <w:ind w:right="3140"/>
        <w:spacing w:after="0" w:line="260" w:lineRule="auto"/>
        <w:rPr>
          <w:sz w:val="20"/>
          <w:szCs w:val="20"/>
          <w:color w:val="auto"/>
        </w:rPr>
      </w:pPr>
      <w:r>
        <w:rPr>
          <w:rFonts w:ascii="Arial" w:cs="Arial" w:eastAsia="Arial" w:hAnsi="Arial"/>
          <w:sz w:val="29"/>
          <w:szCs w:val="29"/>
          <w:b w:val="1"/>
          <w:bCs w:val="1"/>
          <w:color w:val="4A7EBB"/>
        </w:rPr>
        <w:t xml:space="preserve">G-III Apparel Group, Ltd. And Subsidiaries Reconciliation of Net Income to Adjusted EBITDA </w:t>
      </w:r>
      <w:r>
        <w:rPr>
          <w:rFonts w:ascii="Arial" w:cs="Arial" w:eastAsia="Arial" w:hAnsi="Arial"/>
          <w:sz w:val="29"/>
          <w:szCs w:val="29"/>
          <w:color w:val="4A7EBB"/>
        </w:rPr>
        <w:t>(In thousands)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520" w:type="dxa"/>
            <w:vAlign w:val="bottom"/>
            <w:shd w:val="clear" w:color="auto" w:fill="DBE5F1"/>
          </w:tcPr>
          <w:p>
            <w:pPr>
              <w:spacing w:after="0"/>
              <w:rPr>
                <w:sz w:val="14"/>
                <w:szCs w:val="14"/>
                <w:color w:val="auto"/>
              </w:rPr>
            </w:pPr>
          </w:p>
        </w:tc>
        <w:tc>
          <w:tcPr>
            <w:tcW w:w="1380" w:type="dxa"/>
            <w:vAlign w:val="bottom"/>
            <w:gridSpan w:val="2"/>
            <w:vMerge w:val="restart"/>
            <w:shd w:val="clear" w:color="auto" w:fill="DBE5F1"/>
          </w:tcPr>
          <w:p>
            <w:pPr>
              <w:jc w:val="right"/>
              <w:ind w:right="60"/>
              <w:spacing w:after="0"/>
              <w:rPr>
                <w:sz w:val="20"/>
                <w:szCs w:val="20"/>
                <w:color w:val="auto"/>
              </w:rPr>
            </w:pPr>
            <w:r>
              <w:rPr>
                <w:rFonts w:ascii="Arial" w:cs="Arial" w:eastAsia="Arial" w:hAnsi="Arial"/>
                <w:sz w:val="14"/>
                <w:szCs w:val="14"/>
                <w:b w:val="1"/>
                <w:bCs w:val="1"/>
                <w:color w:val="auto"/>
              </w:rPr>
              <w:t>2026</w:t>
            </w:r>
          </w:p>
        </w:tc>
        <w:tc>
          <w:tcPr>
            <w:tcW w:w="1740" w:type="dxa"/>
            <w:vAlign w:val="bottom"/>
            <w:gridSpan w:val="3"/>
            <w:shd w:val="clear" w:color="auto" w:fill="DBE5F1"/>
          </w:tcPr>
          <w:p>
            <w:pPr>
              <w:jc w:val="center"/>
              <w:spacing w:after="0"/>
              <w:rPr>
                <w:sz w:val="20"/>
                <w:szCs w:val="20"/>
                <w:color w:val="auto"/>
              </w:rPr>
            </w:pPr>
            <w:r>
              <w:rPr>
                <w:rFonts w:ascii="Arial" w:cs="Arial" w:eastAsia="Arial" w:hAnsi="Arial"/>
                <w:sz w:val="14"/>
                <w:szCs w:val="14"/>
                <w:b w:val="1"/>
                <w:bCs w:val="1"/>
                <w:color w:val="auto"/>
              </w:rPr>
              <w:t>Year ended January 31,</w:t>
            </w:r>
          </w:p>
        </w:tc>
        <w:tc>
          <w:tcPr>
            <w:tcW w:w="1260" w:type="dxa"/>
            <w:vAlign w:val="bottom"/>
            <w:vMerge w:val="restart"/>
            <w:shd w:val="clear" w:color="auto" w:fill="DBE5F1"/>
          </w:tcPr>
          <w:p>
            <w:pPr>
              <w:jc w:val="right"/>
              <w:ind w:right="788"/>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20" w:type="dxa"/>
            <w:vAlign w:val="bottom"/>
            <w:tcBorders>
              <w:bottom w:val="single" w:sz="8" w:color="4A7EBB"/>
            </w:tcBorders>
            <w:shd w:val="clear" w:color="auto" w:fill="DBE5F1"/>
          </w:tcPr>
          <w:p>
            <w:pPr>
              <w:spacing w:after="0"/>
              <w:rPr>
                <w:sz w:val="14"/>
                <w:szCs w:val="14"/>
                <w:color w:val="auto"/>
              </w:rPr>
            </w:pPr>
          </w:p>
        </w:tc>
        <w:tc>
          <w:tcPr>
            <w:tcW w:w="1380" w:type="dxa"/>
            <w:vAlign w:val="bottom"/>
            <w:tcBorders>
              <w:bottom w:val="single" w:sz="8" w:color="4A7EBB"/>
            </w:tcBorders>
            <w:gridSpan w:val="2"/>
            <w:vMerge w:val="continue"/>
            <w:shd w:val="clear" w:color="auto" w:fill="DBE5F1"/>
          </w:tcPr>
          <w:p>
            <w:pPr>
              <w:spacing w:after="0"/>
              <w:rPr>
                <w:sz w:val="14"/>
                <w:szCs w:val="14"/>
                <w:color w:val="auto"/>
              </w:rPr>
            </w:pPr>
          </w:p>
        </w:tc>
        <w:tc>
          <w:tcPr>
            <w:tcW w:w="800" w:type="dxa"/>
            <w:vAlign w:val="bottom"/>
            <w:tcBorders>
              <w:bottom w:val="single" w:sz="8" w:color="4A7EBB"/>
            </w:tcBorders>
            <w:shd w:val="clear" w:color="auto" w:fill="DBE5F1"/>
          </w:tcPr>
          <w:p>
            <w:pPr>
              <w:spacing w:after="0"/>
              <w:rPr>
                <w:sz w:val="14"/>
                <w:szCs w:val="14"/>
                <w:color w:val="auto"/>
              </w:rPr>
            </w:pPr>
          </w:p>
        </w:tc>
        <w:tc>
          <w:tcPr>
            <w:tcW w:w="300" w:type="dxa"/>
            <w:vAlign w:val="bottom"/>
            <w:tcBorders>
              <w:bottom w:val="single" w:sz="8" w:color="4A7EBB"/>
            </w:tcBorders>
            <w:shd w:val="clear" w:color="auto" w:fill="DBE5F1"/>
          </w:tcPr>
          <w:p>
            <w:pPr>
              <w:spacing w:after="0"/>
              <w:rPr>
                <w:sz w:val="14"/>
                <w:szCs w:val="14"/>
                <w:color w:val="auto"/>
              </w:rPr>
            </w:pPr>
          </w:p>
        </w:tc>
        <w:tc>
          <w:tcPr>
            <w:tcW w:w="640" w:type="dxa"/>
            <w:vAlign w:val="bottom"/>
            <w:tcBorders>
              <w:bottom w:val="single" w:sz="8" w:color="4A7EBB"/>
            </w:tcBorders>
            <w:shd w:val="clear" w:color="auto" w:fill="DBE5F1"/>
          </w:tcPr>
          <w:p>
            <w:pPr>
              <w:spacing w:after="0"/>
              <w:rPr>
                <w:sz w:val="14"/>
                <w:szCs w:val="14"/>
                <w:color w:val="auto"/>
              </w:rPr>
            </w:pPr>
          </w:p>
        </w:tc>
        <w:tc>
          <w:tcPr>
            <w:tcW w:w="1260" w:type="dxa"/>
            <w:vAlign w:val="bottom"/>
            <w:tcBorders>
              <w:bottom w:val="single" w:sz="8" w:color="4A7EBB"/>
            </w:tcBorders>
            <w:vMerge w:val="continue"/>
            <w:shd w:val="clear" w:color="auto" w:fill="DBE5F1"/>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20" w:type="dxa"/>
            <w:vAlign w:val="bottom"/>
            <w:tcBorders>
              <w:bottom w:val="single" w:sz="8" w:color="4A7EBB"/>
            </w:tcBorders>
          </w:tcPr>
          <w:p>
            <w:pPr>
              <w:spacing w:after="0"/>
              <w:rPr>
                <w:sz w:val="13"/>
                <w:szCs w:val="13"/>
                <w:color w:val="auto"/>
              </w:rPr>
            </w:pPr>
          </w:p>
        </w:tc>
        <w:tc>
          <w:tcPr>
            <w:tcW w:w="280" w:type="dxa"/>
            <w:vAlign w:val="bottom"/>
            <w:tcBorders>
              <w:bottom w:val="single" w:sz="8" w:color="4A7EBB"/>
            </w:tcBorders>
          </w:tcPr>
          <w:p>
            <w:pPr>
              <w:spacing w:after="0"/>
              <w:rPr>
                <w:sz w:val="13"/>
                <w:szCs w:val="13"/>
                <w:color w:val="auto"/>
              </w:rPr>
            </w:pPr>
          </w:p>
        </w:tc>
        <w:tc>
          <w:tcPr>
            <w:tcW w:w="1100" w:type="dxa"/>
            <w:vAlign w:val="bottom"/>
            <w:tcBorders>
              <w:bottom w:val="single" w:sz="8" w:color="4A7EBB"/>
            </w:tcBorders>
          </w:tcPr>
          <w:p>
            <w:pPr>
              <w:spacing w:after="0"/>
              <w:rPr>
                <w:sz w:val="13"/>
                <w:szCs w:val="13"/>
                <w:color w:val="auto"/>
              </w:rPr>
            </w:pPr>
          </w:p>
        </w:tc>
        <w:tc>
          <w:tcPr>
            <w:tcW w:w="1740" w:type="dxa"/>
            <w:vAlign w:val="bottom"/>
            <w:tcBorders>
              <w:bottom w:val="single" w:sz="8" w:color="4A7EBB"/>
            </w:tcBorders>
            <w:gridSpan w:val="3"/>
          </w:tcPr>
          <w:p>
            <w:pPr>
              <w:jc w:val="center"/>
              <w:spacing w:after="0" w:line="155" w:lineRule="exact"/>
              <w:rPr>
                <w:sz w:val="20"/>
                <w:szCs w:val="20"/>
                <w:color w:val="auto"/>
              </w:rPr>
            </w:pPr>
            <w:r>
              <w:rPr>
                <w:rFonts w:ascii="Arial" w:cs="Arial" w:eastAsia="Arial" w:hAnsi="Arial"/>
                <w:sz w:val="14"/>
                <w:szCs w:val="14"/>
                <w:color w:val="auto"/>
              </w:rPr>
              <w:t>(Unaudited)</w:t>
            </w:r>
          </w:p>
        </w:tc>
        <w:tc>
          <w:tcPr>
            <w:tcW w:w="1260" w:type="dxa"/>
            <w:vAlign w:val="bottom"/>
            <w:tcBorders>
              <w:bottom w:val="single" w:sz="8" w:color="4A7EBB"/>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20" w:type="dxa"/>
            <w:vAlign w:val="bottom"/>
            <w:tcBorders>
              <w:bottom w:val="single" w:sz="8" w:color="4A7EBB"/>
            </w:tcBorders>
            <w:shd w:val="clear" w:color="auto" w:fill="F2F2F2"/>
          </w:tcPr>
          <w:p>
            <w:pPr>
              <w:spacing w:after="0" w:line="155" w:lineRule="exact"/>
              <w:rPr>
                <w:sz w:val="20"/>
                <w:szCs w:val="20"/>
                <w:color w:val="auto"/>
              </w:rPr>
            </w:pPr>
            <w:r>
              <w:rPr>
                <w:rFonts w:ascii="Arial" w:cs="Arial" w:eastAsia="Arial" w:hAnsi="Arial"/>
                <w:sz w:val="14"/>
                <w:szCs w:val="14"/>
                <w:color w:val="auto"/>
              </w:rPr>
              <w:t>Net income attributable to G-III Apparel Group, Ltd.</w:t>
            </w:r>
          </w:p>
        </w:tc>
        <w:tc>
          <w:tcPr>
            <w:tcW w:w="280" w:type="dxa"/>
            <w:vAlign w:val="bottom"/>
            <w:tcBorders>
              <w:bottom w:val="single" w:sz="8" w:color="4A7EBB"/>
            </w:tcBorders>
            <w:shd w:val="clear" w:color="auto" w:fill="F2F2F2"/>
          </w:tcPr>
          <w:p>
            <w:pPr>
              <w:jc w:val="right"/>
              <w:spacing w:after="0" w:line="155" w:lineRule="exact"/>
              <w:rPr>
                <w:sz w:val="20"/>
                <w:szCs w:val="20"/>
                <w:color w:val="auto"/>
              </w:rPr>
            </w:pPr>
            <w:r>
              <w:rPr>
                <w:rFonts w:ascii="Arial" w:cs="Arial" w:eastAsia="Arial" w:hAnsi="Arial"/>
                <w:sz w:val="14"/>
                <w:szCs w:val="14"/>
                <w:color w:val="auto"/>
              </w:rPr>
              <w:t>$</w:t>
            </w:r>
          </w:p>
        </w:tc>
        <w:tc>
          <w:tcPr>
            <w:tcW w:w="1100" w:type="dxa"/>
            <w:vAlign w:val="bottom"/>
            <w:tcBorders>
              <w:bottom w:val="single" w:sz="8" w:color="4A7EBB"/>
            </w:tcBorders>
            <w:shd w:val="clear" w:color="auto" w:fill="F3F3F3"/>
          </w:tcPr>
          <w:p>
            <w:pPr>
              <w:spacing w:after="0"/>
              <w:rPr>
                <w:sz w:val="13"/>
                <w:szCs w:val="13"/>
                <w:color w:val="auto"/>
              </w:rPr>
            </w:pPr>
          </w:p>
        </w:tc>
        <w:tc>
          <w:tcPr>
            <w:tcW w:w="800" w:type="dxa"/>
            <w:vAlign w:val="bottom"/>
            <w:tcBorders>
              <w:bottom w:val="single" w:sz="8" w:color="4A7EBB"/>
            </w:tcBorders>
            <w:shd w:val="clear" w:color="auto" w:fill="F3F3F3"/>
          </w:tcPr>
          <w:p>
            <w:pPr>
              <w:jc w:val="right"/>
              <w:spacing w:after="0" w:line="155" w:lineRule="exact"/>
              <w:rPr>
                <w:sz w:val="20"/>
                <w:szCs w:val="20"/>
                <w:color w:val="auto"/>
              </w:rPr>
            </w:pPr>
            <w:r>
              <w:rPr>
                <w:rFonts w:ascii="Arial" w:cs="Arial" w:eastAsia="Arial" w:hAnsi="Arial"/>
                <w:sz w:val="14"/>
                <w:szCs w:val="14"/>
                <w:color w:val="auto"/>
              </w:rPr>
              <w:t>67,353</w:t>
            </w:r>
          </w:p>
        </w:tc>
        <w:tc>
          <w:tcPr>
            <w:tcW w:w="300" w:type="dxa"/>
            <w:vAlign w:val="bottom"/>
            <w:tcBorders>
              <w:bottom w:val="single" w:sz="8" w:color="4A7EBB"/>
            </w:tcBorders>
            <w:shd w:val="clear" w:color="auto" w:fill="F2F2F2"/>
          </w:tcPr>
          <w:p>
            <w:pPr>
              <w:jc w:val="right"/>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4A7EBB"/>
            </w:tcBorders>
            <w:shd w:val="clear" w:color="auto" w:fill="F3F3F3"/>
          </w:tcPr>
          <w:p>
            <w:pPr>
              <w:spacing w:after="0"/>
              <w:rPr>
                <w:sz w:val="13"/>
                <w:szCs w:val="13"/>
                <w:color w:val="auto"/>
              </w:rPr>
            </w:pPr>
          </w:p>
        </w:tc>
        <w:tc>
          <w:tcPr>
            <w:tcW w:w="1260" w:type="dxa"/>
            <w:vAlign w:val="bottom"/>
            <w:tcBorders>
              <w:bottom w:val="single" w:sz="8" w:color="4A7EBB"/>
            </w:tcBorders>
            <w:shd w:val="clear" w:color="auto" w:fill="F3F3F3"/>
          </w:tcPr>
          <w:p>
            <w:pPr>
              <w:jc w:val="right"/>
              <w:spacing w:after="0" w:line="155" w:lineRule="exact"/>
              <w:rPr>
                <w:sz w:val="20"/>
                <w:szCs w:val="20"/>
                <w:color w:val="auto"/>
              </w:rPr>
            </w:pPr>
            <w:r>
              <w:rPr>
                <w:rFonts w:ascii="Arial" w:cs="Arial" w:eastAsia="Arial" w:hAnsi="Arial"/>
                <w:sz w:val="14"/>
                <w:szCs w:val="14"/>
                <w:color w:val="auto"/>
              </w:rPr>
              <w:t>193,566</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520" w:type="dxa"/>
            <w:vAlign w:val="bottom"/>
            <w:tcBorders>
              <w:bottom w:val="single" w:sz="8" w:color="4A7EBB"/>
            </w:tcBorders>
          </w:tcPr>
          <w:p>
            <w:pPr>
              <w:spacing w:after="0"/>
              <w:rPr>
                <w:sz w:val="13"/>
                <w:szCs w:val="13"/>
                <w:color w:val="auto"/>
              </w:rPr>
            </w:pPr>
          </w:p>
        </w:tc>
        <w:tc>
          <w:tcPr>
            <w:tcW w:w="280" w:type="dxa"/>
            <w:vAlign w:val="bottom"/>
            <w:tcBorders>
              <w:bottom w:val="single" w:sz="8" w:color="4A7EBB"/>
            </w:tcBorders>
          </w:tcPr>
          <w:p>
            <w:pPr>
              <w:spacing w:after="0"/>
              <w:rPr>
                <w:sz w:val="13"/>
                <w:szCs w:val="13"/>
                <w:color w:val="auto"/>
              </w:rPr>
            </w:pPr>
          </w:p>
        </w:tc>
        <w:tc>
          <w:tcPr>
            <w:tcW w:w="1100" w:type="dxa"/>
            <w:vAlign w:val="bottom"/>
            <w:tcBorders>
              <w:bottom w:val="single" w:sz="8" w:color="4A7EBB"/>
            </w:tcBorders>
          </w:tcPr>
          <w:p>
            <w:pPr>
              <w:spacing w:after="0"/>
              <w:rPr>
                <w:sz w:val="13"/>
                <w:szCs w:val="13"/>
                <w:color w:val="auto"/>
              </w:rPr>
            </w:pPr>
          </w:p>
        </w:tc>
        <w:tc>
          <w:tcPr>
            <w:tcW w:w="800" w:type="dxa"/>
            <w:vAlign w:val="bottom"/>
            <w:tcBorders>
              <w:bottom w:val="single" w:sz="8" w:color="4A7EBB"/>
            </w:tcBorders>
          </w:tcPr>
          <w:p>
            <w:pPr>
              <w:spacing w:after="0"/>
              <w:rPr>
                <w:sz w:val="13"/>
                <w:szCs w:val="13"/>
                <w:color w:val="auto"/>
              </w:rPr>
            </w:pPr>
          </w:p>
        </w:tc>
        <w:tc>
          <w:tcPr>
            <w:tcW w:w="300" w:type="dxa"/>
            <w:vAlign w:val="bottom"/>
            <w:tcBorders>
              <w:bottom w:val="single" w:sz="8" w:color="4A7EBB"/>
            </w:tcBorders>
          </w:tcPr>
          <w:p>
            <w:pPr>
              <w:spacing w:after="0"/>
              <w:rPr>
                <w:sz w:val="13"/>
                <w:szCs w:val="13"/>
                <w:color w:val="auto"/>
              </w:rPr>
            </w:pPr>
          </w:p>
        </w:tc>
        <w:tc>
          <w:tcPr>
            <w:tcW w:w="640" w:type="dxa"/>
            <w:vAlign w:val="bottom"/>
            <w:tcBorders>
              <w:bottom w:val="single" w:sz="8" w:color="4A7EBB"/>
            </w:tcBorders>
          </w:tcPr>
          <w:p>
            <w:pPr>
              <w:spacing w:after="0"/>
              <w:rPr>
                <w:sz w:val="13"/>
                <w:szCs w:val="13"/>
                <w:color w:val="auto"/>
              </w:rPr>
            </w:pPr>
          </w:p>
        </w:tc>
        <w:tc>
          <w:tcPr>
            <w:tcW w:w="1260" w:type="dxa"/>
            <w:vAlign w:val="bottom"/>
            <w:tcBorders>
              <w:bottom w:val="single" w:sz="8" w:color="4A7EBB"/>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20" w:type="dxa"/>
            <w:vAlign w:val="bottom"/>
            <w:tcBorders>
              <w:bottom w:val="single" w:sz="8" w:color="4A7EBB"/>
            </w:tcBorders>
            <w:shd w:val="clear" w:color="auto" w:fill="F2F2F2"/>
          </w:tcPr>
          <w:p>
            <w:pPr>
              <w:ind w:left="100"/>
              <w:spacing w:after="0" w:line="155" w:lineRule="exact"/>
              <w:rPr>
                <w:sz w:val="20"/>
                <w:szCs w:val="20"/>
                <w:color w:val="auto"/>
              </w:rPr>
            </w:pPr>
            <w:r>
              <w:rPr>
                <w:rFonts w:ascii="Arial" w:cs="Arial" w:eastAsia="Arial" w:hAnsi="Arial"/>
                <w:sz w:val="14"/>
                <w:szCs w:val="14"/>
                <w:color w:val="auto"/>
              </w:rPr>
              <w:t>Asset impairments</w:t>
            </w:r>
          </w:p>
        </w:tc>
        <w:tc>
          <w:tcPr>
            <w:tcW w:w="280" w:type="dxa"/>
            <w:vAlign w:val="bottom"/>
            <w:tcBorders>
              <w:bottom w:val="single" w:sz="8" w:color="4A7EBB"/>
            </w:tcBorders>
            <w:shd w:val="clear" w:color="auto" w:fill="F2F2F2"/>
          </w:tcPr>
          <w:p>
            <w:pPr>
              <w:spacing w:after="0"/>
              <w:rPr>
                <w:sz w:val="13"/>
                <w:szCs w:val="13"/>
                <w:color w:val="auto"/>
              </w:rPr>
            </w:pPr>
          </w:p>
        </w:tc>
        <w:tc>
          <w:tcPr>
            <w:tcW w:w="1100" w:type="dxa"/>
            <w:vAlign w:val="bottom"/>
            <w:tcBorders>
              <w:bottom w:val="single" w:sz="8" w:color="4A7EBB"/>
            </w:tcBorders>
            <w:shd w:val="clear" w:color="auto" w:fill="F3F3F3"/>
          </w:tcPr>
          <w:p>
            <w:pPr>
              <w:spacing w:after="0"/>
              <w:rPr>
                <w:sz w:val="13"/>
                <w:szCs w:val="13"/>
                <w:color w:val="auto"/>
              </w:rPr>
            </w:pPr>
          </w:p>
        </w:tc>
        <w:tc>
          <w:tcPr>
            <w:tcW w:w="800" w:type="dxa"/>
            <w:vAlign w:val="bottom"/>
            <w:tcBorders>
              <w:bottom w:val="single" w:sz="8" w:color="4A7EBB"/>
            </w:tcBorders>
            <w:shd w:val="clear" w:color="auto" w:fill="F3F3F3"/>
          </w:tcPr>
          <w:p>
            <w:pPr>
              <w:jc w:val="right"/>
              <w:spacing w:after="0" w:line="155" w:lineRule="exact"/>
              <w:rPr>
                <w:sz w:val="20"/>
                <w:szCs w:val="20"/>
                <w:color w:val="auto"/>
              </w:rPr>
            </w:pPr>
            <w:r>
              <w:rPr>
                <w:rFonts w:ascii="Arial" w:cs="Arial" w:eastAsia="Arial" w:hAnsi="Arial"/>
                <w:sz w:val="14"/>
                <w:szCs w:val="14"/>
                <w:color w:val="auto"/>
              </w:rPr>
              <w:t>48,565</w:t>
            </w:r>
          </w:p>
        </w:tc>
        <w:tc>
          <w:tcPr>
            <w:tcW w:w="300" w:type="dxa"/>
            <w:vAlign w:val="bottom"/>
            <w:tcBorders>
              <w:bottom w:val="single" w:sz="8" w:color="4A7EBB"/>
            </w:tcBorders>
            <w:shd w:val="clear" w:color="auto" w:fill="F2F2F2"/>
          </w:tcPr>
          <w:p>
            <w:pPr>
              <w:spacing w:after="0"/>
              <w:rPr>
                <w:sz w:val="13"/>
                <w:szCs w:val="13"/>
                <w:color w:val="auto"/>
              </w:rPr>
            </w:pPr>
          </w:p>
        </w:tc>
        <w:tc>
          <w:tcPr>
            <w:tcW w:w="640" w:type="dxa"/>
            <w:vAlign w:val="bottom"/>
            <w:tcBorders>
              <w:bottom w:val="single" w:sz="8" w:color="4A7EBB"/>
            </w:tcBorders>
            <w:shd w:val="clear" w:color="auto" w:fill="F3F3F3"/>
          </w:tcPr>
          <w:p>
            <w:pPr>
              <w:spacing w:after="0"/>
              <w:rPr>
                <w:sz w:val="13"/>
                <w:szCs w:val="13"/>
                <w:color w:val="auto"/>
              </w:rPr>
            </w:pPr>
          </w:p>
        </w:tc>
        <w:tc>
          <w:tcPr>
            <w:tcW w:w="1260" w:type="dxa"/>
            <w:vAlign w:val="bottom"/>
            <w:tcBorders>
              <w:bottom w:val="single" w:sz="8" w:color="4A7EBB"/>
            </w:tcBorders>
            <w:shd w:val="clear" w:color="auto" w:fill="F3F3F3"/>
          </w:tcPr>
          <w:p>
            <w:pPr>
              <w:jc w:val="right"/>
              <w:spacing w:after="0" w:line="155" w:lineRule="exact"/>
              <w:rPr>
                <w:sz w:val="20"/>
                <w:szCs w:val="20"/>
                <w:color w:val="auto"/>
              </w:rPr>
            </w:pPr>
            <w:r>
              <w:rPr>
                <w:rFonts w:ascii="Arial" w:cs="Arial" w:eastAsia="Arial" w:hAnsi="Arial"/>
                <w:sz w:val="14"/>
                <w:szCs w:val="14"/>
                <w:color w:val="auto"/>
              </w:rPr>
              <w:t>8,195</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520" w:type="dxa"/>
            <w:vAlign w:val="bottom"/>
            <w:tcBorders>
              <w:bottom w:val="single" w:sz="8" w:color="4A7EBB"/>
            </w:tcBorders>
          </w:tcPr>
          <w:p>
            <w:pPr>
              <w:ind w:left="100"/>
              <w:spacing w:after="0" w:line="155" w:lineRule="exact"/>
              <w:rPr>
                <w:sz w:val="20"/>
                <w:szCs w:val="20"/>
                <w:color w:val="auto"/>
              </w:rPr>
            </w:pPr>
            <w:r>
              <w:rPr>
                <w:rFonts w:ascii="Arial" w:cs="Arial" w:eastAsia="Arial" w:hAnsi="Arial"/>
                <w:sz w:val="14"/>
                <w:szCs w:val="14"/>
                <w:color w:val="auto"/>
              </w:rPr>
              <w:t>Strategic opportunity related professional fees</w:t>
            </w:r>
          </w:p>
        </w:tc>
        <w:tc>
          <w:tcPr>
            <w:tcW w:w="280" w:type="dxa"/>
            <w:vAlign w:val="bottom"/>
            <w:tcBorders>
              <w:bottom w:val="single" w:sz="8" w:color="4A7EBB"/>
            </w:tcBorders>
          </w:tcPr>
          <w:p>
            <w:pPr>
              <w:spacing w:after="0"/>
              <w:rPr>
                <w:sz w:val="13"/>
                <w:szCs w:val="13"/>
                <w:color w:val="auto"/>
              </w:rPr>
            </w:pPr>
          </w:p>
        </w:tc>
        <w:tc>
          <w:tcPr>
            <w:tcW w:w="1100" w:type="dxa"/>
            <w:vAlign w:val="bottom"/>
            <w:tcBorders>
              <w:bottom w:val="single" w:sz="8" w:color="4A7EBB"/>
            </w:tcBorders>
          </w:tcPr>
          <w:p>
            <w:pPr>
              <w:spacing w:after="0"/>
              <w:rPr>
                <w:sz w:val="13"/>
                <w:szCs w:val="13"/>
                <w:color w:val="auto"/>
              </w:rPr>
            </w:pPr>
          </w:p>
        </w:tc>
        <w:tc>
          <w:tcPr>
            <w:tcW w:w="800" w:type="dxa"/>
            <w:vAlign w:val="bottom"/>
            <w:tcBorders>
              <w:bottom w:val="single" w:sz="8" w:color="4A7EBB"/>
            </w:tcBorders>
          </w:tcPr>
          <w:p>
            <w:pPr>
              <w:jc w:val="right"/>
              <w:spacing w:after="0" w:line="155" w:lineRule="exact"/>
              <w:rPr>
                <w:sz w:val="20"/>
                <w:szCs w:val="20"/>
                <w:color w:val="auto"/>
              </w:rPr>
            </w:pPr>
            <w:r>
              <w:rPr>
                <w:rFonts w:ascii="Arial" w:cs="Arial" w:eastAsia="Arial" w:hAnsi="Arial"/>
                <w:sz w:val="14"/>
                <w:szCs w:val="14"/>
                <w:color w:val="auto"/>
              </w:rPr>
              <w:t>2,282</w:t>
            </w:r>
          </w:p>
        </w:tc>
        <w:tc>
          <w:tcPr>
            <w:tcW w:w="300" w:type="dxa"/>
            <w:vAlign w:val="bottom"/>
            <w:tcBorders>
              <w:bottom w:val="single" w:sz="8" w:color="4A7EBB"/>
            </w:tcBorders>
          </w:tcPr>
          <w:p>
            <w:pPr>
              <w:spacing w:after="0"/>
              <w:rPr>
                <w:sz w:val="13"/>
                <w:szCs w:val="13"/>
                <w:color w:val="auto"/>
              </w:rPr>
            </w:pPr>
          </w:p>
        </w:tc>
        <w:tc>
          <w:tcPr>
            <w:tcW w:w="640" w:type="dxa"/>
            <w:vAlign w:val="bottom"/>
            <w:tcBorders>
              <w:bottom w:val="single" w:sz="8" w:color="4A7EBB"/>
            </w:tcBorders>
          </w:tcPr>
          <w:p>
            <w:pPr>
              <w:spacing w:after="0"/>
              <w:rPr>
                <w:sz w:val="13"/>
                <w:szCs w:val="13"/>
                <w:color w:val="auto"/>
              </w:rPr>
            </w:pPr>
          </w:p>
        </w:tc>
        <w:tc>
          <w:tcPr>
            <w:tcW w:w="1260" w:type="dxa"/>
            <w:vAlign w:val="bottom"/>
            <w:tcBorders>
              <w:bottom w:val="single" w:sz="8" w:color="4A7EBB"/>
            </w:tcBorders>
          </w:tcPr>
          <w:p>
            <w:pPr>
              <w:jc w:val="right"/>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20" w:type="dxa"/>
            <w:vAlign w:val="bottom"/>
            <w:tcBorders>
              <w:bottom w:val="single" w:sz="8" w:color="4A7EBB"/>
            </w:tcBorders>
            <w:shd w:val="clear" w:color="auto" w:fill="F2F2F2"/>
          </w:tcPr>
          <w:p>
            <w:pPr>
              <w:ind w:left="100"/>
              <w:spacing w:after="0" w:line="155" w:lineRule="exact"/>
              <w:rPr>
                <w:sz w:val="20"/>
                <w:szCs w:val="20"/>
                <w:color w:val="auto"/>
              </w:rPr>
            </w:pPr>
            <w:r>
              <w:rPr>
                <w:rFonts w:ascii="Arial" w:cs="Arial" w:eastAsia="Arial" w:hAnsi="Arial"/>
                <w:sz w:val="14"/>
                <w:szCs w:val="14"/>
                <w:color w:val="auto"/>
              </w:rPr>
              <w:t>One-time warehouse related severance expenses</w:t>
            </w:r>
          </w:p>
        </w:tc>
        <w:tc>
          <w:tcPr>
            <w:tcW w:w="280" w:type="dxa"/>
            <w:vAlign w:val="bottom"/>
            <w:tcBorders>
              <w:bottom w:val="single" w:sz="8" w:color="4A7EBB"/>
            </w:tcBorders>
            <w:shd w:val="clear" w:color="auto" w:fill="F2F2F2"/>
          </w:tcPr>
          <w:p>
            <w:pPr>
              <w:spacing w:after="0"/>
              <w:rPr>
                <w:sz w:val="13"/>
                <w:szCs w:val="13"/>
                <w:color w:val="auto"/>
              </w:rPr>
            </w:pPr>
          </w:p>
        </w:tc>
        <w:tc>
          <w:tcPr>
            <w:tcW w:w="1100" w:type="dxa"/>
            <w:vAlign w:val="bottom"/>
            <w:tcBorders>
              <w:bottom w:val="single" w:sz="8" w:color="4A7EBB"/>
            </w:tcBorders>
            <w:shd w:val="clear" w:color="auto" w:fill="F3F3F3"/>
          </w:tcPr>
          <w:p>
            <w:pPr>
              <w:spacing w:after="0"/>
              <w:rPr>
                <w:sz w:val="13"/>
                <w:szCs w:val="13"/>
                <w:color w:val="auto"/>
              </w:rPr>
            </w:pPr>
          </w:p>
        </w:tc>
        <w:tc>
          <w:tcPr>
            <w:tcW w:w="800" w:type="dxa"/>
            <w:vAlign w:val="bottom"/>
            <w:tcBorders>
              <w:bottom w:val="single" w:sz="8" w:color="4A7EBB"/>
            </w:tcBorders>
            <w:shd w:val="clear" w:color="auto" w:fill="F3F3F3"/>
          </w:tcPr>
          <w:p>
            <w:pPr>
              <w:jc w:val="right"/>
              <w:spacing w:after="0" w:line="155" w:lineRule="exact"/>
              <w:rPr>
                <w:sz w:val="20"/>
                <w:szCs w:val="20"/>
                <w:color w:val="auto"/>
              </w:rPr>
            </w:pPr>
            <w:r>
              <w:rPr>
                <w:rFonts w:ascii="Arial" w:cs="Arial" w:eastAsia="Arial" w:hAnsi="Arial"/>
                <w:sz w:val="14"/>
                <w:szCs w:val="14"/>
                <w:color w:val="auto"/>
              </w:rPr>
              <w:t>1,327</w:t>
            </w:r>
          </w:p>
        </w:tc>
        <w:tc>
          <w:tcPr>
            <w:tcW w:w="300" w:type="dxa"/>
            <w:vAlign w:val="bottom"/>
            <w:tcBorders>
              <w:bottom w:val="single" w:sz="8" w:color="4A7EBB"/>
            </w:tcBorders>
            <w:shd w:val="clear" w:color="auto" w:fill="F2F2F2"/>
          </w:tcPr>
          <w:p>
            <w:pPr>
              <w:spacing w:after="0"/>
              <w:rPr>
                <w:sz w:val="13"/>
                <w:szCs w:val="13"/>
                <w:color w:val="auto"/>
              </w:rPr>
            </w:pPr>
          </w:p>
        </w:tc>
        <w:tc>
          <w:tcPr>
            <w:tcW w:w="640" w:type="dxa"/>
            <w:vAlign w:val="bottom"/>
            <w:tcBorders>
              <w:bottom w:val="single" w:sz="8" w:color="4A7EBB"/>
            </w:tcBorders>
            <w:shd w:val="clear" w:color="auto" w:fill="F3F3F3"/>
          </w:tcPr>
          <w:p>
            <w:pPr>
              <w:spacing w:after="0"/>
              <w:rPr>
                <w:sz w:val="13"/>
                <w:szCs w:val="13"/>
                <w:color w:val="auto"/>
              </w:rPr>
            </w:pPr>
          </w:p>
        </w:tc>
        <w:tc>
          <w:tcPr>
            <w:tcW w:w="1260" w:type="dxa"/>
            <w:vAlign w:val="bottom"/>
            <w:tcBorders>
              <w:bottom w:val="single" w:sz="8" w:color="4A7EBB"/>
            </w:tcBorders>
            <w:shd w:val="clear" w:color="auto" w:fill="F3F3F3"/>
          </w:tcPr>
          <w:p>
            <w:pPr>
              <w:jc w:val="right"/>
              <w:spacing w:after="0" w:line="155" w:lineRule="exact"/>
              <w:rPr>
                <w:sz w:val="20"/>
                <w:szCs w:val="20"/>
                <w:color w:val="auto"/>
              </w:rPr>
            </w:pPr>
            <w:r>
              <w:rPr>
                <w:rFonts w:ascii="Arial" w:cs="Arial" w:eastAsia="Arial" w:hAnsi="Arial"/>
                <w:sz w:val="14"/>
                <w:szCs w:val="14"/>
                <w:color w:val="auto"/>
              </w:rPr>
              <w:t>1,908</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520" w:type="dxa"/>
            <w:vAlign w:val="bottom"/>
            <w:tcBorders>
              <w:bottom w:val="single" w:sz="8" w:color="4A7EBB"/>
            </w:tcBorders>
          </w:tcPr>
          <w:p>
            <w:pPr>
              <w:ind w:left="100"/>
              <w:spacing w:after="0" w:line="155" w:lineRule="exact"/>
              <w:rPr>
                <w:sz w:val="20"/>
                <w:szCs w:val="20"/>
                <w:color w:val="auto"/>
              </w:rPr>
            </w:pPr>
            <w:r>
              <w:rPr>
                <w:rFonts w:ascii="Arial" w:cs="Arial" w:eastAsia="Arial" w:hAnsi="Arial"/>
                <w:sz w:val="14"/>
                <w:szCs w:val="14"/>
                <w:color w:val="auto"/>
              </w:rPr>
              <w:t>Gain on forgiveness of liabilities</w:t>
            </w:r>
          </w:p>
        </w:tc>
        <w:tc>
          <w:tcPr>
            <w:tcW w:w="280" w:type="dxa"/>
            <w:vAlign w:val="bottom"/>
            <w:tcBorders>
              <w:bottom w:val="single" w:sz="8" w:color="4A7EBB"/>
            </w:tcBorders>
          </w:tcPr>
          <w:p>
            <w:pPr>
              <w:spacing w:after="0"/>
              <w:rPr>
                <w:sz w:val="13"/>
                <w:szCs w:val="13"/>
                <w:color w:val="auto"/>
              </w:rPr>
            </w:pPr>
          </w:p>
        </w:tc>
        <w:tc>
          <w:tcPr>
            <w:tcW w:w="1100" w:type="dxa"/>
            <w:vAlign w:val="bottom"/>
            <w:tcBorders>
              <w:bottom w:val="single" w:sz="8" w:color="4A7EBB"/>
            </w:tcBorders>
          </w:tcPr>
          <w:p>
            <w:pPr>
              <w:spacing w:after="0"/>
              <w:rPr>
                <w:sz w:val="13"/>
                <w:szCs w:val="13"/>
                <w:color w:val="auto"/>
              </w:rPr>
            </w:pPr>
          </w:p>
        </w:tc>
        <w:tc>
          <w:tcPr>
            <w:tcW w:w="800" w:type="dxa"/>
            <w:vAlign w:val="bottom"/>
            <w:tcBorders>
              <w:bottom w:val="single" w:sz="8" w:color="4A7EBB"/>
            </w:tcBorders>
          </w:tcPr>
          <w:p>
            <w:pPr>
              <w:jc w:val="right"/>
              <w:spacing w:after="0" w:line="155"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4A7EBB"/>
            </w:tcBorders>
          </w:tcPr>
          <w:p>
            <w:pPr>
              <w:spacing w:after="0"/>
              <w:rPr>
                <w:sz w:val="13"/>
                <w:szCs w:val="13"/>
                <w:color w:val="auto"/>
              </w:rPr>
            </w:pPr>
          </w:p>
        </w:tc>
        <w:tc>
          <w:tcPr>
            <w:tcW w:w="640" w:type="dxa"/>
            <w:vAlign w:val="bottom"/>
            <w:tcBorders>
              <w:bottom w:val="single" w:sz="8" w:color="4A7EBB"/>
            </w:tcBorders>
          </w:tcPr>
          <w:p>
            <w:pPr>
              <w:spacing w:after="0"/>
              <w:rPr>
                <w:sz w:val="13"/>
                <w:szCs w:val="13"/>
                <w:color w:val="auto"/>
              </w:rPr>
            </w:pPr>
          </w:p>
        </w:tc>
        <w:tc>
          <w:tcPr>
            <w:tcW w:w="1260" w:type="dxa"/>
            <w:vAlign w:val="bottom"/>
            <w:tcBorders>
              <w:bottom w:val="single" w:sz="8" w:color="4A7EBB"/>
            </w:tcBorders>
          </w:tcPr>
          <w:p>
            <w:pPr>
              <w:jc w:val="right"/>
              <w:spacing w:after="0" w:line="155" w:lineRule="exact"/>
              <w:rPr>
                <w:sz w:val="20"/>
                <w:szCs w:val="20"/>
                <w:color w:val="auto"/>
              </w:rPr>
            </w:pPr>
            <w:r>
              <w:rPr>
                <w:rFonts w:ascii="Arial" w:cs="Arial" w:eastAsia="Arial" w:hAnsi="Arial"/>
                <w:sz w:val="14"/>
                <w:szCs w:val="14"/>
                <w:color w:val="auto"/>
              </w:rPr>
              <w:t>(600)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20" w:type="dxa"/>
            <w:vAlign w:val="bottom"/>
            <w:tcBorders>
              <w:bottom w:val="single" w:sz="8" w:color="4A7EBB"/>
            </w:tcBorders>
            <w:shd w:val="clear" w:color="auto" w:fill="F2F2F2"/>
          </w:tcPr>
          <w:p>
            <w:pPr>
              <w:ind w:left="100"/>
              <w:spacing w:after="0" w:line="155" w:lineRule="exact"/>
              <w:rPr>
                <w:sz w:val="20"/>
                <w:szCs w:val="20"/>
                <w:color w:val="auto"/>
              </w:rPr>
            </w:pPr>
            <w:r>
              <w:rPr>
                <w:rFonts w:ascii="Arial" w:cs="Arial" w:eastAsia="Arial" w:hAnsi="Arial"/>
                <w:sz w:val="14"/>
                <w:szCs w:val="14"/>
                <w:color w:val="auto"/>
              </w:rPr>
              <w:t>Depreciation and amortization</w:t>
            </w:r>
          </w:p>
        </w:tc>
        <w:tc>
          <w:tcPr>
            <w:tcW w:w="280" w:type="dxa"/>
            <w:vAlign w:val="bottom"/>
            <w:tcBorders>
              <w:bottom w:val="single" w:sz="8" w:color="4A7EBB"/>
            </w:tcBorders>
            <w:shd w:val="clear" w:color="auto" w:fill="F2F2F2"/>
          </w:tcPr>
          <w:p>
            <w:pPr>
              <w:spacing w:after="0"/>
              <w:rPr>
                <w:sz w:val="13"/>
                <w:szCs w:val="13"/>
                <w:color w:val="auto"/>
              </w:rPr>
            </w:pPr>
          </w:p>
        </w:tc>
        <w:tc>
          <w:tcPr>
            <w:tcW w:w="1100" w:type="dxa"/>
            <w:vAlign w:val="bottom"/>
            <w:tcBorders>
              <w:bottom w:val="single" w:sz="8" w:color="4A7EBB"/>
            </w:tcBorders>
            <w:shd w:val="clear" w:color="auto" w:fill="F3F3F3"/>
          </w:tcPr>
          <w:p>
            <w:pPr>
              <w:spacing w:after="0"/>
              <w:rPr>
                <w:sz w:val="13"/>
                <w:szCs w:val="13"/>
                <w:color w:val="auto"/>
              </w:rPr>
            </w:pPr>
          </w:p>
        </w:tc>
        <w:tc>
          <w:tcPr>
            <w:tcW w:w="800" w:type="dxa"/>
            <w:vAlign w:val="bottom"/>
            <w:tcBorders>
              <w:bottom w:val="single" w:sz="8" w:color="4A7EBB"/>
            </w:tcBorders>
            <w:shd w:val="clear" w:color="auto" w:fill="F3F3F3"/>
          </w:tcPr>
          <w:p>
            <w:pPr>
              <w:jc w:val="right"/>
              <w:spacing w:after="0" w:line="155" w:lineRule="exact"/>
              <w:rPr>
                <w:sz w:val="20"/>
                <w:szCs w:val="20"/>
                <w:color w:val="auto"/>
              </w:rPr>
            </w:pPr>
            <w:r>
              <w:rPr>
                <w:rFonts w:ascii="Arial" w:cs="Arial" w:eastAsia="Arial" w:hAnsi="Arial"/>
                <w:sz w:val="14"/>
                <w:szCs w:val="14"/>
                <w:color w:val="auto"/>
              </w:rPr>
              <w:t>29,016</w:t>
            </w:r>
          </w:p>
        </w:tc>
        <w:tc>
          <w:tcPr>
            <w:tcW w:w="300" w:type="dxa"/>
            <w:vAlign w:val="bottom"/>
            <w:tcBorders>
              <w:bottom w:val="single" w:sz="8" w:color="4A7EBB"/>
            </w:tcBorders>
            <w:shd w:val="clear" w:color="auto" w:fill="F2F2F2"/>
          </w:tcPr>
          <w:p>
            <w:pPr>
              <w:spacing w:after="0"/>
              <w:rPr>
                <w:sz w:val="13"/>
                <w:szCs w:val="13"/>
                <w:color w:val="auto"/>
              </w:rPr>
            </w:pPr>
          </w:p>
        </w:tc>
        <w:tc>
          <w:tcPr>
            <w:tcW w:w="640" w:type="dxa"/>
            <w:vAlign w:val="bottom"/>
            <w:tcBorders>
              <w:bottom w:val="single" w:sz="8" w:color="4A7EBB"/>
            </w:tcBorders>
            <w:shd w:val="clear" w:color="auto" w:fill="F3F3F3"/>
          </w:tcPr>
          <w:p>
            <w:pPr>
              <w:spacing w:after="0"/>
              <w:rPr>
                <w:sz w:val="13"/>
                <w:szCs w:val="13"/>
                <w:color w:val="auto"/>
              </w:rPr>
            </w:pPr>
          </w:p>
        </w:tc>
        <w:tc>
          <w:tcPr>
            <w:tcW w:w="1260" w:type="dxa"/>
            <w:vAlign w:val="bottom"/>
            <w:tcBorders>
              <w:bottom w:val="single" w:sz="8" w:color="4A7EBB"/>
            </w:tcBorders>
            <w:shd w:val="clear" w:color="auto" w:fill="F3F3F3"/>
          </w:tcPr>
          <w:p>
            <w:pPr>
              <w:jc w:val="right"/>
              <w:spacing w:after="0" w:line="155" w:lineRule="exact"/>
              <w:rPr>
                <w:sz w:val="20"/>
                <w:szCs w:val="20"/>
                <w:color w:val="auto"/>
              </w:rPr>
            </w:pPr>
            <w:r>
              <w:rPr>
                <w:rFonts w:ascii="Arial" w:cs="Arial" w:eastAsia="Arial" w:hAnsi="Arial"/>
                <w:sz w:val="14"/>
                <w:szCs w:val="14"/>
                <w:color w:val="auto"/>
              </w:rPr>
              <w:t>27,444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20" w:type="dxa"/>
            <w:vAlign w:val="bottom"/>
            <w:tcBorders>
              <w:bottom w:val="single" w:sz="8" w:color="4A7EBB"/>
            </w:tcBorders>
          </w:tcPr>
          <w:p>
            <w:pPr>
              <w:ind w:left="100"/>
              <w:spacing w:after="0" w:line="155" w:lineRule="exact"/>
              <w:rPr>
                <w:sz w:val="20"/>
                <w:szCs w:val="20"/>
                <w:color w:val="auto"/>
              </w:rPr>
            </w:pPr>
            <w:r>
              <w:rPr>
                <w:rFonts w:ascii="Arial" w:cs="Arial" w:eastAsia="Arial" w:hAnsi="Arial"/>
                <w:sz w:val="14"/>
                <w:szCs w:val="14"/>
                <w:color w:val="auto"/>
              </w:rPr>
              <w:t>Interest and financing charges, net</w:t>
            </w:r>
          </w:p>
        </w:tc>
        <w:tc>
          <w:tcPr>
            <w:tcW w:w="280" w:type="dxa"/>
            <w:vAlign w:val="bottom"/>
            <w:tcBorders>
              <w:bottom w:val="single" w:sz="8" w:color="4A7EBB"/>
            </w:tcBorders>
          </w:tcPr>
          <w:p>
            <w:pPr>
              <w:spacing w:after="0"/>
              <w:rPr>
                <w:sz w:val="13"/>
                <w:szCs w:val="13"/>
                <w:color w:val="auto"/>
              </w:rPr>
            </w:pPr>
          </w:p>
        </w:tc>
        <w:tc>
          <w:tcPr>
            <w:tcW w:w="1100" w:type="dxa"/>
            <w:vAlign w:val="bottom"/>
            <w:tcBorders>
              <w:bottom w:val="single" w:sz="8" w:color="4A7EBB"/>
            </w:tcBorders>
          </w:tcPr>
          <w:p>
            <w:pPr>
              <w:spacing w:after="0"/>
              <w:rPr>
                <w:sz w:val="13"/>
                <w:szCs w:val="13"/>
                <w:color w:val="auto"/>
              </w:rPr>
            </w:pPr>
          </w:p>
        </w:tc>
        <w:tc>
          <w:tcPr>
            <w:tcW w:w="800" w:type="dxa"/>
            <w:vAlign w:val="bottom"/>
            <w:tcBorders>
              <w:bottom w:val="single" w:sz="8" w:color="4A7EBB"/>
            </w:tcBorders>
          </w:tcPr>
          <w:p>
            <w:pPr>
              <w:jc w:val="right"/>
              <w:spacing w:after="0" w:line="155" w:lineRule="exact"/>
              <w:rPr>
                <w:sz w:val="20"/>
                <w:szCs w:val="20"/>
                <w:color w:val="auto"/>
              </w:rPr>
            </w:pPr>
            <w:r>
              <w:rPr>
                <w:rFonts w:ascii="Arial" w:cs="Arial" w:eastAsia="Arial" w:hAnsi="Arial"/>
                <w:sz w:val="14"/>
                <w:szCs w:val="14"/>
                <w:color w:val="auto"/>
              </w:rPr>
              <w:t>508</w:t>
            </w:r>
          </w:p>
        </w:tc>
        <w:tc>
          <w:tcPr>
            <w:tcW w:w="300" w:type="dxa"/>
            <w:vAlign w:val="bottom"/>
            <w:tcBorders>
              <w:bottom w:val="single" w:sz="8" w:color="4A7EBB"/>
            </w:tcBorders>
          </w:tcPr>
          <w:p>
            <w:pPr>
              <w:spacing w:after="0"/>
              <w:rPr>
                <w:sz w:val="13"/>
                <w:szCs w:val="13"/>
                <w:color w:val="auto"/>
              </w:rPr>
            </w:pPr>
          </w:p>
        </w:tc>
        <w:tc>
          <w:tcPr>
            <w:tcW w:w="640" w:type="dxa"/>
            <w:vAlign w:val="bottom"/>
            <w:tcBorders>
              <w:bottom w:val="single" w:sz="8" w:color="4A7EBB"/>
            </w:tcBorders>
          </w:tcPr>
          <w:p>
            <w:pPr>
              <w:spacing w:after="0"/>
              <w:rPr>
                <w:sz w:val="13"/>
                <w:szCs w:val="13"/>
                <w:color w:val="auto"/>
              </w:rPr>
            </w:pPr>
          </w:p>
        </w:tc>
        <w:tc>
          <w:tcPr>
            <w:tcW w:w="1260" w:type="dxa"/>
            <w:vAlign w:val="bottom"/>
            <w:tcBorders>
              <w:bottom w:val="single" w:sz="8" w:color="4A7EBB"/>
            </w:tcBorders>
          </w:tcPr>
          <w:p>
            <w:pPr>
              <w:jc w:val="right"/>
              <w:spacing w:after="0" w:line="155" w:lineRule="exact"/>
              <w:rPr>
                <w:sz w:val="20"/>
                <w:szCs w:val="20"/>
                <w:color w:val="auto"/>
              </w:rPr>
            </w:pPr>
            <w:r>
              <w:rPr>
                <w:rFonts w:ascii="Arial" w:cs="Arial" w:eastAsia="Arial" w:hAnsi="Arial"/>
                <w:sz w:val="14"/>
                <w:szCs w:val="14"/>
                <w:color w:val="auto"/>
              </w:rPr>
              <w:t>18,842</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520" w:type="dxa"/>
            <w:vAlign w:val="bottom"/>
            <w:tcBorders>
              <w:bottom w:val="single" w:sz="8" w:color="4A7EBB"/>
            </w:tcBorders>
            <w:shd w:val="clear" w:color="auto" w:fill="F2F2F2"/>
          </w:tcPr>
          <w:p>
            <w:pPr>
              <w:ind w:left="100"/>
              <w:spacing w:after="0" w:line="155" w:lineRule="exact"/>
              <w:rPr>
                <w:sz w:val="20"/>
                <w:szCs w:val="20"/>
                <w:color w:val="auto"/>
              </w:rPr>
            </w:pPr>
            <w:r>
              <w:rPr>
                <w:rFonts w:ascii="Arial" w:cs="Arial" w:eastAsia="Arial" w:hAnsi="Arial"/>
                <w:sz w:val="14"/>
                <w:szCs w:val="14"/>
                <w:color w:val="auto"/>
              </w:rPr>
              <w:t>Income tax expense</w:t>
            </w:r>
          </w:p>
        </w:tc>
        <w:tc>
          <w:tcPr>
            <w:tcW w:w="280" w:type="dxa"/>
            <w:vAlign w:val="bottom"/>
            <w:tcBorders>
              <w:bottom w:val="single" w:sz="8" w:color="4A7EBB"/>
            </w:tcBorders>
            <w:shd w:val="clear" w:color="auto" w:fill="F2F2F2"/>
          </w:tcPr>
          <w:p>
            <w:pPr>
              <w:spacing w:after="0"/>
              <w:rPr>
                <w:sz w:val="13"/>
                <w:szCs w:val="13"/>
                <w:color w:val="auto"/>
              </w:rPr>
            </w:pPr>
          </w:p>
        </w:tc>
        <w:tc>
          <w:tcPr>
            <w:tcW w:w="1100" w:type="dxa"/>
            <w:vAlign w:val="bottom"/>
            <w:tcBorders>
              <w:bottom w:val="single" w:sz="8" w:color="4A7EBB"/>
            </w:tcBorders>
            <w:shd w:val="clear" w:color="auto" w:fill="F3F3F3"/>
          </w:tcPr>
          <w:p>
            <w:pPr>
              <w:spacing w:after="0"/>
              <w:rPr>
                <w:sz w:val="13"/>
                <w:szCs w:val="13"/>
                <w:color w:val="auto"/>
              </w:rPr>
            </w:pPr>
          </w:p>
        </w:tc>
        <w:tc>
          <w:tcPr>
            <w:tcW w:w="800" w:type="dxa"/>
            <w:vAlign w:val="bottom"/>
            <w:tcBorders>
              <w:bottom w:val="single" w:sz="8" w:color="4A7EBB"/>
            </w:tcBorders>
            <w:shd w:val="clear" w:color="auto" w:fill="F3F3F3"/>
          </w:tcPr>
          <w:p>
            <w:pPr>
              <w:jc w:val="right"/>
              <w:spacing w:after="0" w:line="155" w:lineRule="exact"/>
              <w:rPr>
                <w:sz w:val="20"/>
                <w:szCs w:val="20"/>
                <w:color w:val="auto"/>
              </w:rPr>
            </w:pPr>
            <w:r>
              <w:rPr>
                <w:rFonts w:ascii="Arial" w:cs="Arial" w:eastAsia="Arial" w:hAnsi="Arial"/>
                <w:sz w:val="14"/>
                <w:szCs w:val="14"/>
                <w:color w:val="auto"/>
              </w:rPr>
              <w:t>43,316</w:t>
            </w:r>
          </w:p>
        </w:tc>
        <w:tc>
          <w:tcPr>
            <w:tcW w:w="300" w:type="dxa"/>
            <w:vAlign w:val="bottom"/>
            <w:tcBorders>
              <w:bottom w:val="single" w:sz="8" w:color="4A7EBB"/>
            </w:tcBorders>
            <w:shd w:val="clear" w:color="auto" w:fill="F2F2F2"/>
          </w:tcPr>
          <w:p>
            <w:pPr>
              <w:spacing w:after="0"/>
              <w:rPr>
                <w:sz w:val="13"/>
                <w:szCs w:val="13"/>
                <w:color w:val="auto"/>
              </w:rPr>
            </w:pPr>
          </w:p>
        </w:tc>
        <w:tc>
          <w:tcPr>
            <w:tcW w:w="640" w:type="dxa"/>
            <w:vAlign w:val="bottom"/>
            <w:tcBorders>
              <w:bottom w:val="single" w:sz="8" w:color="4A7EBB"/>
            </w:tcBorders>
            <w:shd w:val="clear" w:color="auto" w:fill="F3F3F3"/>
          </w:tcPr>
          <w:p>
            <w:pPr>
              <w:spacing w:after="0"/>
              <w:rPr>
                <w:sz w:val="13"/>
                <w:szCs w:val="13"/>
                <w:color w:val="auto"/>
              </w:rPr>
            </w:pPr>
          </w:p>
        </w:tc>
        <w:tc>
          <w:tcPr>
            <w:tcW w:w="1260" w:type="dxa"/>
            <w:vAlign w:val="bottom"/>
            <w:tcBorders>
              <w:bottom w:val="single" w:sz="8" w:color="4A7EBB"/>
            </w:tcBorders>
            <w:shd w:val="clear" w:color="auto" w:fill="F3F3F3"/>
          </w:tcPr>
          <w:p>
            <w:pPr>
              <w:jc w:val="right"/>
              <w:spacing w:after="0" w:line="155" w:lineRule="exact"/>
              <w:rPr>
                <w:sz w:val="20"/>
                <w:szCs w:val="20"/>
                <w:color w:val="auto"/>
              </w:rPr>
            </w:pPr>
            <w:r>
              <w:rPr>
                <w:rFonts w:ascii="Arial" w:cs="Arial" w:eastAsia="Arial" w:hAnsi="Arial"/>
                <w:sz w:val="14"/>
                <w:szCs w:val="14"/>
                <w:color w:val="auto"/>
              </w:rPr>
              <w:t>76,566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20" w:type="dxa"/>
            <w:vAlign w:val="bottom"/>
            <w:tcBorders>
              <w:bottom w:val="single" w:sz="8" w:color="4A7EBB"/>
            </w:tcBorders>
          </w:tcPr>
          <w:p>
            <w:pPr>
              <w:spacing w:after="0"/>
              <w:rPr>
                <w:sz w:val="13"/>
                <w:szCs w:val="13"/>
                <w:color w:val="auto"/>
              </w:rPr>
            </w:pPr>
          </w:p>
        </w:tc>
        <w:tc>
          <w:tcPr>
            <w:tcW w:w="280" w:type="dxa"/>
            <w:vAlign w:val="bottom"/>
            <w:tcBorders>
              <w:bottom w:val="single" w:sz="8" w:color="4A7EBB"/>
            </w:tcBorders>
          </w:tcPr>
          <w:p>
            <w:pPr>
              <w:spacing w:after="0"/>
              <w:rPr>
                <w:sz w:val="13"/>
                <w:szCs w:val="13"/>
                <w:color w:val="auto"/>
              </w:rPr>
            </w:pPr>
          </w:p>
        </w:tc>
        <w:tc>
          <w:tcPr>
            <w:tcW w:w="1100" w:type="dxa"/>
            <w:vAlign w:val="bottom"/>
            <w:tcBorders>
              <w:bottom w:val="single" w:sz="8" w:color="4A7EBB"/>
            </w:tcBorders>
          </w:tcPr>
          <w:p>
            <w:pPr>
              <w:spacing w:after="0"/>
              <w:rPr>
                <w:sz w:val="13"/>
                <w:szCs w:val="13"/>
                <w:color w:val="auto"/>
              </w:rPr>
            </w:pPr>
          </w:p>
        </w:tc>
        <w:tc>
          <w:tcPr>
            <w:tcW w:w="800" w:type="dxa"/>
            <w:vAlign w:val="bottom"/>
            <w:tcBorders>
              <w:bottom w:val="single" w:sz="8" w:color="4A7EBB"/>
            </w:tcBorders>
          </w:tcPr>
          <w:p>
            <w:pPr>
              <w:spacing w:after="0"/>
              <w:rPr>
                <w:sz w:val="13"/>
                <w:szCs w:val="13"/>
                <w:color w:val="auto"/>
              </w:rPr>
            </w:pPr>
          </w:p>
        </w:tc>
        <w:tc>
          <w:tcPr>
            <w:tcW w:w="300" w:type="dxa"/>
            <w:vAlign w:val="bottom"/>
            <w:tcBorders>
              <w:bottom w:val="single" w:sz="8" w:color="4A7EBB"/>
            </w:tcBorders>
          </w:tcPr>
          <w:p>
            <w:pPr>
              <w:spacing w:after="0"/>
              <w:rPr>
                <w:sz w:val="13"/>
                <w:szCs w:val="13"/>
                <w:color w:val="auto"/>
              </w:rPr>
            </w:pPr>
          </w:p>
        </w:tc>
        <w:tc>
          <w:tcPr>
            <w:tcW w:w="640" w:type="dxa"/>
            <w:vAlign w:val="bottom"/>
            <w:tcBorders>
              <w:bottom w:val="single" w:sz="8" w:color="4A7EBB"/>
            </w:tcBorders>
          </w:tcPr>
          <w:p>
            <w:pPr>
              <w:spacing w:after="0"/>
              <w:rPr>
                <w:sz w:val="13"/>
                <w:szCs w:val="13"/>
                <w:color w:val="auto"/>
              </w:rPr>
            </w:pPr>
          </w:p>
        </w:tc>
        <w:tc>
          <w:tcPr>
            <w:tcW w:w="1260" w:type="dxa"/>
            <w:vAlign w:val="bottom"/>
            <w:tcBorders>
              <w:bottom w:val="single" w:sz="8" w:color="4A7EBB"/>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520" w:type="dxa"/>
            <w:vAlign w:val="bottom"/>
            <w:tcBorders>
              <w:bottom w:val="single" w:sz="8" w:color="4A7EBB"/>
            </w:tcBorders>
            <w:shd w:val="clear" w:color="auto" w:fill="F2F2F2"/>
          </w:tcPr>
          <w:p>
            <w:pPr>
              <w:spacing w:after="0" w:line="156" w:lineRule="exact"/>
              <w:rPr>
                <w:sz w:val="20"/>
                <w:szCs w:val="20"/>
                <w:color w:val="auto"/>
              </w:rPr>
            </w:pPr>
            <w:r>
              <w:rPr>
                <w:rFonts w:ascii="Arial" w:cs="Arial" w:eastAsia="Arial" w:hAnsi="Arial"/>
                <w:sz w:val="13"/>
                <w:szCs w:val="13"/>
                <w:b w:val="1"/>
                <w:bCs w:val="1"/>
                <w:color w:val="auto"/>
              </w:rPr>
              <w:t xml:space="preserve">Adjusted EBITDA, as defined </w:t>
            </w:r>
            <w:r>
              <w:rPr>
                <w:rFonts w:ascii="Arial" w:cs="Arial" w:eastAsia="Arial" w:hAnsi="Arial"/>
                <w:sz w:val="18"/>
                <w:szCs w:val="18"/>
                <w:b w:val="1"/>
                <w:bCs w:val="1"/>
                <w:color w:val="auto"/>
                <w:vertAlign w:val="superscript"/>
              </w:rPr>
              <w:t>(1)</w:t>
            </w:r>
          </w:p>
        </w:tc>
        <w:tc>
          <w:tcPr>
            <w:tcW w:w="280" w:type="dxa"/>
            <w:vAlign w:val="bottom"/>
            <w:tcBorders>
              <w:bottom w:val="single" w:sz="8" w:color="4A7EBB"/>
            </w:tcBorders>
            <w:shd w:val="clear" w:color="auto" w:fill="F2F2F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4A7EBB"/>
            </w:tcBorders>
            <w:shd w:val="clear" w:color="auto" w:fill="F3F3F3"/>
          </w:tcPr>
          <w:p>
            <w:pPr>
              <w:spacing w:after="0"/>
              <w:rPr>
                <w:sz w:val="13"/>
                <w:szCs w:val="13"/>
                <w:color w:val="auto"/>
              </w:rPr>
            </w:pPr>
          </w:p>
        </w:tc>
        <w:tc>
          <w:tcPr>
            <w:tcW w:w="800" w:type="dxa"/>
            <w:vAlign w:val="bottom"/>
            <w:tcBorders>
              <w:bottom w:val="single" w:sz="8" w:color="4A7EBB"/>
            </w:tcBorders>
            <w:shd w:val="clear" w:color="auto" w:fill="F3F3F3"/>
          </w:tcPr>
          <w:p>
            <w:pPr>
              <w:jc w:val="right"/>
              <w:spacing w:after="0" w:line="155" w:lineRule="exact"/>
              <w:rPr>
                <w:sz w:val="20"/>
                <w:szCs w:val="20"/>
                <w:color w:val="auto"/>
              </w:rPr>
            </w:pPr>
            <w:r>
              <w:rPr>
                <w:rFonts w:ascii="Arial" w:cs="Arial" w:eastAsia="Arial" w:hAnsi="Arial"/>
                <w:sz w:val="14"/>
                <w:szCs w:val="14"/>
                <w:b w:val="1"/>
                <w:bCs w:val="1"/>
                <w:color w:val="auto"/>
              </w:rPr>
              <w:t>192,367</w:t>
            </w:r>
          </w:p>
        </w:tc>
        <w:tc>
          <w:tcPr>
            <w:tcW w:w="300" w:type="dxa"/>
            <w:vAlign w:val="bottom"/>
            <w:tcBorders>
              <w:bottom w:val="single" w:sz="8" w:color="4A7EBB"/>
            </w:tcBorders>
            <w:shd w:val="clear" w:color="auto" w:fill="F2F2F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4A7EBB"/>
            </w:tcBorders>
            <w:shd w:val="clear" w:color="auto" w:fill="F3F3F3"/>
          </w:tcPr>
          <w:p>
            <w:pPr>
              <w:spacing w:after="0"/>
              <w:rPr>
                <w:sz w:val="13"/>
                <w:szCs w:val="13"/>
                <w:color w:val="auto"/>
              </w:rPr>
            </w:pPr>
          </w:p>
        </w:tc>
        <w:tc>
          <w:tcPr>
            <w:tcW w:w="1260" w:type="dxa"/>
            <w:vAlign w:val="bottom"/>
            <w:tcBorders>
              <w:bottom w:val="single" w:sz="8" w:color="4A7EBB"/>
            </w:tcBorders>
            <w:shd w:val="clear" w:color="auto" w:fill="F3F3F3"/>
          </w:tcPr>
          <w:p>
            <w:pPr>
              <w:jc w:val="right"/>
              <w:spacing w:after="0" w:line="155" w:lineRule="exact"/>
              <w:rPr>
                <w:sz w:val="20"/>
                <w:szCs w:val="20"/>
                <w:color w:val="auto"/>
              </w:rPr>
            </w:pPr>
            <w:r>
              <w:rPr>
                <w:rFonts w:ascii="Arial" w:cs="Arial" w:eastAsia="Arial" w:hAnsi="Arial"/>
                <w:sz w:val="14"/>
                <w:szCs w:val="14"/>
                <w:b w:val="1"/>
                <w:bCs w:val="1"/>
                <w:color w:val="auto"/>
              </w:rPr>
              <w:t>325,921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20" w:type="dxa"/>
            <w:vAlign w:val="bottom"/>
            <w:tcBorders>
              <w:bottom w:val="single" w:sz="8" w:color="4A7EBB"/>
            </w:tcBorders>
          </w:tcPr>
          <w:p>
            <w:pPr>
              <w:spacing w:after="0"/>
              <w:rPr>
                <w:sz w:val="13"/>
                <w:szCs w:val="13"/>
                <w:color w:val="auto"/>
              </w:rPr>
            </w:pPr>
          </w:p>
        </w:tc>
        <w:tc>
          <w:tcPr>
            <w:tcW w:w="280" w:type="dxa"/>
            <w:vAlign w:val="bottom"/>
            <w:tcBorders>
              <w:bottom w:val="single" w:sz="8" w:color="4A7EBB"/>
            </w:tcBorders>
          </w:tcPr>
          <w:p>
            <w:pPr>
              <w:spacing w:after="0"/>
              <w:rPr>
                <w:sz w:val="13"/>
                <w:szCs w:val="13"/>
                <w:color w:val="auto"/>
              </w:rPr>
            </w:pPr>
          </w:p>
        </w:tc>
        <w:tc>
          <w:tcPr>
            <w:tcW w:w="1100" w:type="dxa"/>
            <w:vAlign w:val="bottom"/>
            <w:tcBorders>
              <w:bottom w:val="single" w:sz="8" w:color="4A7EBB"/>
            </w:tcBorders>
          </w:tcPr>
          <w:p>
            <w:pPr>
              <w:spacing w:after="0"/>
              <w:rPr>
                <w:sz w:val="13"/>
                <w:szCs w:val="13"/>
                <w:color w:val="auto"/>
              </w:rPr>
            </w:pPr>
          </w:p>
        </w:tc>
        <w:tc>
          <w:tcPr>
            <w:tcW w:w="800" w:type="dxa"/>
            <w:vAlign w:val="bottom"/>
            <w:tcBorders>
              <w:bottom w:val="single" w:sz="8" w:color="4A7EBB"/>
            </w:tcBorders>
          </w:tcPr>
          <w:p>
            <w:pPr>
              <w:spacing w:after="0"/>
              <w:rPr>
                <w:sz w:val="13"/>
                <w:szCs w:val="13"/>
                <w:color w:val="auto"/>
              </w:rPr>
            </w:pPr>
          </w:p>
        </w:tc>
        <w:tc>
          <w:tcPr>
            <w:tcW w:w="300" w:type="dxa"/>
            <w:vAlign w:val="bottom"/>
            <w:tcBorders>
              <w:bottom w:val="single" w:sz="8" w:color="4A7EBB"/>
            </w:tcBorders>
          </w:tcPr>
          <w:p>
            <w:pPr>
              <w:spacing w:after="0"/>
              <w:rPr>
                <w:sz w:val="13"/>
                <w:szCs w:val="13"/>
                <w:color w:val="auto"/>
              </w:rPr>
            </w:pPr>
          </w:p>
        </w:tc>
        <w:tc>
          <w:tcPr>
            <w:tcW w:w="640" w:type="dxa"/>
            <w:vAlign w:val="bottom"/>
            <w:tcBorders>
              <w:bottom w:val="single" w:sz="8" w:color="4A7EBB"/>
            </w:tcBorders>
          </w:tcPr>
          <w:p>
            <w:pPr>
              <w:spacing w:after="0"/>
              <w:rPr>
                <w:sz w:val="13"/>
                <w:szCs w:val="13"/>
                <w:color w:val="auto"/>
              </w:rPr>
            </w:pPr>
          </w:p>
        </w:tc>
        <w:tc>
          <w:tcPr>
            <w:tcW w:w="1260" w:type="dxa"/>
            <w:vAlign w:val="bottom"/>
            <w:tcBorders>
              <w:bottom w:val="single" w:sz="8" w:color="4A7EBB"/>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20" w:type="dxa"/>
            <w:vAlign w:val="bottom"/>
            <w:tcBorders>
              <w:bottom w:val="single" w:sz="8" w:color="4A7EBB"/>
            </w:tcBorders>
            <w:shd w:val="clear" w:color="auto" w:fill="F2F2F2"/>
          </w:tcPr>
          <w:p>
            <w:pPr>
              <w:spacing w:after="0" w:line="156" w:lineRule="exact"/>
              <w:rPr>
                <w:sz w:val="20"/>
                <w:szCs w:val="20"/>
                <w:color w:val="auto"/>
              </w:rPr>
            </w:pPr>
            <w:r>
              <w:rPr>
                <w:rFonts w:ascii="Arial" w:cs="Arial" w:eastAsia="Arial" w:hAnsi="Arial"/>
                <w:sz w:val="13"/>
                <w:szCs w:val="13"/>
                <w:b w:val="1"/>
                <w:bCs w:val="1"/>
                <w:color w:val="auto"/>
              </w:rPr>
              <w:t xml:space="preserve">Adjusted Pre-tax Income, as defined </w:t>
            </w:r>
            <w:r>
              <w:rPr>
                <w:rFonts w:ascii="Arial" w:cs="Arial" w:eastAsia="Arial" w:hAnsi="Arial"/>
                <w:sz w:val="18"/>
                <w:szCs w:val="18"/>
                <w:b w:val="1"/>
                <w:bCs w:val="1"/>
                <w:color w:val="auto"/>
                <w:vertAlign w:val="superscript"/>
              </w:rPr>
              <w:t>(2)</w:t>
            </w:r>
          </w:p>
        </w:tc>
        <w:tc>
          <w:tcPr>
            <w:tcW w:w="280" w:type="dxa"/>
            <w:vAlign w:val="bottom"/>
            <w:tcBorders>
              <w:bottom w:val="single" w:sz="8" w:color="4A7EBB"/>
            </w:tcBorders>
            <w:shd w:val="clear" w:color="auto" w:fill="F2F2F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4A7EBB"/>
            </w:tcBorders>
            <w:shd w:val="clear" w:color="auto" w:fill="F3F3F3"/>
          </w:tcPr>
          <w:p>
            <w:pPr>
              <w:spacing w:after="0"/>
              <w:rPr>
                <w:sz w:val="13"/>
                <w:szCs w:val="13"/>
                <w:color w:val="auto"/>
              </w:rPr>
            </w:pPr>
          </w:p>
        </w:tc>
        <w:tc>
          <w:tcPr>
            <w:tcW w:w="800" w:type="dxa"/>
            <w:vAlign w:val="bottom"/>
            <w:tcBorders>
              <w:bottom w:val="single" w:sz="8" w:color="4A7EBB"/>
            </w:tcBorders>
            <w:shd w:val="clear" w:color="auto" w:fill="F3F3F3"/>
          </w:tcPr>
          <w:p>
            <w:pPr>
              <w:jc w:val="right"/>
              <w:spacing w:after="0" w:line="155" w:lineRule="exact"/>
              <w:rPr>
                <w:sz w:val="20"/>
                <w:szCs w:val="20"/>
                <w:color w:val="auto"/>
              </w:rPr>
            </w:pPr>
            <w:r>
              <w:rPr>
                <w:rFonts w:ascii="Arial" w:cs="Arial" w:eastAsia="Arial" w:hAnsi="Arial"/>
                <w:sz w:val="14"/>
                <w:szCs w:val="14"/>
                <w:b w:val="1"/>
                <w:bCs w:val="1"/>
                <w:color w:val="auto"/>
              </w:rPr>
              <w:t>162,843</w:t>
            </w:r>
          </w:p>
        </w:tc>
        <w:tc>
          <w:tcPr>
            <w:tcW w:w="300" w:type="dxa"/>
            <w:vAlign w:val="bottom"/>
            <w:tcBorders>
              <w:bottom w:val="single" w:sz="8" w:color="4A7EBB"/>
            </w:tcBorders>
            <w:shd w:val="clear" w:color="auto" w:fill="F2F2F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4A7EBB"/>
            </w:tcBorders>
            <w:shd w:val="clear" w:color="auto" w:fill="F2F2F2"/>
          </w:tcPr>
          <w:p>
            <w:pPr>
              <w:spacing w:after="0"/>
              <w:rPr>
                <w:sz w:val="13"/>
                <w:szCs w:val="13"/>
                <w:color w:val="auto"/>
              </w:rPr>
            </w:pPr>
          </w:p>
        </w:tc>
        <w:tc>
          <w:tcPr>
            <w:tcW w:w="1260" w:type="dxa"/>
            <w:vAlign w:val="bottom"/>
            <w:tcBorders>
              <w:bottom w:val="single" w:sz="8" w:color="4A7EBB"/>
            </w:tcBorders>
            <w:shd w:val="clear" w:color="auto" w:fill="F2F2F2"/>
          </w:tcPr>
          <w:p>
            <w:pPr>
              <w:jc w:val="right"/>
              <w:spacing w:after="0" w:line="155" w:lineRule="exact"/>
              <w:rPr>
                <w:sz w:val="20"/>
                <w:szCs w:val="20"/>
                <w:color w:val="auto"/>
              </w:rPr>
            </w:pPr>
            <w:r>
              <w:rPr>
                <w:rFonts w:ascii="Arial" w:cs="Arial" w:eastAsia="Arial" w:hAnsi="Arial"/>
                <w:sz w:val="14"/>
                <w:szCs w:val="14"/>
                <w:b w:val="1"/>
                <w:bCs w:val="1"/>
                <w:color w:val="auto"/>
              </w:rPr>
              <w:t>279,635</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520" w:type="dxa"/>
            <w:vAlign w:val="bottom"/>
            <w:tcBorders>
              <w:bottom w:val="single" w:sz="8" w:color="4A7EBB"/>
            </w:tcBorders>
          </w:tcPr>
          <w:p>
            <w:pPr>
              <w:spacing w:after="0"/>
              <w:rPr>
                <w:sz w:val="13"/>
                <w:szCs w:val="13"/>
                <w:color w:val="auto"/>
              </w:rPr>
            </w:pPr>
          </w:p>
        </w:tc>
        <w:tc>
          <w:tcPr>
            <w:tcW w:w="280" w:type="dxa"/>
            <w:vAlign w:val="bottom"/>
            <w:tcBorders>
              <w:bottom w:val="single" w:sz="8" w:color="4A7EBB"/>
            </w:tcBorders>
          </w:tcPr>
          <w:p>
            <w:pPr>
              <w:spacing w:after="0"/>
              <w:rPr>
                <w:sz w:val="13"/>
                <w:szCs w:val="13"/>
                <w:color w:val="auto"/>
              </w:rPr>
            </w:pPr>
          </w:p>
        </w:tc>
        <w:tc>
          <w:tcPr>
            <w:tcW w:w="1100" w:type="dxa"/>
            <w:vAlign w:val="bottom"/>
            <w:tcBorders>
              <w:bottom w:val="single" w:sz="8" w:color="4A7EBB"/>
            </w:tcBorders>
          </w:tcPr>
          <w:p>
            <w:pPr>
              <w:spacing w:after="0"/>
              <w:rPr>
                <w:sz w:val="13"/>
                <w:szCs w:val="13"/>
                <w:color w:val="auto"/>
              </w:rPr>
            </w:pPr>
          </w:p>
        </w:tc>
        <w:tc>
          <w:tcPr>
            <w:tcW w:w="800" w:type="dxa"/>
            <w:vAlign w:val="bottom"/>
            <w:tcBorders>
              <w:bottom w:val="single" w:sz="8" w:color="4A7EBB"/>
            </w:tcBorders>
          </w:tcPr>
          <w:p>
            <w:pPr>
              <w:spacing w:after="0"/>
              <w:rPr>
                <w:sz w:val="13"/>
                <w:szCs w:val="13"/>
                <w:color w:val="auto"/>
              </w:rPr>
            </w:pPr>
          </w:p>
        </w:tc>
        <w:tc>
          <w:tcPr>
            <w:tcW w:w="300" w:type="dxa"/>
            <w:vAlign w:val="bottom"/>
            <w:tcBorders>
              <w:bottom w:val="single" w:sz="8" w:color="4A7EBB"/>
            </w:tcBorders>
          </w:tcPr>
          <w:p>
            <w:pPr>
              <w:spacing w:after="0"/>
              <w:rPr>
                <w:sz w:val="13"/>
                <w:szCs w:val="13"/>
                <w:color w:val="auto"/>
              </w:rPr>
            </w:pPr>
          </w:p>
        </w:tc>
        <w:tc>
          <w:tcPr>
            <w:tcW w:w="640" w:type="dxa"/>
            <w:vAlign w:val="bottom"/>
            <w:tcBorders>
              <w:bottom w:val="single" w:sz="8" w:color="4A7EBB"/>
            </w:tcBorders>
          </w:tcPr>
          <w:p>
            <w:pPr>
              <w:spacing w:after="0"/>
              <w:rPr>
                <w:sz w:val="13"/>
                <w:szCs w:val="13"/>
                <w:color w:val="auto"/>
              </w:rPr>
            </w:pPr>
          </w:p>
        </w:tc>
        <w:tc>
          <w:tcPr>
            <w:tcW w:w="1260" w:type="dxa"/>
            <w:vAlign w:val="bottom"/>
            <w:tcBorders>
              <w:bottom w:val="single" w:sz="8" w:color="4A7EBB"/>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20" w:type="dxa"/>
            <w:vAlign w:val="bottom"/>
            <w:tcBorders>
              <w:bottom w:val="single" w:sz="8" w:color="4A7EBB"/>
            </w:tcBorders>
            <w:shd w:val="clear" w:color="auto" w:fill="F2F2F2"/>
          </w:tcPr>
          <w:p>
            <w:pPr>
              <w:spacing w:after="0" w:line="156" w:lineRule="exact"/>
              <w:rPr>
                <w:sz w:val="20"/>
                <w:szCs w:val="20"/>
                <w:color w:val="auto"/>
              </w:rPr>
            </w:pPr>
            <w:r>
              <w:rPr>
                <w:rFonts w:ascii="Arial" w:cs="Arial" w:eastAsia="Arial" w:hAnsi="Arial"/>
                <w:sz w:val="13"/>
                <w:szCs w:val="13"/>
                <w:b w:val="1"/>
                <w:bCs w:val="1"/>
                <w:color w:val="auto"/>
              </w:rPr>
              <w:t xml:space="preserve">Adjusted Pre-tax Income for Annual Cash Incentive, as defined </w:t>
            </w:r>
            <w:r>
              <w:rPr>
                <w:rFonts w:ascii="Arial" w:cs="Arial" w:eastAsia="Arial" w:hAnsi="Arial"/>
                <w:sz w:val="18"/>
                <w:szCs w:val="18"/>
                <w:b w:val="1"/>
                <w:bCs w:val="1"/>
                <w:color w:val="auto"/>
                <w:vertAlign w:val="superscript"/>
              </w:rPr>
              <w:t>(3)</w:t>
            </w:r>
          </w:p>
        </w:tc>
        <w:tc>
          <w:tcPr>
            <w:tcW w:w="280" w:type="dxa"/>
            <w:vAlign w:val="bottom"/>
            <w:tcBorders>
              <w:bottom w:val="single" w:sz="8" w:color="4A7EBB"/>
            </w:tcBorders>
            <w:shd w:val="clear" w:color="auto" w:fill="F2F2F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4A7EBB"/>
            </w:tcBorders>
            <w:shd w:val="clear" w:color="auto" w:fill="F3F3F3"/>
          </w:tcPr>
          <w:p>
            <w:pPr>
              <w:spacing w:after="0"/>
              <w:rPr>
                <w:sz w:val="13"/>
                <w:szCs w:val="13"/>
                <w:color w:val="auto"/>
              </w:rPr>
            </w:pPr>
          </w:p>
        </w:tc>
        <w:tc>
          <w:tcPr>
            <w:tcW w:w="800" w:type="dxa"/>
            <w:vAlign w:val="bottom"/>
            <w:tcBorders>
              <w:bottom w:val="single" w:sz="8" w:color="4A7EBB"/>
            </w:tcBorders>
            <w:shd w:val="clear" w:color="auto" w:fill="F3F3F3"/>
          </w:tcPr>
          <w:p>
            <w:pPr>
              <w:jc w:val="right"/>
              <w:spacing w:after="0" w:line="155" w:lineRule="exact"/>
              <w:rPr>
                <w:sz w:val="20"/>
                <w:szCs w:val="20"/>
                <w:color w:val="auto"/>
              </w:rPr>
            </w:pPr>
            <w:r>
              <w:rPr>
                <w:rFonts w:ascii="Arial" w:cs="Arial" w:eastAsia="Arial" w:hAnsi="Arial"/>
                <w:sz w:val="14"/>
                <w:szCs w:val="14"/>
                <w:b w:val="1"/>
                <w:bCs w:val="1"/>
                <w:color w:val="auto"/>
              </w:rPr>
              <w:t>262,843</w:t>
            </w:r>
          </w:p>
        </w:tc>
        <w:tc>
          <w:tcPr>
            <w:tcW w:w="300" w:type="dxa"/>
            <w:vAlign w:val="bottom"/>
            <w:tcBorders>
              <w:bottom w:val="single" w:sz="8" w:color="4A7EBB"/>
            </w:tcBorders>
            <w:shd w:val="clear" w:color="auto" w:fill="F2F2F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4A7EBB"/>
            </w:tcBorders>
            <w:shd w:val="clear" w:color="auto" w:fill="F2F2F2"/>
          </w:tcPr>
          <w:p>
            <w:pPr>
              <w:spacing w:after="0"/>
              <w:rPr>
                <w:sz w:val="13"/>
                <w:szCs w:val="13"/>
                <w:color w:val="auto"/>
              </w:rPr>
            </w:pPr>
          </w:p>
        </w:tc>
        <w:tc>
          <w:tcPr>
            <w:tcW w:w="1260" w:type="dxa"/>
            <w:vAlign w:val="bottom"/>
            <w:tcBorders>
              <w:bottom w:val="single" w:sz="8" w:color="4A7EBB"/>
            </w:tcBorders>
            <w:shd w:val="clear" w:color="auto" w:fill="F2F2F2"/>
          </w:tcPr>
          <w:p>
            <w:pPr>
              <w:jc w:val="right"/>
              <w:spacing w:after="0" w:line="155" w:lineRule="exact"/>
              <w:rPr>
                <w:sz w:val="20"/>
                <w:szCs w:val="20"/>
                <w:color w:val="auto"/>
              </w:rPr>
            </w:pPr>
            <w:r>
              <w:rPr>
                <w:rFonts w:ascii="Arial" w:cs="Arial" w:eastAsia="Arial" w:hAnsi="Arial"/>
                <w:sz w:val="14"/>
                <w:szCs w:val="14"/>
                <w:b w:val="1"/>
                <w:bCs w:val="1"/>
                <w:color w:val="auto"/>
              </w:rPr>
              <w:t>279,635</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left="340" w:hanging="332"/>
        <w:spacing w:after="0" w:line="241" w:lineRule="auto"/>
        <w:tabs>
          <w:tab w:leader="none" w:pos="3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Adjusted EBITDA is a “non-GAAP financial measure” which represents earnings before depreciation and amortization, interest and financing charges, net and income tax expense and excludes (i) in both fiscal 2026 and 2025, asset impairments, (ii) in fiscal 2026, professional fees related to a potential strategic opportunity that did not come to fruition,</w:t>
      </w:r>
    </w:p>
    <w:p>
      <w:pPr>
        <w:spacing w:after="0" w:line="1" w:lineRule="exact"/>
        <w:rPr>
          <w:rFonts w:ascii="Arial" w:cs="Arial" w:eastAsia="Arial" w:hAnsi="Arial"/>
          <w:sz w:val="18"/>
          <w:szCs w:val="18"/>
          <w:color w:val="auto"/>
        </w:rPr>
      </w:pPr>
    </w:p>
    <w:p>
      <w:pPr>
        <w:jc w:val="both"/>
        <w:ind w:left="340" w:hanging="8"/>
        <w:spacing w:after="0" w:line="237" w:lineRule="auto"/>
        <w:tabs>
          <w:tab w:leader="none" w:pos="645" w:val="left"/>
        </w:tabs>
        <w:numPr>
          <w:ilvl w:val="1"/>
          <w:numId w:val="120"/>
        </w:numPr>
        <w:rPr>
          <w:rFonts w:ascii="Arial" w:cs="Arial" w:eastAsia="Arial" w:hAnsi="Arial"/>
          <w:sz w:val="18"/>
          <w:szCs w:val="18"/>
          <w:color w:val="auto"/>
        </w:rPr>
      </w:pPr>
      <w:r>
        <w:rPr>
          <w:rFonts w:ascii="Arial" w:cs="Arial" w:eastAsia="Arial" w:hAnsi="Arial"/>
          <w:sz w:val="18"/>
          <w:szCs w:val="18"/>
          <w:color w:val="auto"/>
        </w:rPr>
        <w:t>in both fiscal 2026 and 2025, one-time severance expenses related to a closed warehouse and (iv) in fiscal 2025, the gain on the forgiveness of certain liabilities related to the acquisition of the minority interest of our DKNY business in China that we did not already own. Adjusted EBITDA is being presented as a supplemental disclosure because management believes that it is a common measure of operating performance in the apparel industry. Adjusted EBITDA should not be construed as an alternative to net income, as an indicator of the Company’s operating performance, or as an alternative to cash flows from operating activities as a measure of the Company’s liquidity, as determined in accordance with GAAP.</w:t>
      </w:r>
    </w:p>
    <w:p>
      <w:pPr>
        <w:spacing w:after="0" w:line="171" w:lineRule="exact"/>
        <w:rPr>
          <w:rFonts w:ascii="Arial" w:cs="Arial" w:eastAsia="Arial" w:hAnsi="Arial"/>
          <w:sz w:val="18"/>
          <w:szCs w:val="18"/>
          <w:color w:val="auto"/>
        </w:rPr>
      </w:pPr>
    </w:p>
    <w:p>
      <w:pPr>
        <w:jc w:val="both"/>
        <w:ind w:left="340" w:hanging="332"/>
        <w:spacing w:after="0" w:line="242" w:lineRule="auto"/>
        <w:tabs>
          <w:tab w:leader="none" w:pos="3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Adjusted Pre-tax Income is a “non-GAAP” financial measure which represents Adjusted EBITDA, as defined, and excludes (i) depreciation and amortization and (ii) interest and financing charges, net. Adjusted Pre-tax Income is being presented as a supplemental disclosure because this is a measurement used in determining annual cash incentives for our Named Executive Officers. Adjusted Pre-tax Income should not be construed as an alternative to net income, as an indicator of the Company’s operating performance, or as an alternative to cash flows from operating activities as a measure of the Company’s liquidity, as determined in accordance with GAAP.</w:t>
      </w:r>
    </w:p>
    <w:p>
      <w:pPr>
        <w:spacing w:after="0" w:line="165" w:lineRule="exact"/>
        <w:rPr>
          <w:rFonts w:ascii="Arial" w:cs="Arial" w:eastAsia="Arial" w:hAnsi="Arial"/>
          <w:sz w:val="18"/>
          <w:szCs w:val="18"/>
          <w:color w:val="auto"/>
        </w:rPr>
      </w:pPr>
    </w:p>
    <w:p>
      <w:pPr>
        <w:jc w:val="both"/>
        <w:ind w:left="340" w:hanging="332"/>
        <w:spacing w:after="0" w:line="242" w:lineRule="auto"/>
        <w:tabs>
          <w:tab w:leader="none" w:pos="3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In fiscal 2026, the Adjusted Pre-tax Income used in the calculation of the achievement of the annual cash incentive for certain Named Executive Officers included an equitable adjustment of $100 million to offset the impact of changing tariff policies imposed by the U.S. government. This adjustment reflected 75% of the total impact of tariffs on annual results since the Company successfully mitigated a portion of the impact of tariffs on gross margin. This adjustment was consistent with various categories of adjustments to GAAP financial results approved by the Compensation Committee in connection with the terms of the annual cash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408305</wp:posOffset>
            </wp:positionV>
            <wp:extent cx="6292215"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7560"/>
        <w:spacing w:after="0"/>
        <w:rPr>
          <w:sz w:val="20"/>
          <w:szCs w:val="20"/>
          <w:color w:val="auto"/>
        </w:rPr>
      </w:pPr>
      <w:r>
        <w:rPr>
          <w:rFonts w:ascii="Arial" w:cs="Arial" w:eastAsia="Arial" w:hAnsi="Arial"/>
          <w:sz w:val="16"/>
          <w:szCs w:val="16"/>
          <w:color w:val="auto"/>
        </w:rPr>
        <w:t xml:space="preserve">2026 PROXY STATEMENT </w:t>
      </w:r>
      <w:r>
        <w:rPr>
          <w:rFonts w:ascii="Arial" w:cs="Arial" w:eastAsia="Arial" w:hAnsi="Arial"/>
          <w:sz w:val="19"/>
          <w:szCs w:val="19"/>
          <w:color w:val="808080"/>
        </w:rPr>
        <w:t>/</w:t>
      </w:r>
      <w:r>
        <w:rPr>
          <w:rFonts w:ascii="Arial" w:cs="Arial" w:eastAsia="Arial" w:hAnsi="Arial"/>
          <w:sz w:val="16"/>
          <w:szCs w:val="16"/>
          <w:color w:val="auto"/>
        </w:rPr>
        <w:t xml:space="preserve"> </w:t>
      </w:r>
      <w:r>
        <w:rPr>
          <w:rFonts w:ascii="Arial" w:cs="Arial" w:eastAsia="Arial" w:hAnsi="Arial"/>
          <w:sz w:val="19"/>
          <w:szCs w:val="19"/>
          <w:b w:val="1"/>
          <w:bCs w:val="1"/>
          <w:color w:val="4A7EBB"/>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365125</wp:posOffset>
            </wp:positionV>
            <wp:extent cx="6292215" cy="171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9"/>
          <w:szCs w:val="29"/>
          <w:b w:val="1"/>
          <w:bCs w:val="1"/>
          <w:color w:val="4A7EBB"/>
        </w:rPr>
        <w:t>G-III Apparel Group, Ltd. And Subsidiaries</w:t>
      </w:r>
    </w:p>
    <w:p>
      <w:pPr>
        <w:spacing w:after="0" w:line="34" w:lineRule="exact"/>
        <w:rPr>
          <w:sz w:val="20"/>
          <w:szCs w:val="20"/>
          <w:color w:val="auto"/>
        </w:rPr>
      </w:pPr>
    </w:p>
    <w:p>
      <w:pPr>
        <w:ind w:right="1500"/>
        <w:spacing w:after="0" w:line="256" w:lineRule="auto"/>
        <w:rPr>
          <w:sz w:val="20"/>
          <w:szCs w:val="20"/>
          <w:color w:val="auto"/>
        </w:rPr>
      </w:pPr>
      <w:r>
        <w:rPr>
          <w:rFonts w:ascii="Arial" w:cs="Arial" w:eastAsia="Arial" w:hAnsi="Arial"/>
          <w:sz w:val="29"/>
          <w:szCs w:val="29"/>
          <w:b w:val="1"/>
          <w:bCs w:val="1"/>
          <w:color w:val="4A7EBB"/>
        </w:rPr>
        <w:t xml:space="preserve">Reconciliation of GAAP Net Income to Non-GAAP Net Income </w:t>
      </w:r>
      <w:r>
        <w:rPr>
          <w:rFonts w:ascii="Arial" w:cs="Arial" w:eastAsia="Arial" w:hAnsi="Arial"/>
          <w:sz w:val="29"/>
          <w:szCs w:val="29"/>
          <w:color w:val="4A7EBB"/>
        </w:rPr>
        <w:t>(In thousands)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40" w:type="dxa"/>
            <w:vAlign w:val="bottom"/>
            <w:shd w:val="clear" w:color="auto" w:fill="DBE5F1"/>
          </w:tcPr>
          <w:p>
            <w:pPr>
              <w:spacing w:after="0"/>
              <w:rPr>
                <w:sz w:val="14"/>
                <w:szCs w:val="14"/>
                <w:color w:val="auto"/>
              </w:rPr>
            </w:pPr>
          </w:p>
        </w:tc>
        <w:tc>
          <w:tcPr>
            <w:tcW w:w="1380" w:type="dxa"/>
            <w:vAlign w:val="bottom"/>
            <w:gridSpan w:val="2"/>
            <w:vMerge w:val="restart"/>
            <w:shd w:val="clear" w:color="auto" w:fill="DBE5F1"/>
          </w:tcPr>
          <w:p>
            <w:pPr>
              <w:jc w:val="right"/>
              <w:ind w:right="60"/>
              <w:spacing w:after="0"/>
              <w:rPr>
                <w:sz w:val="20"/>
                <w:szCs w:val="20"/>
                <w:color w:val="auto"/>
              </w:rPr>
            </w:pPr>
            <w:r>
              <w:rPr>
                <w:rFonts w:ascii="Arial" w:cs="Arial" w:eastAsia="Arial" w:hAnsi="Arial"/>
                <w:sz w:val="14"/>
                <w:szCs w:val="14"/>
                <w:b w:val="1"/>
                <w:bCs w:val="1"/>
                <w:color w:val="auto"/>
              </w:rPr>
              <w:t>2026</w:t>
            </w:r>
          </w:p>
        </w:tc>
        <w:tc>
          <w:tcPr>
            <w:tcW w:w="1740" w:type="dxa"/>
            <w:vAlign w:val="bottom"/>
            <w:gridSpan w:val="3"/>
            <w:shd w:val="clear" w:color="auto" w:fill="DBE5F1"/>
          </w:tcPr>
          <w:p>
            <w:pPr>
              <w:jc w:val="center"/>
              <w:spacing w:after="0"/>
              <w:rPr>
                <w:sz w:val="20"/>
                <w:szCs w:val="20"/>
                <w:color w:val="auto"/>
              </w:rPr>
            </w:pPr>
            <w:r>
              <w:rPr>
                <w:rFonts w:ascii="Arial" w:cs="Arial" w:eastAsia="Arial" w:hAnsi="Arial"/>
                <w:sz w:val="14"/>
                <w:szCs w:val="14"/>
                <w:b w:val="1"/>
                <w:bCs w:val="1"/>
                <w:color w:val="auto"/>
              </w:rPr>
              <w:t>Year ended January 31,</w:t>
            </w:r>
          </w:p>
        </w:tc>
        <w:tc>
          <w:tcPr>
            <w:tcW w:w="1260" w:type="dxa"/>
            <w:vAlign w:val="bottom"/>
            <w:vMerge w:val="restart"/>
            <w:shd w:val="clear" w:color="auto" w:fill="DBE5F1"/>
          </w:tcPr>
          <w:p>
            <w:pPr>
              <w:jc w:val="right"/>
              <w:ind w:right="788"/>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62"/>
        </w:trPr>
        <w:tc>
          <w:tcPr>
            <w:tcW w:w="5540" w:type="dxa"/>
            <w:vAlign w:val="bottom"/>
            <w:tcBorders>
              <w:bottom w:val="single" w:sz="8" w:color="4A7EBB"/>
            </w:tcBorders>
            <w:shd w:val="clear" w:color="auto" w:fill="DBE5F1"/>
          </w:tcPr>
          <w:p>
            <w:pPr>
              <w:spacing w:after="0"/>
              <w:rPr>
                <w:sz w:val="14"/>
                <w:szCs w:val="14"/>
                <w:color w:val="auto"/>
              </w:rPr>
            </w:pPr>
          </w:p>
        </w:tc>
        <w:tc>
          <w:tcPr>
            <w:tcW w:w="1380" w:type="dxa"/>
            <w:vAlign w:val="bottom"/>
            <w:tcBorders>
              <w:bottom w:val="single" w:sz="8" w:color="4A7EBB"/>
            </w:tcBorders>
            <w:gridSpan w:val="2"/>
            <w:vMerge w:val="continue"/>
            <w:shd w:val="clear" w:color="auto" w:fill="DBE5F1"/>
          </w:tcPr>
          <w:p>
            <w:pPr>
              <w:spacing w:after="0"/>
              <w:rPr>
                <w:sz w:val="14"/>
                <w:szCs w:val="14"/>
                <w:color w:val="auto"/>
              </w:rPr>
            </w:pPr>
          </w:p>
        </w:tc>
        <w:tc>
          <w:tcPr>
            <w:tcW w:w="800" w:type="dxa"/>
            <w:vAlign w:val="bottom"/>
            <w:tcBorders>
              <w:bottom w:val="single" w:sz="8" w:color="4A7EBB"/>
            </w:tcBorders>
            <w:shd w:val="clear" w:color="auto" w:fill="DBE5F1"/>
          </w:tcPr>
          <w:p>
            <w:pPr>
              <w:spacing w:after="0"/>
              <w:rPr>
                <w:sz w:val="14"/>
                <w:szCs w:val="14"/>
                <w:color w:val="auto"/>
              </w:rPr>
            </w:pPr>
          </w:p>
        </w:tc>
        <w:tc>
          <w:tcPr>
            <w:tcW w:w="300" w:type="dxa"/>
            <w:vAlign w:val="bottom"/>
            <w:tcBorders>
              <w:bottom w:val="single" w:sz="8" w:color="4A7EBB"/>
            </w:tcBorders>
            <w:shd w:val="clear" w:color="auto" w:fill="DBE5F1"/>
          </w:tcPr>
          <w:p>
            <w:pPr>
              <w:spacing w:after="0"/>
              <w:rPr>
                <w:sz w:val="14"/>
                <w:szCs w:val="14"/>
                <w:color w:val="auto"/>
              </w:rPr>
            </w:pPr>
          </w:p>
        </w:tc>
        <w:tc>
          <w:tcPr>
            <w:tcW w:w="640" w:type="dxa"/>
            <w:vAlign w:val="bottom"/>
            <w:tcBorders>
              <w:bottom w:val="single" w:sz="8" w:color="4A7EBB"/>
            </w:tcBorders>
            <w:shd w:val="clear" w:color="auto" w:fill="DBE5F1"/>
          </w:tcPr>
          <w:p>
            <w:pPr>
              <w:spacing w:after="0"/>
              <w:rPr>
                <w:sz w:val="14"/>
                <w:szCs w:val="14"/>
                <w:color w:val="auto"/>
              </w:rPr>
            </w:pPr>
          </w:p>
        </w:tc>
        <w:tc>
          <w:tcPr>
            <w:tcW w:w="1260" w:type="dxa"/>
            <w:vAlign w:val="bottom"/>
            <w:tcBorders>
              <w:bottom w:val="single" w:sz="8" w:color="4A7EBB"/>
            </w:tcBorders>
            <w:vMerge w:val="continue"/>
            <w:shd w:val="clear" w:color="auto" w:fill="DBE5F1"/>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540" w:type="dxa"/>
            <w:vAlign w:val="bottom"/>
            <w:tcBorders>
              <w:bottom w:val="single" w:sz="8" w:color="4A7EBB"/>
            </w:tcBorders>
          </w:tcPr>
          <w:p>
            <w:pPr>
              <w:spacing w:after="0"/>
              <w:rPr>
                <w:sz w:val="13"/>
                <w:szCs w:val="13"/>
                <w:color w:val="auto"/>
              </w:rPr>
            </w:pPr>
          </w:p>
        </w:tc>
        <w:tc>
          <w:tcPr>
            <w:tcW w:w="280" w:type="dxa"/>
            <w:vAlign w:val="bottom"/>
            <w:tcBorders>
              <w:bottom w:val="single" w:sz="8" w:color="4A7EBB"/>
            </w:tcBorders>
          </w:tcPr>
          <w:p>
            <w:pPr>
              <w:spacing w:after="0"/>
              <w:rPr>
                <w:sz w:val="13"/>
                <w:szCs w:val="13"/>
                <w:color w:val="auto"/>
              </w:rPr>
            </w:pPr>
          </w:p>
        </w:tc>
        <w:tc>
          <w:tcPr>
            <w:tcW w:w="1100" w:type="dxa"/>
            <w:vAlign w:val="bottom"/>
            <w:tcBorders>
              <w:bottom w:val="single" w:sz="8" w:color="4A7EBB"/>
            </w:tcBorders>
          </w:tcPr>
          <w:p>
            <w:pPr>
              <w:spacing w:after="0"/>
              <w:rPr>
                <w:sz w:val="13"/>
                <w:szCs w:val="13"/>
                <w:color w:val="auto"/>
              </w:rPr>
            </w:pPr>
          </w:p>
        </w:tc>
        <w:tc>
          <w:tcPr>
            <w:tcW w:w="1740" w:type="dxa"/>
            <w:vAlign w:val="bottom"/>
            <w:tcBorders>
              <w:bottom w:val="single" w:sz="8" w:color="4A7EBB"/>
            </w:tcBorders>
            <w:gridSpan w:val="3"/>
          </w:tcPr>
          <w:p>
            <w:pPr>
              <w:jc w:val="center"/>
              <w:spacing w:after="0" w:line="155" w:lineRule="exact"/>
              <w:rPr>
                <w:sz w:val="20"/>
                <w:szCs w:val="20"/>
                <w:color w:val="auto"/>
              </w:rPr>
            </w:pPr>
            <w:r>
              <w:rPr>
                <w:rFonts w:ascii="Arial" w:cs="Arial" w:eastAsia="Arial" w:hAnsi="Arial"/>
                <w:sz w:val="14"/>
                <w:szCs w:val="14"/>
                <w:color w:val="auto"/>
              </w:rPr>
              <w:t>(Unaudited)</w:t>
            </w:r>
          </w:p>
        </w:tc>
        <w:tc>
          <w:tcPr>
            <w:tcW w:w="1260" w:type="dxa"/>
            <w:vAlign w:val="bottom"/>
            <w:tcBorders>
              <w:bottom w:val="single" w:sz="8" w:color="4A7EBB"/>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540" w:type="dxa"/>
            <w:vAlign w:val="bottom"/>
            <w:tcBorders>
              <w:bottom w:val="single" w:sz="8" w:color="4A7EBB"/>
            </w:tcBorders>
            <w:shd w:val="clear" w:color="auto" w:fill="F2F2F2"/>
          </w:tcPr>
          <w:p>
            <w:pPr>
              <w:spacing w:after="0" w:line="155" w:lineRule="exact"/>
              <w:rPr>
                <w:sz w:val="20"/>
                <w:szCs w:val="20"/>
                <w:color w:val="auto"/>
              </w:rPr>
            </w:pPr>
            <w:r>
              <w:rPr>
                <w:rFonts w:ascii="Arial" w:cs="Arial" w:eastAsia="Arial" w:hAnsi="Arial"/>
                <w:sz w:val="14"/>
                <w:szCs w:val="14"/>
                <w:color w:val="auto"/>
              </w:rPr>
              <w:t>GAAP net income attributable to G-III Apparel Group, Ltd.</w:t>
            </w:r>
          </w:p>
        </w:tc>
        <w:tc>
          <w:tcPr>
            <w:tcW w:w="280" w:type="dxa"/>
            <w:vAlign w:val="bottom"/>
            <w:tcBorders>
              <w:bottom w:val="single" w:sz="8" w:color="4A7EBB"/>
            </w:tcBorders>
            <w:shd w:val="clear" w:color="auto" w:fill="F2F2F2"/>
          </w:tcPr>
          <w:p>
            <w:pPr>
              <w:jc w:val="right"/>
              <w:spacing w:after="0" w:line="155" w:lineRule="exact"/>
              <w:rPr>
                <w:sz w:val="20"/>
                <w:szCs w:val="20"/>
                <w:color w:val="auto"/>
              </w:rPr>
            </w:pPr>
            <w:r>
              <w:rPr>
                <w:rFonts w:ascii="Arial" w:cs="Arial" w:eastAsia="Arial" w:hAnsi="Arial"/>
                <w:sz w:val="14"/>
                <w:szCs w:val="14"/>
                <w:color w:val="auto"/>
              </w:rPr>
              <w:t>$</w:t>
            </w:r>
          </w:p>
        </w:tc>
        <w:tc>
          <w:tcPr>
            <w:tcW w:w="1100" w:type="dxa"/>
            <w:vAlign w:val="bottom"/>
            <w:tcBorders>
              <w:bottom w:val="single" w:sz="8" w:color="4A7EBB"/>
            </w:tcBorders>
            <w:shd w:val="clear" w:color="auto" w:fill="F3F3F3"/>
          </w:tcPr>
          <w:p>
            <w:pPr>
              <w:spacing w:after="0"/>
              <w:rPr>
                <w:sz w:val="13"/>
                <w:szCs w:val="13"/>
                <w:color w:val="auto"/>
              </w:rPr>
            </w:pPr>
          </w:p>
        </w:tc>
        <w:tc>
          <w:tcPr>
            <w:tcW w:w="800" w:type="dxa"/>
            <w:vAlign w:val="bottom"/>
            <w:tcBorders>
              <w:bottom w:val="single" w:sz="8" w:color="4A7EBB"/>
            </w:tcBorders>
            <w:shd w:val="clear" w:color="auto" w:fill="F3F3F3"/>
          </w:tcPr>
          <w:p>
            <w:pPr>
              <w:jc w:val="right"/>
              <w:spacing w:after="0" w:line="155" w:lineRule="exact"/>
              <w:rPr>
                <w:sz w:val="20"/>
                <w:szCs w:val="20"/>
                <w:color w:val="auto"/>
              </w:rPr>
            </w:pPr>
            <w:r>
              <w:rPr>
                <w:rFonts w:ascii="Arial" w:cs="Arial" w:eastAsia="Arial" w:hAnsi="Arial"/>
                <w:sz w:val="14"/>
                <w:szCs w:val="14"/>
                <w:color w:val="auto"/>
              </w:rPr>
              <w:t>67,353</w:t>
            </w:r>
          </w:p>
        </w:tc>
        <w:tc>
          <w:tcPr>
            <w:tcW w:w="300" w:type="dxa"/>
            <w:vAlign w:val="bottom"/>
            <w:tcBorders>
              <w:bottom w:val="single" w:sz="8" w:color="4A7EBB"/>
            </w:tcBorders>
            <w:shd w:val="clear" w:color="auto" w:fill="F2F2F2"/>
          </w:tcPr>
          <w:p>
            <w:pPr>
              <w:jc w:val="right"/>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4A7EBB"/>
            </w:tcBorders>
            <w:shd w:val="clear" w:color="auto" w:fill="F3F3F3"/>
          </w:tcPr>
          <w:p>
            <w:pPr>
              <w:spacing w:after="0"/>
              <w:rPr>
                <w:sz w:val="13"/>
                <w:szCs w:val="13"/>
                <w:color w:val="auto"/>
              </w:rPr>
            </w:pPr>
          </w:p>
        </w:tc>
        <w:tc>
          <w:tcPr>
            <w:tcW w:w="1260" w:type="dxa"/>
            <w:vAlign w:val="bottom"/>
            <w:tcBorders>
              <w:bottom w:val="single" w:sz="8" w:color="4A7EBB"/>
            </w:tcBorders>
            <w:shd w:val="clear" w:color="auto" w:fill="F3F3F3"/>
          </w:tcPr>
          <w:p>
            <w:pPr>
              <w:jc w:val="right"/>
              <w:spacing w:after="0" w:line="155" w:lineRule="exact"/>
              <w:rPr>
                <w:sz w:val="20"/>
                <w:szCs w:val="20"/>
                <w:color w:val="auto"/>
              </w:rPr>
            </w:pPr>
            <w:r>
              <w:rPr>
                <w:rFonts w:ascii="Arial" w:cs="Arial" w:eastAsia="Arial" w:hAnsi="Arial"/>
                <w:sz w:val="14"/>
                <w:szCs w:val="14"/>
                <w:color w:val="auto"/>
              </w:rPr>
              <w:t>193,566</w:t>
            </w:r>
          </w:p>
        </w:tc>
        <w:tc>
          <w:tcPr>
            <w:tcW w:w="0" w:type="dxa"/>
            <w:vAlign w:val="bottom"/>
          </w:tcPr>
          <w:p>
            <w:pPr>
              <w:spacing w:after="0"/>
              <w:rPr>
                <w:sz w:val="1"/>
                <w:szCs w:val="1"/>
                <w:color w:val="auto"/>
              </w:rPr>
            </w:pPr>
          </w:p>
        </w:tc>
      </w:tr>
      <w:tr>
        <w:trPr>
          <w:trHeight w:val="156"/>
        </w:trPr>
        <w:tc>
          <w:tcPr>
            <w:tcW w:w="5540" w:type="dxa"/>
            <w:vAlign w:val="bottom"/>
            <w:tcBorders>
              <w:bottom w:val="single" w:sz="8" w:color="4A7EBB"/>
            </w:tcBorders>
          </w:tcPr>
          <w:p>
            <w:pPr>
              <w:spacing w:after="0"/>
              <w:rPr>
                <w:sz w:val="13"/>
                <w:szCs w:val="13"/>
                <w:color w:val="auto"/>
              </w:rPr>
            </w:pPr>
          </w:p>
        </w:tc>
        <w:tc>
          <w:tcPr>
            <w:tcW w:w="280" w:type="dxa"/>
            <w:vAlign w:val="bottom"/>
            <w:tcBorders>
              <w:bottom w:val="single" w:sz="8" w:color="4A7EBB"/>
            </w:tcBorders>
          </w:tcPr>
          <w:p>
            <w:pPr>
              <w:spacing w:after="0"/>
              <w:rPr>
                <w:sz w:val="13"/>
                <w:szCs w:val="13"/>
                <w:color w:val="auto"/>
              </w:rPr>
            </w:pPr>
          </w:p>
        </w:tc>
        <w:tc>
          <w:tcPr>
            <w:tcW w:w="1100" w:type="dxa"/>
            <w:vAlign w:val="bottom"/>
            <w:tcBorders>
              <w:bottom w:val="single" w:sz="8" w:color="4A7EBB"/>
            </w:tcBorders>
          </w:tcPr>
          <w:p>
            <w:pPr>
              <w:spacing w:after="0"/>
              <w:rPr>
                <w:sz w:val="13"/>
                <w:szCs w:val="13"/>
                <w:color w:val="auto"/>
              </w:rPr>
            </w:pPr>
          </w:p>
        </w:tc>
        <w:tc>
          <w:tcPr>
            <w:tcW w:w="800" w:type="dxa"/>
            <w:vAlign w:val="bottom"/>
            <w:tcBorders>
              <w:bottom w:val="single" w:sz="8" w:color="4A7EBB"/>
            </w:tcBorders>
          </w:tcPr>
          <w:p>
            <w:pPr>
              <w:spacing w:after="0"/>
              <w:rPr>
                <w:sz w:val="13"/>
                <w:szCs w:val="13"/>
                <w:color w:val="auto"/>
              </w:rPr>
            </w:pPr>
          </w:p>
        </w:tc>
        <w:tc>
          <w:tcPr>
            <w:tcW w:w="300" w:type="dxa"/>
            <w:vAlign w:val="bottom"/>
            <w:tcBorders>
              <w:bottom w:val="single" w:sz="8" w:color="4A7EBB"/>
            </w:tcBorders>
          </w:tcPr>
          <w:p>
            <w:pPr>
              <w:spacing w:after="0"/>
              <w:rPr>
                <w:sz w:val="13"/>
                <w:szCs w:val="13"/>
                <w:color w:val="auto"/>
              </w:rPr>
            </w:pPr>
          </w:p>
        </w:tc>
        <w:tc>
          <w:tcPr>
            <w:tcW w:w="640" w:type="dxa"/>
            <w:vAlign w:val="bottom"/>
            <w:tcBorders>
              <w:bottom w:val="single" w:sz="8" w:color="4A7EBB"/>
            </w:tcBorders>
          </w:tcPr>
          <w:p>
            <w:pPr>
              <w:spacing w:after="0"/>
              <w:rPr>
                <w:sz w:val="13"/>
                <w:szCs w:val="13"/>
                <w:color w:val="auto"/>
              </w:rPr>
            </w:pPr>
          </w:p>
        </w:tc>
        <w:tc>
          <w:tcPr>
            <w:tcW w:w="1260" w:type="dxa"/>
            <w:vAlign w:val="bottom"/>
            <w:tcBorders>
              <w:bottom w:val="single" w:sz="8" w:color="4A7EBB"/>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540" w:type="dxa"/>
            <w:vAlign w:val="bottom"/>
            <w:tcBorders>
              <w:bottom w:val="single" w:sz="8" w:color="4A7EBB"/>
            </w:tcBorders>
            <w:shd w:val="clear" w:color="auto" w:fill="F2F2F2"/>
          </w:tcPr>
          <w:p>
            <w:pPr>
              <w:spacing w:after="0" w:line="155" w:lineRule="exact"/>
              <w:rPr>
                <w:sz w:val="20"/>
                <w:szCs w:val="20"/>
                <w:color w:val="auto"/>
              </w:rPr>
            </w:pPr>
            <w:r>
              <w:rPr>
                <w:rFonts w:ascii="Arial" w:cs="Arial" w:eastAsia="Arial" w:hAnsi="Arial"/>
                <w:sz w:val="14"/>
                <w:szCs w:val="14"/>
                <w:color w:val="auto"/>
              </w:rPr>
              <w:t>Excluded from non-GAAP:</w:t>
            </w:r>
          </w:p>
        </w:tc>
        <w:tc>
          <w:tcPr>
            <w:tcW w:w="280" w:type="dxa"/>
            <w:vAlign w:val="bottom"/>
            <w:tcBorders>
              <w:bottom w:val="single" w:sz="8" w:color="4A7EBB"/>
            </w:tcBorders>
            <w:shd w:val="clear" w:color="auto" w:fill="F2F2F2"/>
          </w:tcPr>
          <w:p>
            <w:pPr>
              <w:spacing w:after="0"/>
              <w:rPr>
                <w:sz w:val="13"/>
                <w:szCs w:val="13"/>
                <w:color w:val="auto"/>
              </w:rPr>
            </w:pPr>
          </w:p>
        </w:tc>
        <w:tc>
          <w:tcPr>
            <w:tcW w:w="1100" w:type="dxa"/>
            <w:vAlign w:val="bottom"/>
            <w:tcBorders>
              <w:bottom w:val="single" w:sz="8" w:color="4A7EBB"/>
            </w:tcBorders>
            <w:shd w:val="clear" w:color="auto" w:fill="F3F3F3"/>
          </w:tcPr>
          <w:p>
            <w:pPr>
              <w:spacing w:after="0"/>
              <w:rPr>
                <w:sz w:val="13"/>
                <w:szCs w:val="13"/>
                <w:color w:val="auto"/>
              </w:rPr>
            </w:pPr>
          </w:p>
        </w:tc>
        <w:tc>
          <w:tcPr>
            <w:tcW w:w="800" w:type="dxa"/>
            <w:vAlign w:val="bottom"/>
            <w:tcBorders>
              <w:bottom w:val="single" w:sz="8" w:color="4A7EBB"/>
            </w:tcBorders>
            <w:shd w:val="clear" w:color="auto" w:fill="F3F3F3"/>
          </w:tcPr>
          <w:p>
            <w:pPr>
              <w:spacing w:after="0"/>
              <w:rPr>
                <w:sz w:val="13"/>
                <w:szCs w:val="13"/>
                <w:color w:val="auto"/>
              </w:rPr>
            </w:pPr>
          </w:p>
        </w:tc>
        <w:tc>
          <w:tcPr>
            <w:tcW w:w="300" w:type="dxa"/>
            <w:vAlign w:val="bottom"/>
            <w:tcBorders>
              <w:bottom w:val="single" w:sz="8" w:color="4A7EBB"/>
            </w:tcBorders>
            <w:shd w:val="clear" w:color="auto" w:fill="F2F2F2"/>
          </w:tcPr>
          <w:p>
            <w:pPr>
              <w:spacing w:after="0"/>
              <w:rPr>
                <w:sz w:val="13"/>
                <w:szCs w:val="13"/>
                <w:color w:val="auto"/>
              </w:rPr>
            </w:pPr>
          </w:p>
        </w:tc>
        <w:tc>
          <w:tcPr>
            <w:tcW w:w="640" w:type="dxa"/>
            <w:vAlign w:val="bottom"/>
            <w:tcBorders>
              <w:bottom w:val="single" w:sz="8" w:color="4A7EBB"/>
            </w:tcBorders>
            <w:shd w:val="clear" w:color="auto" w:fill="F3F3F3"/>
          </w:tcPr>
          <w:p>
            <w:pPr>
              <w:spacing w:after="0"/>
              <w:rPr>
                <w:sz w:val="13"/>
                <w:szCs w:val="13"/>
                <w:color w:val="auto"/>
              </w:rPr>
            </w:pPr>
          </w:p>
        </w:tc>
        <w:tc>
          <w:tcPr>
            <w:tcW w:w="1260" w:type="dxa"/>
            <w:vAlign w:val="bottom"/>
            <w:tcBorders>
              <w:bottom w:val="single" w:sz="8" w:color="4A7EBB"/>
            </w:tcBorders>
            <w:shd w:val="clear" w:color="auto" w:fill="F3F3F3"/>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540" w:type="dxa"/>
            <w:vAlign w:val="bottom"/>
            <w:tcBorders>
              <w:bottom w:val="single" w:sz="8" w:color="4A7EBB"/>
            </w:tcBorders>
          </w:tcPr>
          <w:p>
            <w:pPr>
              <w:ind w:left="120"/>
              <w:spacing w:after="0" w:line="155" w:lineRule="exact"/>
              <w:rPr>
                <w:sz w:val="20"/>
                <w:szCs w:val="20"/>
                <w:color w:val="auto"/>
              </w:rPr>
            </w:pPr>
            <w:r>
              <w:rPr>
                <w:rFonts w:ascii="Arial" w:cs="Arial" w:eastAsia="Arial" w:hAnsi="Arial"/>
                <w:sz w:val="14"/>
                <w:szCs w:val="14"/>
                <w:color w:val="auto"/>
              </w:rPr>
              <w:t>Asset impairments</w:t>
            </w:r>
          </w:p>
        </w:tc>
        <w:tc>
          <w:tcPr>
            <w:tcW w:w="280" w:type="dxa"/>
            <w:vAlign w:val="bottom"/>
            <w:tcBorders>
              <w:bottom w:val="single" w:sz="8" w:color="4A7EBB"/>
            </w:tcBorders>
          </w:tcPr>
          <w:p>
            <w:pPr>
              <w:spacing w:after="0"/>
              <w:rPr>
                <w:sz w:val="13"/>
                <w:szCs w:val="13"/>
                <w:color w:val="auto"/>
              </w:rPr>
            </w:pPr>
          </w:p>
        </w:tc>
        <w:tc>
          <w:tcPr>
            <w:tcW w:w="1100" w:type="dxa"/>
            <w:vAlign w:val="bottom"/>
            <w:tcBorders>
              <w:bottom w:val="single" w:sz="8" w:color="4A7EBB"/>
            </w:tcBorders>
          </w:tcPr>
          <w:p>
            <w:pPr>
              <w:spacing w:after="0"/>
              <w:rPr>
                <w:sz w:val="13"/>
                <w:szCs w:val="13"/>
                <w:color w:val="auto"/>
              </w:rPr>
            </w:pPr>
          </w:p>
        </w:tc>
        <w:tc>
          <w:tcPr>
            <w:tcW w:w="800" w:type="dxa"/>
            <w:vAlign w:val="bottom"/>
            <w:tcBorders>
              <w:bottom w:val="single" w:sz="8" w:color="4A7EBB"/>
            </w:tcBorders>
          </w:tcPr>
          <w:p>
            <w:pPr>
              <w:jc w:val="right"/>
              <w:spacing w:after="0" w:line="155" w:lineRule="exact"/>
              <w:rPr>
                <w:sz w:val="20"/>
                <w:szCs w:val="20"/>
                <w:color w:val="auto"/>
              </w:rPr>
            </w:pPr>
            <w:r>
              <w:rPr>
                <w:rFonts w:ascii="Arial" w:cs="Arial" w:eastAsia="Arial" w:hAnsi="Arial"/>
                <w:sz w:val="14"/>
                <w:szCs w:val="14"/>
                <w:color w:val="auto"/>
              </w:rPr>
              <w:t>48,565</w:t>
            </w:r>
          </w:p>
        </w:tc>
        <w:tc>
          <w:tcPr>
            <w:tcW w:w="300" w:type="dxa"/>
            <w:vAlign w:val="bottom"/>
            <w:tcBorders>
              <w:bottom w:val="single" w:sz="8" w:color="4A7EBB"/>
            </w:tcBorders>
          </w:tcPr>
          <w:p>
            <w:pPr>
              <w:spacing w:after="0"/>
              <w:rPr>
                <w:sz w:val="13"/>
                <w:szCs w:val="13"/>
                <w:color w:val="auto"/>
              </w:rPr>
            </w:pPr>
          </w:p>
        </w:tc>
        <w:tc>
          <w:tcPr>
            <w:tcW w:w="640" w:type="dxa"/>
            <w:vAlign w:val="bottom"/>
            <w:tcBorders>
              <w:bottom w:val="single" w:sz="8" w:color="4A7EBB"/>
            </w:tcBorders>
          </w:tcPr>
          <w:p>
            <w:pPr>
              <w:spacing w:after="0"/>
              <w:rPr>
                <w:sz w:val="13"/>
                <w:szCs w:val="13"/>
                <w:color w:val="auto"/>
              </w:rPr>
            </w:pPr>
          </w:p>
        </w:tc>
        <w:tc>
          <w:tcPr>
            <w:tcW w:w="1260" w:type="dxa"/>
            <w:vAlign w:val="bottom"/>
            <w:tcBorders>
              <w:bottom w:val="single" w:sz="8" w:color="4A7EBB"/>
            </w:tcBorders>
          </w:tcPr>
          <w:p>
            <w:pPr>
              <w:jc w:val="right"/>
              <w:spacing w:after="0" w:line="155" w:lineRule="exact"/>
              <w:rPr>
                <w:sz w:val="20"/>
                <w:szCs w:val="20"/>
                <w:color w:val="auto"/>
              </w:rPr>
            </w:pPr>
            <w:r>
              <w:rPr>
                <w:rFonts w:ascii="Arial" w:cs="Arial" w:eastAsia="Arial" w:hAnsi="Arial"/>
                <w:sz w:val="14"/>
                <w:szCs w:val="14"/>
                <w:color w:val="auto"/>
              </w:rPr>
              <w:t>8,195</w:t>
            </w:r>
          </w:p>
        </w:tc>
        <w:tc>
          <w:tcPr>
            <w:tcW w:w="0" w:type="dxa"/>
            <w:vAlign w:val="bottom"/>
          </w:tcPr>
          <w:p>
            <w:pPr>
              <w:spacing w:after="0"/>
              <w:rPr>
                <w:sz w:val="1"/>
                <w:szCs w:val="1"/>
                <w:color w:val="auto"/>
              </w:rPr>
            </w:pPr>
          </w:p>
        </w:tc>
      </w:tr>
      <w:tr>
        <w:trPr>
          <w:trHeight w:val="155"/>
        </w:trPr>
        <w:tc>
          <w:tcPr>
            <w:tcW w:w="5540" w:type="dxa"/>
            <w:vAlign w:val="bottom"/>
            <w:tcBorders>
              <w:bottom w:val="single" w:sz="8" w:color="4A7EBB"/>
            </w:tcBorders>
            <w:shd w:val="clear" w:color="auto" w:fill="F2F2F2"/>
          </w:tcPr>
          <w:p>
            <w:pPr>
              <w:ind w:left="120"/>
              <w:spacing w:after="0" w:line="155" w:lineRule="exact"/>
              <w:rPr>
                <w:sz w:val="20"/>
                <w:szCs w:val="20"/>
                <w:color w:val="auto"/>
              </w:rPr>
            </w:pPr>
            <w:r>
              <w:rPr>
                <w:rFonts w:ascii="Arial" w:cs="Arial" w:eastAsia="Arial" w:hAnsi="Arial"/>
                <w:sz w:val="14"/>
                <w:szCs w:val="14"/>
                <w:color w:val="auto"/>
              </w:rPr>
              <w:t>Strategic opportunity related professional fees</w:t>
            </w:r>
          </w:p>
        </w:tc>
        <w:tc>
          <w:tcPr>
            <w:tcW w:w="280" w:type="dxa"/>
            <w:vAlign w:val="bottom"/>
            <w:tcBorders>
              <w:bottom w:val="single" w:sz="8" w:color="4A7EBB"/>
            </w:tcBorders>
            <w:shd w:val="clear" w:color="auto" w:fill="F2F2F2"/>
          </w:tcPr>
          <w:p>
            <w:pPr>
              <w:spacing w:after="0"/>
              <w:rPr>
                <w:sz w:val="13"/>
                <w:szCs w:val="13"/>
                <w:color w:val="auto"/>
              </w:rPr>
            </w:pPr>
          </w:p>
        </w:tc>
        <w:tc>
          <w:tcPr>
            <w:tcW w:w="1100" w:type="dxa"/>
            <w:vAlign w:val="bottom"/>
            <w:tcBorders>
              <w:bottom w:val="single" w:sz="8" w:color="4A7EBB"/>
            </w:tcBorders>
            <w:shd w:val="clear" w:color="auto" w:fill="F3F3F3"/>
          </w:tcPr>
          <w:p>
            <w:pPr>
              <w:spacing w:after="0"/>
              <w:rPr>
                <w:sz w:val="13"/>
                <w:szCs w:val="13"/>
                <w:color w:val="auto"/>
              </w:rPr>
            </w:pPr>
          </w:p>
        </w:tc>
        <w:tc>
          <w:tcPr>
            <w:tcW w:w="800" w:type="dxa"/>
            <w:vAlign w:val="bottom"/>
            <w:tcBorders>
              <w:bottom w:val="single" w:sz="8" w:color="4A7EBB"/>
            </w:tcBorders>
            <w:shd w:val="clear" w:color="auto" w:fill="F3F3F3"/>
          </w:tcPr>
          <w:p>
            <w:pPr>
              <w:jc w:val="right"/>
              <w:spacing w:after="0" w:line="155" w:lineRule="exact"/>
              <w:rPr>
                <w:sz w:val="20"/>
                <w:szCs w:val="20"/>
                <w:color w:val="auto"/>
              </w:rPr>
            </w:pPr>
            <w:r>
              <w:rPr>
                <w:rFonts w:ascii="Arial" w:cs="Arial" w:eastAsia="Arial" w:hAnsi="Arial"/>
                <w:sz w:val="14"/>
                <w:szCs w:val="14"/>
                <w:color w:val="auto"/>
              </w:rPr>
              <w:t>2,282</w:t>
            </w:r>
          </w:p>
        </w:tc>
        <w:tc>
          <w:tcPr>
            <w:tcW w:w="300" w:type="dxa"/>
            <w:vAlign w:val="bottom"/>
            <w:tcBorders>
              <w:bottom w:val="single" w:sz="8" w:color="4A7EBB"/>
            </w:tcBorders>
            <w:shd w:val="clear" w:color="auto" w:fill="F2F2F2"/>
          </w:tcPr>
          <w:p>
            <w:pPr>
              <w:spacing w:after="0"/>
              <w:rPr>
                <w:sz w:val="13"/>
                <w:szCs w:val="13"/>
                <w:color w:val="auto"/>
              </w:rPr>
            </w:pPr>
          </w:p>
        </w:tc>
        <w:tc>
          <w:tcPr>
            <w:tcW w:w="640" w:type="dxa"/>
            <w:vAlign w:val="bottom"/>
            <w:tcBorders>
              <w:bottom w:val="single" w:sz="8" w:color="4A7EBB"/>
            </w:tcBorders>
            <w:shd w:val="clear" w:color="auto" w:fill="F3F3F3"/>
          </w:tcPr>
          <w:p>
            <w:pPr>
              <w:spacing w:after="0"/>
              <w:rPr>
                <w:sz w:val="13"/>
                <w:szCs w:val="13"/>
                <w:color w:val="auto"/>
              </w:rPr>
            </w:pPr>
          </w:p>
        </w:tc>
        <w:tc>
          <w:tcPr>
            <w:tcW w:w="1260" w:type="dxa"/>
            <w:vAlign w:val="bottom"/>
            <w:tcBorders>
              <w:bottom w:val="single" w:sz="8" w:color="4A7EBB"/>
            </w:tcBorders>
            <w:shd w:val="clear" w:color="auto" w:fill="F3F3F3"/>
          </w:tcPr>
          <w:p>
            <w:pPr>
              <w:jc w:val="right"/>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5540" w:type="dxa"/>
            <w:vAlign w:val="bottom"/>
            <w:tcBorders>
              <w:bottom w:val="single" w:sz="8" w:color="4A7EBB"/>
            </w:tcBorders>
          </w:tcPr>
          <w:p>
            <w:pPr>
              <w:ind w:left="120"/>
              <w:spacing w:after="0" w:line="155" w:lineRule="exact"/>
              <w:rPr>
                <w:sz w:val="20"/>
                <w:szCs w:val="20"/>
                <w:color w:val="auto"/>
              </w:rPr>
            </w:pPr>
            <w:r>
              <w:rPr>
                <w:rFonts w:ascii="Arial" w:cs="Arial" w:eastAsia="Arial" w:hAnsi="Arial"/>
                <w:sz w:val="14"/>
                <w:szCs w:val="14"/>
                <w:color w:val="auto"/>
              </w:rPr>
              <w:t>One-time warehouse related severance expenses</w:t>
            </w:r>
          </w:p>
        </w:tc>
        <w:tc>
          <w:tcPr>
            <w:tcW w:w="280" w:type="dxa"/>
            <w:vAlign w:val="bottom"/>
            <w:tcBorders>
              <w:bottom w:val="single" w:sz="8" w:color="4A7EBB"/>
            </w:tcBorders>
          </w:tcPr>
          <w:p>
            <w:pPr>
              <w:spacing w:after="0"/>
              <w:rPr>
                <w:sz w:val="13"/>
                <w:szCs w:val="13"/>
                <w:color w:val="auto"/>
              </w:rPr>
            </w:pPr>
          </w:p>
        </w:tc>
        <w:tc>
          <w:tcPr>
            <w:tcW w:w="1100" w:type="dxa"/>
            <w:vAlign w:val="bottom"/>
            <w:tcBorders>
              <w:bottom w:val="single" w:sz="8" w:color="4A7EBB"/>
            </w:tcBorders>
          </w:tcPr>
          <w:p>
            <w:pPr>
              <w:spacing w:after="0"/>
              <w:rPr>
                <w:sz w:val="13"/>
                <w:szCs w:val="13"/>
                <w:color w:val="auto"/>
              </w:rPr>
            </w:pPr>
          </w:p>
        </w:tc>
        <w:tc>
          <w:tcPr>
            <w:tcW w:w="800" w:type="dxa"/>
            <w:vAlign w:val="bottom"/>
            <w:tcBorders>
              <w:bottom w:val="single" w:sz="8" w:color="4A7EBB"/>
            </w:tcBorders>
          </w:tcPr>
          <w:p>
            <w:pPr>
              <w:jc w:val="right"/>
              <w:spacing w:after="0" w:line="155" w:lineRule="exact"/>
              <w:rPr>
                <w:sz w:val="20"/>
                <w:szCs w:val="20"/>
                <w:color w:val="auto"/>
              </w:rPr>
            </w:pPr>
            <w:r>
              <w:rPr>
                <w:rFonts w:ascii="Arial" w:cs="Arial" w:eastAsia="Arial" w:hAnsi="Arial"/>
                <w:sz w:val="14"/>
                <w:szCs w:val="14"/>
                <w:color w:val="auto"/>
              </w:rPr>
              <w:t>1,327</w:t>
            </w:r>
          </w:p>
        </w:tc>
        <w:tc>
          <w:tcPr>
            <w:tcW w:w="300" w:type="dxa"/>
            <w:vAlign w:val="bottom"/>
            <w:tcBorders>
              <w:bottom w:val="single" w:sz="8" w:color="4A7EBB"/>
            </w:tcBorders>
          </w:tcPr>
          <w:p>
            <w:pPr>
              <w:spacing w:after="0"/>
              <w:rPr>
                <w:sz w:val="13"/>
                <w:szCs w:val="13"/>
                <w:color w:val="auto"/>
              </w:rPr>
            </w:pPr>
          </w:p>
        </w:tc>
        <w:tc>
          <w:tcPr>
            <w:tcW w:w="640" w:type="dxa"/>
            <w:vAlign w:val="bottom"/>
            <w:tcBorders>
              <w:bottom w:val="single" w:sz="8" w:color="4A7EBB"/>
            </w:tcBorders>
          </w:tcPr>
          <w:p>
            <w:pPr>
              <w:spacing w:after="0"/>
              <w:rPr>
                <w:sz w:val="13"/>
                <w:szCs w:val="13"/>
                <w:color w:val="auto"/>
              </w:rPr>
            </w:pPr>
          </w:p>
        </w:tc>
        <w:tc>
          <w:tcPr>
            <w:tcW w:w="1260" w:type="dxa"/>
            <w:vAlign w:val="bottom"/>
            <w:tcBorders>
              <w:bottom w:val="single" w:sz="8" w:color="4A7EBB"/>
            </w:tcBorders>
          </w:tcPr>
          <w:p>
            <w:pPr>
              <w:jc w:val="right"/>
              <w:spacing w:after="0" w:line="155" w:lineRule="exact"/>
              <w:rPr>
                <w:sz w:val="20"/>
                <w:szCs w:val="20"/>
                <w:color w:val="auto"/>
              </w:rPr>
            </w:pPr>
            <w:r>
              <w:rPr>
                <w:rFonts w:ascii="Arial" w:cs="Arial" w:eastAsia="Arial" w:hAnsi="Arial"/>
                <w:sz w:val="14"/>
                <w:szCs w:val="14"/>
                <w:color w:val="auto"/>
              </w:rPr>
              <w:t>1,908</w:t>
            </w:r>
          </w:p>
        </w:tc>
        <w:tc>
          <w:tcPr>
            <w:tcW w:w="0" w:type="dxa"/>
            <w:vAlign w:val="bottom"/>
          </w:tcPr>
          <w:p>
            <w:pPr>
              <w:spacing w:after="0"/>
              <w:rPr>
                <w:sz w:val="1"/>
                <w:szCs w:val="1"/>
                <w:color w:val="auto"/>
              </w:rPr>
            </w:pPr>
          </w:p>
        </w:tc>
      </w:tr>
      <w:tr>
        <w:trPr>
          <w:trHeight w:val="156"/>
        </w:trPr>
        <w:tc>
          <w:tcPr>
            <w:tcW w:w="5540" w:type="dxa"/>
            <w:vAlign w:val="bottom"/>
            <w:tcBorders>
              <w:bottom w:val="single" w:sz="8" w:color="4A7EBB"/>
            </w:tcBorders>
            <w:shd w:val="clear" w:color="auto" w:fill="F2F2F2"/>
          </w:tcPr>
          <w:p>
            <w:pPr>
              <w:ind w:left="120"/>
              <w:spacing w:after="0" w:line="155" w:lineRule="exact"/>
              <w:rPr>
                <w:sz w:val="20"/>
                <w:szCs w:val="20"/>
                <w:color w:val="auto"/>
              </w:rPr>
            </w:pPr>
            <w:r>
              <w:rPr>
                <w:rFonts w:ascii="Arial" w:cs="Arial" w:eastAsia="Arial" w:hAnsi="Arial"/>
                <w:sz w:val="14"/>
                <w:szCs w:val="14"/>
                <w:color w:val="auto"/>
              </w:rPr>
              <w:t>Write-off of deferred financing costs</w:t>
            </w:r>
          </w:p>
        </w:tc>
        <w:tc>
          <w:tcPr>
            <w:tcW w:w="280" w:type="dxa"/>
            <w:vAlign w:val="bottom"/>
            <w:tcBorders>
              <w:bottom w:val="single" w:sz="8" w:color="4A7EBB"/>
            </w:tcBorders>
            <w:shd w:val="clear" w:color="auto" w:fill="F2F2F2"/>
          </w:tcPr>
          <w:p>
            <w:pPr>
              <w:spacing w:after="0"/>
              <w:rPr>
                <w:sz w:val="13"/>
                <w:szCs w:val="13"/>
                <w:color w:val="auto"/>
              </w:rPr>
            </w:pPr>
          </w:p>
        </w:tc>
        <w:tc>
          <w:tcPr>
            <w:tcW w:w="1100" w:type="dxa"/>
            <w:vAlign w:val="bottom"/>
            <w:tcBorders>
              <w:bottom w:val="single" w:sz="8" w:color="4A7EBB"/>
            </w:tcBorders>
            <w:shd w:val="clear" w:color="auto" w:fill="F3F3F3"/>
          </w:tcPr>
          <w:p>
            <w:pPr>
              <w:spacing w:after="0"/>
              <w:rPr>
                <w:sz w:val="13"/>
                <w:szCs w:val="13"/>
                <w:color w:val="auto"/>
              </w:rPr>
            </w:pPr>
          </w:p>
        </w:tc>
        <w:tc>
          <w:tcPr>
            <w:tcW w:w="800" w:type="dxa"/>
            <w:vAlign w:val="bottom"/>
            <w:tcBorders>
              <w:bottom w:val="single" w:sz="8" w:color="4A7EBB"/>
            </w:tcBorders>
            <w:shd w:val="clear" w:color="auto" w:fill="F3F3F3"/>
          </w:tcPr>
          <w:p>
            <w:pPr>
              <w:jc w:val="right"/>
              <w:spacing w:after="0" w:line="155"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4A7EBB"/>
            </w:tcBorders>
            <w:shd w:val="clear" w:color="auto" w:fill="F2F2F2"/>
          </w:tcPr>
          <w:p>
            <w:pPr>
              <w:spacing w:after="0"/>
              <w:rPr>
                <w:sz w:val="13"/>
                <w:szCs w:val="13"/>
                <w:color w:val="auto"/>
              </w:rPr>
            </w:pPr>
          </w:p>
        </w:tc>
        <w:tc>
          <w:tcPr>
            <w:tcW w:w="640" w:type="dxa"/>
            <w:vAlign w:val="bottom"/>
            <w:tcBorders>
              <w:bottom w:val="single" w:sz="8" w:color="4A7EBB"/>
            </w:tcBorders>
            <w:shd w:val="clear" w:color="auto" w:fill="F3F3F3"/>
          </w:tcPr>
          <w:p>
            <w:pPr>
              <w:spacing w:after="0"/>
              <w:rPr>
                <w:sz w:val="13"/>
                <w:szCs w:val="13"/>
                <w:color w:val="auto"/>
              </w:rPr>
            </w:pPr>
          </w:p>
        </w:tc>
        <w:tc>
          <w:tcPr>
            <w:tcW w:w="1260" w:type="dxa"/>
            <w:vAlign w:val="bottom"/>
            <w:tcBorders>
              <w:bottom w:val="single" w:sz="8" w:color="4A7EBB"/>
            </w:tcBorders>
            <w:shd w:val="clear" w:color="auto" w:fill="F3F3F3"/>
          </w:tcPr>
          <w:p>
            <w:pPr>
              <w:jc w:val="right"/>
              <w:spacing w:after="0" w:line="155" w:lineRule="exact"/>
              <w:rPr>
                <w:sz w:val="20"/>
                <w:szCs w:val="20"/>
                <w:color w:val="auto"/>
              </w:rPr>
            </w:pPr>
            <w:r>
              <w:rPr>
                <w:rFonts w:ascii="Arial" w:cs="Arial" w:eastAsia="Arial" w:hAnsi="Arial"/>
                <w:sz w:val="14"/>
                <w:szCs w:val="14"/>
                <w:color w:val="auto"/>
              </w:rPr>
              <w:t>1,598</w:t>
            </w:r>
          </w:p>
        </w:tc>
        <w:tc>
          <w:tcPr>
            <w:tcW w:w="0" w:type="dxa"/>
            <w:vAlign w:val="bottom"/>
          </w:tcPr>
          <w:p>
            <w:pPr>
              <w:spacing w:after="0"/>
              <w:rPr>
                <w:sz w:val="1"/>
                <w:szCs w:val="1"/>
                <w:color w:val="auto"/>
              </w:rPr>
            </w:pPr>
          </w:p>
        </w:tc>
      </w:tr>
      <w:tr>
        <w:trPr>
          <w:trHeight w:val="155"/>
        </w:trPr>
        <w:tc>
          <w:tcPr>
            <w:tcW w:w="5540" w:type="dxa"/>
            <w:vAlign w:val="bottom"/>
            <w:tcBorders>
              <w:bottom w:val="single" w:sz="8" w:color="4A7EBB"/>
            </w:tcBorders>
          </w:tcPr>
          <w:p>
            <w:pPr>
              <w:ind w:left="120"/>
              <w:spacing w:after="0" w:line="155" w:lineRule="exact"/>
              <w:rPr>
                <w:sz w:val="20"/>
                <w:szCs w:val="20"/>
                <w:color w:val="auto"/>
              </w:rPr>
            </w:pPr>
            <w:r>
              <w:rPr>
                <w:rFonts w:ascii="Arial" w:cs="Arial" w:eastAsia="Arial" w:hAnsi="Arial"/>
                <w:sz w:val="14"/>
                <w:szCs w:val="14"/>
                <w:color w:val="auto"/>
              </w:rPr>
              <w:t>Gain on forgiveness of liabilities</w:t>
            </w:r>
          </w:p>
        </w:tc>
        <w:tc>
          <w:tcPr>
            <w:tcW w:w="280" w:type="dxa"/>
            <w:vAlign w:val="bottom"/>
            <w:tcBorders>
              <w:bottom w:val="single" w:sz="8" w:color="4A7EBB"/>
            </w:tcBorders>
          </w:tcPr>
          <w:p>
            <w:pPr>
              <w:spacing w:after="0"/>
              <w:rPr>
                <w:sz w:val="13"/>
                <w:szCs w:val="13"/>
                <w:color w:val="auto"/>
              </w:rPr>
            </w:pPr>
          </w:p>
        </w:tc>
        <w:tc>
          <w:tcPr>
            <w:tcW w:w="1100" w:type="dxa"/>
            <w:vAlign w:val="bottom"/>
            <w:tcBorders>
              <w:bottom w:val="single" w:sz="8" w:color="4A7EBB"/>
            </w:tcBorders>
          </w:tcPr>
          <w:p>
            <w:pPr>
              <w:spacing w:after="0"/>
              <w:rPr>
                <w:sz w:val="13"/>
                <w:szCs w:val="13"/>
                <w:color w:val="auto"/>
              </w:rPr>
            </w:pPr>
          </w:p>
        </w:tc>
        <w:tc>
          <w:tcPr>
            <w:tcW w:w="800" w:type="dxa"/>
            <w:vAlign w:val="bottom"/>
            <w:tcBorders>
              <w:bottom w:val="single" w:sz="8" w:color="4A7EBB"/>
            </w:tcBorders>
          </w:tcPr>
          <w:p>
            <w:pPr>
              <w:jc w:val="right"/>
              <w:spacing w:after="0" w:line="155"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4A7EBB"/>
            </w:tcBorders>
          </w:tcPr>
          <w:p>
            <w:pPr>
              <w:spacing w:after="0"/>
              <w:rPr>
                <w:sz w:val="13"/>
                <w:szCs w:val="13"/>
                <w:color w:val="auto"/>
              </w:rPr>
            </w:pPr>
          </w:p>
        </w:tc>
        <w:tc>
          <w:tcPr>
            <w:tcW w:w="640" w:type="dxa"/>
            <w:vAlign w:val="bottom"/>
            <w:tcBorders>
              <w:bottom w:val="single" w:sz="8" w:color="4A7EBB"/>
            </w:tcBorders>
          </w:tcPr>
          <w:p>
            <w:pPr>
              <w:spacing w:after="0"/>
              <w:rPr>
                <w:sz w:val="13"/>
                <w:szCs w:val="13"/>
                <w:color w:val="auto"/>
              </w:rPr>
            </w:pPr>
          </w:p>
        </w:tc>
        <w:tc>
          <w:tcPr>
            <w:tcW w:w="1260" w:type="dxa"/>
            <w:vAlign w:val="bottom"/>
            <w:tcBorders>
              <w:bottom w:val="single" w:sz="8" w:color="4A7EBB"/>
            </w:tcBorders>
          </w:tcPr>
          <w:p>
            <w:pPr>
              <w:jc w:val="right"/>
              <w:spacing w:after="0" w:line="155" w:lineRule="exact"/>
              <w:rPr>
                <w:sz w:val="20"/>
                <w:szCs w:val="20"/>
                <w:color w:val="auto"/>
              </w:rPr>
            </w:pPr>
            <w:r>
              <w:rPr>
                <w:rFonts w:ascii="Arial" w:cs="Arial" w:eastAsia="Arial" w:hAnsi="Arial"/>
                <w:sz w:val="14"/>
                <w:szCs w:val="14"/>
                <w:color w:val="auto"/>
              </w:rPr>
              <w:t>(600)</w:t>
            </w:r>
          </w:p>
        </w:tc>
        <w:tc>
          <w:tcPr>
            <w:tcW w:w="0" w:type="dxa"/>
            <w:vAlign w:val="bottom"/>
          </w:tcPr>
          <w:p>
            <w:pPr>
              <w:spacing w:after="0"/>
              <w:rPr>
                <w:sz w:val="1"/>
                <w:szCs w:val="1"/>
                <w:color w:val="auto"/>
              </w:rPr>
            </w:pPr>
          </w:p>
        </w:tc>
      </w:tr>
      <w:tr>
        <w:trPr>
          <w:trHeight w:val="156"/>
        </w:trPr>
        <w:tc>
          <w:tcPr>
            <w:tcW w:w="5540" w:type="dxa"/>
            <w:vAlign w:val="bottom"/>
            <w:tcBorders>
              <w:bottom w:val="single" w:sz="8" w:color="4A7EBB"/>
            </w:tcBorders>
            <w:shd w:val="clear" w:color="auto" w:fill="F2F2F2"/>
          </w:tcPr>
          <w:p>
            <w:pPr>
              <w:ind w:left="120"/>
              <w:spacing w:after="0" w:line="155" w:lineRule="exact"/>
              <w:rPr>
                <w:sz w:val="20"/>
                <w:szCs w:val="20"/>
                <w:color w:val="auto"/>
              </w:rPr>
            </w:pPr>
            <w:r>
              <w:rPr>
                <w:rFonts w:ascii="Arial" w:cs="Arial" w:eastAsia="Arial" w:hAnsi="Arial"/>
                <w:sz w:val="14"/>
                <w:szCs w:val="14"/>
                <w:color w:val="auto"/>
              </w:rPr>
              <w:t>Income tax impact of non-GAAP adjustments</w:t>
            </w:r>
          </w:p>
        </w:tc>
        <w:tc>
          <w:tcPr>
            <w:tcW w:w="280" w:type="dxa"/>
            <w:vAlign w:val="bottom"/>
            <w:tcBorders>
              <w:bottom w:val="single" w:sz="8" w:color="4A7EBB"/>
            </w:tcBorders>
            <w:shd w:val="clear" w:color="auto" w:fill="F2F2F2"/>
          </w:tcPr>
          <w:p>
            <w:pPr>
              <w:spacing w:after="0"/>
              <w:rPr>
                <w:sz w:val="13"/>
                <w:szCs w:val="13"/>
                <w:color w:val="auto"/>
              </w:rPr>
            </w:pPr>
          </w:p>
        </w:tc>
        <w:tc>
          <w:tcPr>
            <w:tcW w:w="1100" w:type="dxa"/>
            <w:vAlign w:val="bottom"/>
            <w:tcBorders>
              <w:bottom w:val="single" w:sz="8" w:color="4A7EBB"/>
            </w:tcBorders>
            <w:shd w:val="clear" w:color="auto" w:fill="F3F3F3"/>
          </w:tcPr>
          <w:p>
            <w:pPr>
              <w:spacing w:after="0"/>
              <w:rPr>
                <w:sz w:val="13"/>
                <w:szCs w:val="13"/>
                <w:color w:val="auto"/>
              </w:rPr>
            </w:pPr>
          </w:p>
        </w:tc>
        <w:tc>
          <w:tcPr>
            <w:tcW w:w="800" w:type="dxa"/>
            <w:vAlign w:val="bottom"/>
            <w:tcBorders>
              <w:bottom w:val="single" w:sz="8" w:color="4A7EBB"/>
            </w:tcBorders>
            <w:shd w:val="clear" w:color="auto" w:fill="F3F3F3"/>
          </w:tcPr>
          <w:p>
            <w:pPr>
              <w:jc w:val="right"/>
              <w:spacing w:after="0" w:line="155" w:lineRule="exact"/>
              <w:rPr>
                <w:sz w:val="20"/>
                <w:szCs w:val="20"/>
                <w:color w:val="auto"/>
              </w:rPr>
            </w:pPr>
            <w:r>
              <w:rPr>
                <w:rFonts w:ascii="Arial" w:cs="Arial" w:eastAsia="Arial" w:hAnsi="Arial"/>
                <w:sz w:val="14"/>
                <w:szCs w:val="14"/>
                <w:color w:val="auto"/>
              </w:rPr>
              <w:t>(3,301)</w:t>
            </w:r>
          </w:p>
        </w:tc>
        <w:tc>
          <w:tcPr>
            <w:tcW w:w="300" w:type="dxa"/>
            <w:vAlign w:val="bottom"/>
            <w:tcBorders>
              <w:bottom w:val="single" w:sz="8" w:color="4A7EBB"/>
            </w:tcBorders>
            <w:shd w:val="clear" w:color="auto" w:fill="F2F2F2"/>
          </w:tcPr>
          <w:p>
            <w:pPr>
              <w:spacing w:after="0"/>
              <w:rPr>
                <w:sz w:val="13"/>
                <w:szCs w:val="13"/>
                <w:color w:val="auto"/>
              </w:rPr>
            </w:pPr>
          </w:p>
        </w:tc>
        <w:tc>
          <w:tcPr>
            <w:tcW w:w="640" w:type="dxa"/>
            <w:vAlign w:val="bottom"/>
            <w:tcBorders>
              <w:bottom w:val="single" w:sz="8" w:color="4A7EBB"/>
            </w:tcBorders>
            <w:shd w:val="clear" w:color="auto" w:fill="F3F3F3"/>
          </w:tcPr>
          <w:p>
            <w:pPr>
              <w:spacing w:after="0"/>
              <w:rPr>
                <w:sz w:val="13"/>
                <w:szCs w:val="13"/>
                <w:color w:val="auto"/>
              </w:rPr>
            </w:pPr>
          </w:p>
        </w:tc>
        <w:tc>
          <w:tcPr>
            <w:tcW w:w="1260" w:type="dxa"/>
            <w:vAlign w:val="bottom"/>
            <w:tcBorders>
              <w:bottom w:val="single" w:sz="8" w:color="4A7EBB"/>
            </w:tcBorders>
            <w:shd w:val="clear" w:color="auto" w:fill="F3F3F3"/>
          </w:tcPr>
          <w:p>
            <w:pPr>
              <w:jc w:val="right"/>
              <w:spacing w:after="0" w:line="155" w:lineRule="exact"/>
              <w:rPr>
                <w:sz w:val="20"/>
                <w:szCs w:val="20"/>
                <w:color w:val="auto"/>
              </w:rPr>
            </w:pPr>
            <w:r>
              <w:rPr>
                <w:rFonts w:ascii="Arial" w:cs="Arial" w:eastAsia="Arial" w:hAnsi="Arial"/>
                <w:sz w:val="14"/>
                <w:szCs w:val="14"/>
                <w:color w:val="auto"/>
              </w:rPr>
              <w:t>(1,030)</w:t>
            </w:r>
          </w:p>
        </w:tc>
        <w:tc>
          <w:tcPr>
            <w:tcW w:w="0" w:type="dxa"/>
            <w:vAlign w:val="bottom"/>
          </w:tcPr>
          <w:p>
            <w:pPr>
              <w:spacing w:after="0"/>
              <w:rPr>
                <w:sz w:val="1"/>
                <w:szCs w:val="1"/>
                <w:color w:val="auto"/>
              </w:rPr>
            </w:pPr>
          </w:p>
        </w:tc>
      </w:tr>
      <w:tr>
        <w:trPr>
          <w:trHeight w:val="155"/>
        </w:trPr>
        <w:tc>
          <w:tcPr>
            <w:tcW w:w="5540" w:type="dxa"/>
            <w:vAlign w:val="bottom"/>
            <w:tcBorders>
              <w:bottom w:val="single" w:sz="8" w:color="4A7EBB"/>
            </w:tcBorders>
          </w:tcPr>
          <w:p>
            <w:pPr>
              <w:spacing w:after="0"/>
              <w:rPr>
                <w:sz w:val="13"/>
                <w:szCs w:val="13"/>
                <w:color w:val="auto"/>
              </w:rPr>
            </w:pPr>
          </w:p>
        </w:tc>
        <w:tc>
          <w:tcPr>
            <w:tcW w:w="280" w:type="dxa"/>
            <w:vAlign w:val="bottom"/>
            <w:tcBorders>
              <w:bottom w:val="single" w:sz="8" w:color="4A7EBB"/>
            </w:tcBorders>
          </w:tcPr>
          <w:p>
            <w:pPr>
              <w:spacing w:after="0"/>
              <w:rPr>
                <w:sz w:val="13"/>
                <w:szCs w:val="13"/>
                <w:color w:val="auto"/>
              </w:rPr>
            </w:pPr>
          </w:p>
        </w:tc>
        <w:tc>
          <w:tcPr>
            <w:tcW w:w="1100" w:type="dxa"/>
            <w:vAlign w:val="bottom"/>
            <w:tcBorders>
              <w:bottom w:val="single" w:sz="8" w:color="4A7EBB"/>
            </w:tcBorders>
          </w:tcPr>
          <w:p>
            <w:pPr>
              <w:spacing w:after="0"/>
              <w:rPr>
                <w:sz w:val="13"/>
                <w:szCs w:val="13"/>
                <w:color w:val="auto"/>
              </w:rPr>
            </w:pPr>
          </w:p>
        </w:tc>
        <w:tc>
          <w:tcPr>
            <w:tcW w:w="800" w:type="dxa"/>
            <w:vAlign w:val="bottom"/>
            <w:tcBorders>
              <w:bottom w:val="single" w:sz="8" w:color="4A7EBB"/>
            </w:tcBorders>
          </w:tcPr>
          <w:p>
            <w:pPr>
              <w:spacing w:after="0"/>
              <w:rPr>
                <w:sz w:val="13"/>
                <w:szCs w:val="13"/>
                <w:color w:val="auto"/>
              </w:rPr>
            </w:pPr>
          </w:p>
        </w:tc>
        <w:tc>
          <w:tcPr>
            <w:tcW w:w="300" w:type="dxa"/>
            <w:vAlign w:val="bottom"/>
            <w:tcBorders>
              <w:bottom w:val="single" w:sz="8" w:color="4A7EBB"/>
            </w:tcBorders>
          </w:tcPr>
          <w:p>
            <w:pPr>
              <w:spacing w:after="0"/>
              <w:rPr>
                <w:sz w:val="13"/>
                <w:szCs w:val="13"/>
                <w:color w:val="auto"/>
              </w:rPr>
            </w:pPr>
          </w:p>
        </w:tc>
        <w:tc>
          <w:tcPr>
            <w:tcW w:w="640" w:type="dxa"/>
            <w:vAlign w:val="bottom"/>
            <w:tcBorders>
              <w:bottom w:val="single" w:sz="8" w:color="4A7EBB"/>
            </w:tcBorders>
          </w:tcPr>
          <w:p>
            <w:pPr>
              <w:spacing w:after="0"/>
              <w:rPr>
                <w:sz w:val="13"/>
                <w:szCs w:val="13"/>
                <w:color w:val="auto"/>
              </w:rPr>
            </w:pPr>
          </w:p>
        </w:tc>
        <w:tc>
          <w:tcPr>
            <w:tcW w:w="1260" w:type="dxa"/>
            <w:vAlign w:val="bottom"/>
            <w:tcBorders>
              <w:bottom w:val="single" w:sz="8" w:color="4A7EBB"/>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540" w:type="dxa"/>
            <w:vAlign w:val="bottom"/>
            <w:tcBorders>
              <w:bottom w:val="single" w:sz="8" w:color="4A7EBB"/>
            </w:tcBorders>
            <w:shd w:val="clear" w:color="auto" w:fill="F2F2F2"/>
          </w:tcPr>
          <w:p>
            <w:pPr>
              <w:spacing w:after="0" w:line="155" w:lineRule="exact"/>
              <w:rPr>
                <w:sz w:val="20"/>
                <w:szCs w:val="20"/>
                <w:color w:val="auto"/>
              </w:rPr>
            </w:pPr>
            <w:r>
              <w:rPr>
                <w:rFonts w:ascii="Arial" w:cs="Arial" w:eastAsia="Arial" w:hAnsi="Arial"/>
                <w:sz w:val="14"/>
                <w:szCs w:val="14"/>
                <w:b w:val="1"/>
                <w:bCs w:val="1"/>
                <w:color w:val="auto"/>
              </w:rPr>
              <w:t>Non-GAAP net income attributable to G-III Apparel Group, Ltd., as defined</w:t>
            </w:r>
          </w:p>
        </w:tc>
        <w:tc>
          <w:tcPr>
            <w:tcW w:w="280" w:type="dxa"/>
            <w:vAlign w:val="bottom"/>
            <w:tcBorders>
              <w:bottom w:val="single" w:sz="8" w:color="4A7EBB"/>
            </w:tcBorders>
            <w:shd w:val="clear" w:color="auto" w:fill="F2F2F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4A7EBB"/>
            </w:tcBorders>
            <w:shd w:val="clear" w:color="auto" w:fill="F3F3F3"/>
          </w:tcPr>
          <w:p>
            <w:pPr>
              <w:spacing w:after="0"/>
              <w:rPr>
                <w:sz w:val="13"/>
                <w:szCs w:val="13"/>
                <w:color w:val="auto"/>
              </w:rPr>
            </w:pPr>
          </w:p>
        </w:tc>
        <w:tc>
          <w:tcPr>
            <w:tcW w:w="800" w:type="dxa"/>
            <w:vAlign w:val="bottom"/>
            <w:tcBorders>
              <w:bottom w:val="single" w:sz="8" w:color="4A7EBB"/>
            </w:tcBorders>
            <w:shd w:val="clear" w:color="auto" w:fill="F3F3F3"/>
          </w:tcPr>
          <w:p>
            <w:pPr>
              <w:jc w:val="right"/>
              <w:spacing w:after="0" w:line="155" w:lineRule="exact"/>
              <w:rPr>
                <w:sz w:val="20"/>
                <w:szCs w:val="20"/>
                <w:color w:val="auto"/>
              </w:rPr>
            </w:pPr>
            <w:r>
              <w:rPr>
                <w:rFonts w:ascii="Arial" w:cs="Arial" w:eastAsia="Arial" w:hAnsi="Arial"/>
                <w:sz w:val="14"/>
                <w:szCs w:val="14"/>
                <w:b w:val="1"/>
                <w:bCs w:val="1"/>
                <w:color w:val="auto"/>
              </w:rPr>
              <w:t>116,226</w:t>
            </w:r>
          </w:p>
        </w:tc>
        <w:tc>
          <w:tcPr>
            <w:tcW w:w="300" w:type="dxa"/>
            <w:vAlign w:val="bottom"/>
            <w:tcBorders>
              <w:bottom w:val="single" w:sz="8" w:color="4A7EBB"/>
            </w:tcBorders>
            <w:shd w:val="clear" w:color="auto" w:fill="F2F2F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4A7EBB"/>
            </w:tcBorders>
            <w:shd w:val="clear" w:color="auto" w:fill="F3F3F3"/>
          </w:tcPr>
          <w:p>
            <w:pPr>
              <w:spacing w:after="0"/>
              <w:rPr>
                <w:sz w:val="13"/>
                <w:szCs w:val="13"/>
                <w:color w:val="auto"/>
              </w:rPr>
            </w:pPr>
          </w:p>
        </w:tc>
        <w:tc>
          <w:tcPr>
            <w:tcW w:w="1260" w:type="dxa"/>
            <w:vAlign w:val="bottom"/>
            <w:tcBorders>
              <w:bottom w:val="single" w:sz="8" w:color="4A7EBB"/>
            </w:tcBorders>
            <w:shd w:val="clear" w:color="auto" w:fill="F3F3F3"/>
          </w:tcPr>
          <w:p>
            <w:pPr>
              <w:jc w:val="right"/>
              <w:spacing w:after="0" w:line="155" w:lineRule="exact"/>
              <w:rPr>
                <w:sz w:val="20"/>
                <w:szCs w:val="20"/>
                <w:color w:val="auto"/>
              </w:rPr>
            </w:pPr>
            <w:r>
              <w:rPr>
                <w:rFonts w:ascii="Arial" w:cs="Arial" w:eastAsia="Arial" w:hAnsi="Arial"/>
                <w:sz w:val="14"/>
                <w:szCs w:val="14"/>
                <w:b w:val="1"/>
                <w:bCs w:val="1"/>
                <w:color w:val="auto"/>
              </w:rPr>
              <w:t>203,637</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Non-GAAP net income is a “non-GAAP financial measure” that excludes (i) in both fiscal 2026 and 2025, asset impairments,</w:t>
      </w:r>
    </w:p>
    <w:p>
      <w:pPr>
        <w:spacing w:after="0" w:line="14" w:lineRule="exact"/>
        <w:rPr>
          <w:sz w:val="20"/>
          <w:szCs w:val="20"/>
          <w:color w:val="auto"/>
        </w:rPr>
      </w:pPr>
    </w:p>
    <w:p>
      <w:pPr>
        <w:jc w:val="both"/>
        <w:ind w:firstLine="8"/>
        <w:spacing w:after="0" w:line="236" w:lineRule="auto"/>
        <w:tabs>
          <w:tab w:leader="none" w:pos="259"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in fiscal 2026, professional fees related to a potential strategic opportunity that did not come to fruition, (iii) in both fiscal 2026 and 2025, one-time severance expenses related to a closed warehouse, (iv) in fiscal 2025, the write-off of deferred financing costs related to the redemption of our Senior Secured Notes (the “Notes”) and (v) in fiscal 2025, the gain on the forgiveness of certain liabilities related to the acquisition of the minority interest of our DKNY business in China that we did not already own. For fiscal 2026, the income tax impact of non-GAAP adjustments is calculated using the applicable statutory tax rate for the respective period. For fiscal 2025, the income tax impact of non-GAAP adjustments is calculated using the effective tax rate for the period. Management believes that these non-GAAP financial measures provide meaningful supplemental information regarding our performance by excluding items that are not indicative of our core business operating results. Management uses these non-GAAP financial measures to assess our performance on a comparative basis and believes that they are also useful to investors to enable them to assess our performance on a comparative basis across historical periods and facilitate comparisons of our operating results to those of our competitors. The presentation of this financial information is not intended to be considered in isolation or as a substitute for, or superior to, the financial information prepared and presented in accordance with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420370</wp:posOffset>
            </wp:positionV>
            <wp:extent cx="6292215"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20"/>
          <w:szCs w:val="20"/>
          <w:b w:val="1"/>
          <w:bCs w:val="1"/>
          <w:color w:val="4A7EBB"/>
        </w:rPr>
        <w:t xml:space="preserve">92 </w:t>
      </w:r>
      <w:r>
        <w:rPr>
          <w:rFonts w:ascii="Arial" w:cs="Arial" w:eastAsia="Arial" w:hAnsi="Arial"/>
          <w:sz w:val="20"/>
          <w:szCs w:val="20"/>
          <w:color w:val="808080"/>
        </w:rPr>
        <w:t xml:space="preserve">\ </w:t>
      </w:r>
      <w:r>
        <w:rPr>
          <w:sz w:val="1"/>
          <w:szCs w:val="1"/>
          <w:color w:val="auto"/>
        </w:rPr>
        <w:drawing>
          <wp:inline distT="0" distB="0" distL="0" distR="0">
            <wp:extent cx="266065" cy="146050"/>
            <wp:effectExtent l="0" t="0" r="0" b="0"/>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266065" cy="14605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358775</wp:posOffset>
            </wp:positionV>
            <wp:extent cx="6292215" cy="171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9"/>
          <w:szCs w:val="29"/>
          <w:b w:val="1"/>
          <w:bCs w:val="1"/>
          <w:color w:val="4A7EBB"/>
        </w:rPr>
        <w:t>G-III Apparel Group, Ltd. And Subsidiaries</w:t>
      </w:r>
    </w:p>
    <w:p>
      <w:pPr>
        <w:spacing w:after="0" w:line="34" w:lineRule="exact"/>
        <w:rPr>
          <w:sz w:val="20"/>
          <w:szCs w:val="20"/>
          <w:color w:val="auto"/>
        </w:rPr>
      </w:pPr>
    </w:p>
    <w:p>
      <w:pPr>
        <w:ind w:right="640"/>
        <w:spacing w:after="0" w:line="266" w:lineRule="auto"/>
        <w:rPr>
          <w:sz w:val="20"/>
          <w:szCs w:val="20"/>
          <w:color w:val="auto"/>
        </w:rPr>
      </w:pPr>
      <w:r>
        <w:rPr>
          <w:rFonts w:ascii="Arial" w:cs="Arial" w:eastAsia="Arial" w:hAnsi="Arial"/>
          <w:sz w:val="29"/>
          <w:szCs w:val="29"/>
          <w:b w:val="1"/>
          <w:bCs w:val="1"/>
          <w:color w:val="4A7EBB"/>
        </w:rPr>
        <w:t>Reconciliation of GAAP Diluted Net Income Per Share to Non-GAAP Diluted Net Income Per Share</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40" w:type="dxa"/>
            <w:vAlign w:val="bottom"/>
            <w:shd w:val="clear" w:color="auto" w:fill="DBE5F1"/>
          </w:tcPr>
          <w:p>
            <w:pPr>
              <w:spacing w:after="0"/>
              <w:rPr>
                <w:sz w:val="14"/>
                <w:szCs w:val="14"/>
                <w:color w:val="auto"/>
              </w:rPr>
            </w:pPr>
          </w:p>
        </w:tc>
        <w:tc>
          <w:tcPr>
            <w:tcW w:w="1380" w:type="dxa"/>
            <w:vAlign w:val="bottom"/>
            <w:gridSpan w:val="2"/>
            <w:vMerge w:val="restart"/>
            <w:shd w:val="clear" w:color="auto" w:fill="DBE5F1"/>
          </w:tcPr>
          <w:p>
            <w:pPr>
              <w:jc w:val="right"/>
              <w:ind w:right="60"/>
              <w:spacing w:after="0"/>
              <w:rPr>
                <w:sz w:val="20"/>
                <w:szCs w:val="20"/>
                <w:color w:val="auto"/>
              </w:rPr>
            </w:pPr>
            <w:r>
              <w:rPr>
                <w:rFonts w:ascii="Arial" w:cs="Arial" w:eastAsia="Arial" w:hAnsi="Arial"/>
                <w:sz w:val="14"/>
                <w:szCs w:val="14"/>
                <w:b w:val="1"/>
                <w:bCs w:val="1"/>
                <w:color w:val="auto"/>
              </w:rPr>
              <w:t>2026</w:t>
            </w:r>
          </w:p>
        </w:tc>
        <w:tc>
          <w:tcPr>
            <w:tcW w:w="1740" w:type="dxa"/>
            <w:vAlign w:val="bottom"/>
            <w:gridSpan w:val="3"/>
            <w:shd w:val="clear" w:color="auto" w:fill="DBE5F1"/>
          </w:tcPr>
          <w:p>
            <w:pPr>
              <w:jc w:val="center"/>
              <w:spacing w:after="0"/>
              <w:rPr>
                <w:sz w:val="20"/>
                <w:szCs w:val="20"/>
                <w:color w:val="auto"/>
              </w:rPr>
            </w:pPr>
            <w:r>
              <w:rPr>
                <w:rFonts w:ascii="Arial" w:cs="Arial" w:eastAsia="Arial" w:hAnsi="Arial"/>
                <w:sz w:val="14"/>
                <w:szCs w:val="14"/>
                <w:b w:val="1"/>
                <w:bCs w:val="1"/>
                <w:color w:val="auto"/>
              </w:rPr>
              <w:t>Year ended January 31,</w:t>
            </w:r>
          </w:p>
        </w:tc>
        <w:tc>
          <w:tcPr>
            <w:tcW w:w="1260" w:type="dxa"/>
            <w:vAlign w:val="bottom"/>
            <w:vMerge w:val="restart"/>
            <w:shd w:val="clear" w:color="auto" w:fill="DBE5F1"/>
          </w:tcPr>
          <w:p>
            <w:pPr>
              <w:jc w:val="right"/>
              <w:ind w:right="788"/>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62"/>
        </w:trPr>
        <w:tc>
          <w:tcPr>
            <w:tcW w:w="5540" w:type="dxa"/>
            <w:vAlign w:val="bottom"/>
            <w:tcBorders>
              <w:bottom w:val="single" w:sz="8" w:color="4A7EBB"/>
            </w:tcBorders>
            <w:shd w:val="clear" w:color="auto" w:fill="DBE5F1"/>
          </w:tcPr>
          <w:p>
            <w:pPr>
              <w:spacing w:after="0"/>
              <w:rPr>
                <w:sz w:val="14"/>
                <w:szCs w:val="14"/>
                <w:color w:val="auto"/>
              </w:rPr>
            </w:pPr>
          </w:p>
        </w:tc>
        <w:tc>
          <w:tcPr>
            <w:tcW w:w="1380" w:type="dxa"/>
            <w:vAlign w:val="bottom"/>
            <w:tcBorders>
              <w:bottom w:val="single" w:sz="8" w:color="4A7EBB"/>
            </w:tcBorders>
            <w:gridSpan w:val="2"/>
            <w:vMerge w:val="continue"/>
            <w:shd w:val="clear" w:color="auto" w:fill="DBE5F1"/>
          </w:tcPr>
          <w:p>
            <w:pPr>
              <w:spacing w:after="0"/>
              <w:rPr>
                <w:sz w:val="14"/>
                <w:szCs w:val="14"/>
                <w:color w:val="auto"/>
              </w:rPr>
            </w:pPr>
          </w:p>
        </w:tc>
        <w:tc>
          <w:tcPr>
            <w:tcW w:w="800" w:type="dxa"/>
            <w:vAlign w:val="bottom"/>
            <w:tcBorders>
              <w:bottom w:val="single" w:sz="8" w:color="4A7EBB"/>
            </w:tcBorders>
            <w:shd w:val="clear" w:color="auto" w:fill="DBE5F1"/>
          </w:tcPr>
          <w:p>
            <w:pPr>
              <w:spacing w:after="0"/>
              <w:rPr>
                <w:sz w:val="14"/>
                <w:szCs w:val="14"/>
                <w:color w:val="auto"/>
              </w:rPr>
            </w:pPr>
          </w:p>
        </w:tc>
        <w:tc>
          <w:tcPr>
            <w:tcW w:w="300" w:type="dxa"/>
            <w:vAlign w:val="bottom"/>
            <w:tcBorders>
              <w:bottom w:val="single" w:sz="8" w:color="4A7EBB"/>
            </w:tcBorders>
            <w:shd w:val="clear" w:color="auto" w:fill="DBE5F1"/>
          </w:tcPr>
          <w:p>
            <w:pPr>
              <w:spacing w:after="0"/>
              <w:rPr>
                <w:sz w:val="14"/>
                <w:szCs w:val="14"/>
                <w:color w:val="auto"/>
              </w:rPr>
            </w:pPr>
          </w:p>
        </w:tc>
        <w:tc>
          <w:tcPr>
            <w:tcW w:w="640" w:type="dxa"/>
            <w:vAlign w:val="bottom"/>
            <w:tcBorders>
              <w:bottom w:val="single" w:sz="8" w:color="4A7EBB"/>
            </w:tcBorders>
            <w:shd w:val="clear" w:color="auto" w:fill="DBE5F1"/>
          </w:tcPr>
          <w:p>
            <w:pPr>
              <w:spacing w:after="0"/>
              <w:rPr>
                <w:sz w:val="14"/>
                <w:szCs w:val="14"/>
                <w:color w:val="auto"/>
              </w:rPr>
            </w:pPr>
          </w:p>
        </w:tc>
        <w:tc>
          <w:tcPr>
            <w:tcW w:w="1260" w:type="dxa"/>
            <w:vAlign w:val="bottom"/>
            <w:tcBorders>
              <w:bottom w:val="single" w:sz="8" w:color="4A7EBB"/>
            </w:tcBorders>
            <w:vMerge w:val="continue"/>
            <w:shd w:val="clear" w:color="auto" w:fill="DBE5F1"/>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540" w:type="dxa"/>
            <w:vAlign w:val="bottom"/>
            <w:tcBorders>
              <w:bottom w:val="single" w:sz="8" w:color="4A7EBB"/>
            </w:tcBorders>
          </w:tcPr>
          <w:p>
            <w:pPr>
              <w:spacing w:after="0"/>
              <w:rPr>
                <w:sz w:val="13"/>
                <w:szCs w:val="13"/>
                <w:color w:val="auto"/>
              </w:rPr>
            </w:pPr>
          </w:p>
        </w:tc>
        <w:tc>
          <w:tcPr>
            <w:tcW w:w="280" w:type="dxa"/>
            <w:vAlign w:val="bottom"/>
            <w:tcBorders>
              <w:bottom w:val="single" w:sz="8" w:color="4A7EBB"/>
            </w:tcBorders>
          </w:tcPr>
          <w:p>
            <w:pPr>
              <w:spacing w:after="0"/>
              <w:rPr>
                <w:sz w:val="13"/>
                <w:szCs w:val="13"/>
                <w:color w:val="auto"/>
              </w:rPr>
            </w:pPr>
          </w:p>
        </w:tc>
        <w:tc>
          <w:tcPr>
            <w:tcW w:w="1100" w:type="dxa"/>
            <w:vAlign w:val="bottom"/>
            <w:tcBorders>
              <w:bottom w:val="single" w:sz="8" w:color="4A7EBB"/>
            </w:tcBorders>
          </w:tcPr>
          <w:p>
            <w:pPr>
              <w:spacing w:after="0"/>
              <w:rPr>
                <w:sz w:val="13"/>
                <w:szCs w:val="13"/>
                <w:color w:val="auto"/>
              </w:rPr>
            </w:pPr>
          </w:p>
        </w:tc>
        <w:tc>
          <w:tcPr>
            <w:tcW w:w="1740" w:type="dxa"/>
            <w:vAlign w:val="bottom"/>
            <w:tcBorders>
              <w:bottom w:val="single" w:sz="8" w:color="4A7EBB"/>
            </w:tcBorders>
            <w:gridSpan w:val="3"/>
          </w:tcPr>
          <w:p>
            <w:pPr>
              <w:jc w:val="center"/>
              <w:spacing w:after="0" w:line="155" w:lineRule="exact"/>
              <w:rPr>
                <w:sz w:val="20"/>
                <w:szCs w:val="20"/>
                <w:color w:val="auto"/>
              </w:rPr>
            </w:pPr>
            <w:r>
              <w:rPr>
                <w:rFonts w:ascii="Arial" w:cs="Arial" w:eastAsia="Arial" w:hAnsi="Arial"/>
                <w:sz w:val="14"/>
                <w:szCs w:val="14"/>
                <w:color w:val="auto"/>
              </w:rPr>
              <w:t>(Unaudited)</w:t>
            </w:r>
          </w:p>
        </w:tc>
        <w:tc>
          <w:tcPr>
            <w:tcW w:w="1260" w:type="dxa"/>
            <w:vAlign w:val="bottom"/>
            <w:tcBorders>
              <w:bottom w:val="single" w:sz="8" w:color="4A7EBB"/>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540" w:type="dxa"/>
            <w:vAlign w:val="bottom"/>
            <w:tcBorders>
              <w:bottom w:val="single" w:sz="8" w:color="4A7EBB"/>
            </w:tcBorders>
            <w:shd w:val="clear" w:color="auto" w:fill="F2F2F2"/>
          </w:tcPr>
          <w:p>
            <w:pPr>
              <w:spacing w:after="0" w:line="155" w:lineRule="exact"/>
              <w:rPr>
                <w:sz w:val="20"/>
                <w:szCs w:val="20"/>
                <w:color w:val="auto"/>
              </w:rPr>
            </w:pPr>
            <w:r>
              <w:rPr>
                <w:rFonts w:ascii="Arial" w:cs="Arial" w:eastAsia="Arial" w:hAnsi="Arial"/>
                <w:sz w:val="14"/>
                <w:szCs w:val="14"/>
                <w:color w:val="auto"/>
              </w:rPr>
              <w:t>GAAP diluted net income attributable to G-III Apparel Group, Ltd. per common share</w:t>
            </w:r>
          </w:p>
        </w:tc>
        <w:tc>
          <w:tcPr>
            <w:tcW w:w="280" w:type="dxa"/>
            <w:vAlign w:val="bottom"/>
            <w:tcBorders>
              <w:bottom w:val="single" w:sz="8" w:color="4A7EBB"/>
            </w:tcBorders>
            <w:shd w:val="clear" w:color="auto" w:fill="F2F2F2"/>
          </w:tcPr>
          <w:p>
            <w:pPr>
              <w:jc w:val="right"/>
              <w:spacing w:after="0" w:line="155" w:lineRule="exact"/>
              <w:rPr>
                <w:sz w:val="20"/>
                <w:szCs w:val="20"/>
                <w:color w:val="auto"/>
              </w:rPr>
            </w:pPr>
            <w:r>
              <w:rPr>
                <w:rFonts w:ascii="Arial" w:cs="Arial" w:eastAsia="Arial" w:hAnsi="Arial"/>
                <w:sz w:val="14"/>
                <w:szCs w:val="14"/>
                <w:color w:val="auto"/>
              </w:rPr>
              <w:t>$</w:t>
            </w:r>
          </w:p>
        </w:tc>
        <w:tc>
          <w:tcPr>
            <w:tcW w:w="1100" w:type="dxa"/>
            <w:vAlign w:val="bottom"/>
            <w:tcBorders>
              <w:bottom w:val="single" w:sz="8" w:color="4A7EBB"/>
            </w:tcBorders>
            <w:shd w:val="clear" w:color="auto" w:fill="F3F3F3"/>
          </w:tcPr>
          <w:p>
            <w:pPr>
              <w:spacing w:after="0"/>
              <w:rPr>
                <w:sz w:val="13"/>
                <w:szCs w:val="13"/>
                <w:color w:val="auto"/>
              </w:rPr>
            </w:pPr>
          </w:p>
        </w:tc>
        <w:tc>
          <w:tcPr>
            <w:tcW w:w="800" w:type="dxa"/>
            <w:vAlign w:val="bottom"/>
            <w:tcBorders>
              <w:bottom w:val="single" w:sz="8" w:color="4A7EBB"/>
            </w:tcBorders>
            <w:shd w:val="clear" w:color="auto" w:fill="F3F3F3"/>
          </w:tcPr>
          <w:p>
            <w:pPr>
              <w:jc w:val="right"/>
              <w:spacing w:after="0" w:line="155" w:lineRule="exact"/>
              <w:rPr>
                <w:sz w:val="20"/>
                <w:szCs w:val="20"/>
                <w:color w:val="auto"/>
              </w:rPr>
            </w:pPr>
            <w:r>
              <w:rPr>
                <w:rFonts w:ascii="Arial" w:cs="Arial" w:eastAsia="Arial" w:hAnsi="Arial"/>
                <w:sz w:val="14"/>
                <w:szCs w:val="14"/>
                <w:color w:val="auto"/>
              </w:rPr>
              <w:t>1.51</w:t>
            </w:r>
          </w:p>
        </w:tc>
        <w:tc>
          <w:tcPr>
            <w:tcW w:w="300" w:type="dxa"/>
            <w:vAlign w:val="bottom"/>
            <w:tcBorders>
              <w:bottom w:val="single" w:sz="8" w:color="4A7EBB"/>
            </w:tcBorders>
            <w:shd w:val="clear" w:color="auto" w:fill="F2F2F2"/>
          </w:tcPr>
          <w:p>
            <w:pPr>
              <w:jc w:val="right"/>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4A7EBB"/>
            </w:tcBorders>
            <w:shd w:val="clear" w:color="auto" w:fill="F3F3F3"/>
          </w:tcPr>
          <w:p>
            <w:pPr>
              <w:spacing w:after="0"/>
              <w:rPr>
                <w:sz w:val="13"/>
                <w:szCs w:val="13"/>
                <w:color w:val="auto"/>
              </w:rPr>
            </w:pPr>
          </w:p>
        </w:tc>
        <w:tc>
          <w:tcPr>
            <w:tcW w:w="1260" w:type="dxa"/>
            <w:vAlign w:val="bottom"/>
            <w:tcBorders>
              <w:bottom w:val="single" w:sz="8" w:color="4A7EBB"/>
            </w:tcBorders>
            <w:shd w:val="clear" w:color="auto" w:fill="F3F3F3"/>
          </w:tcPr>
          <w:p>
            <w:pPr>
              <w:jc w:val="right"/>
              <w:spacing w:after="0" w:line="155" w:lineRule="exact"/>
              <w:rPr>
                <w:sz w:val="20"/>
                <w:szCs w:val="20"/>
                <w:color w:val="auto"/>
              </w:rPr>
            </w:pPr>
            <w:r>
              <w:rPr>
                <w:rFonts w:ascii="Arial" w:cs="Arial" w:eastAsia="Arial" w:hAnsi="Arial"/>
                <w:sz w:val="14"/>
                <w:szCs w:val="14"/>
                <w:color w:val="auto"/>
              </w:rPr>
              <w:t>4.20</w:t>
            </w:r>
          </w:p>
        </w:tc>
        <w:tc>
          <w:tcPr>
            <w:tcW w:w="0" w:type="dxa"/>
            <w:vAlign w:val="bottom"/>
          </w:tcPr>
          <w:p>
            <w:pPr>
              <w:spacing w:after="0"/>
              <w:rPr>
                <w:sz w:val="1"/>
                <w:szCs w:val="1"/>
                <w:color w:val="auto"/>
              </w:rPr>
            </w:pPr>
          </w:p>
        </w:tc>
      </w:tr>
      <w:tr>
        <w:trPr>
          <w:trHeight w:val="156"/>
        </w:trPr>
        <w:tc>
          <w:tcPr>
            <w:tcW w:w="5540" w:type="dxa"/>
            <w:vAlign w:val="bottom"/>
            <w:tcBorders>
              <w:bottom w:val="single" w:sz="8" w:color="4A7EBB"/>
            </w:tcBorders>
          </w:tcPr>
          <w:p>
            <w:pPr>
              <w:spacing w:after="0"/>
              <w:rPr>
                <w:sz w:val="13"/>
                <w:szCs w:val="13"/>
                <w:color w:val="auto"/>
              </w:rPr>
            </w:pPr>
          </w:p>
        </w:tc>
        <w:tc>
          <w:tcPr>
            <w:tcW w:w="280" w:type="dxa"/>
            <w:vAlign w:val="bottom"/>
            <w:tcBorders>
              <w:bottom w:val="single" w:sz="8" w:color="4A7EBB"/>
            </w:tcBorders>
          </w:tcPr>
          <w:p>
            <w:pPr>
              <w:spacing w:after="0"/>
              <w:rPr>
                <w:sz w:val="13"/>
                <w:szCs w:val="13"/>
                <w:color w:val="auto"/>
              </w:rPr>
            </w:pPr>
          </w:p>
        </w:tc>
        <w:tc>
          <w:tcPr>
            <w:tcW w:w="1100" w:type="dxa"/>
            <w:vAlign w:val="bottom"/>
            <w:tcBorders>
              <w:bottom w:val="single" w:sz="8" w:color="4A7EBB"/>
            </w:tcBorders>
          </w:tcPr>
          <w:p>
            <w:pPr>
              <w:spacing w:after="0"/>
              <w:rPr>
                <w:sz w:val="13"/>
                <w:szCs w:val="13"/>
                <w:color w:val="auto"/>
              </w:rPr>
            </w:pPr>
          </w:p>
        </w:tc>
        <w:tc>
          <w:tcPr>
            <w:tcW w:w="800" w:type="dxa"/>
            <w:vAlign w:val="bottom"/>
            <w:tcBorders>
              <w:bottom w:val="single" w:sz="8" w:color="4A7EBB"/>
            </w:tcBorders>
          </w:tcPr>
          <w:p>
            <w:pPr>
              <w:spacing w:after="0"/>
              <w:rPr>
                <w:sz w:val="13"/>
                <w:szCs w:val="13"/>
                <w:color w:val="auto"/>
              </w:rPr>
            </w:pPr>
          </w:p>
        </w:tc>
        <w:tc>
          <w:tcPr>
            <w:tcW w:w="300" w:type="dxa"/>
            <w:vAlign w:val="bottom"/>
            <w:tcBorders>
              <w:bottom w:val="single" w:sz="8" w:color="4A7EBB"/>
            </w:tcBorders>
          </w:tcPr>
          <w:p>
            <w:pPr>
              <w:spacing w:after="0"/>
              <w:rPr>
                <w:sz w:val="13"/>
                <w:szCs w:val="13"/>
                <w:color w:val="auto"/>
              </w:rPr>
            </w:pPr>
          </w:p>
        </w:tc>
        <w:tc>
          <w:tcPr>
            <w:tcW w:w="640" w:type="dxa"/>
            <w:vAlign w:val="bottom"/>
            <w:tcBorders>
              <w:bottom w:val="single" w:sz="8" w:color="4A7EBB"/>
            </w:tcBorders>
          </w:tcPr>
          <w:p>
            <w:pPr>
              <w:spacing w:after="0"/>
              <w:rPr>
                <w:sz w:val="13"/>
                <w:szCs w:val="13"/>
                <w:color w:val="auto"/>
              </w:rPr>
            </w:pPr>
          </w:p>
        </w:tc>
        <w:tc>
          <w:tcPr>
            <w:tcW w:w="1260" w:type="dxa"/>
            <w:vAlign w:val="bottom"/>
            <w:tcBorders>
              <w:bottom w:val="single" w:sz="8" w:color="4A7EBB"/>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540" w:type="dxa"/>
            <w:vAlign w:val="bottom"/>
            <w:tcBorders>
              <w:bottom w:val="single" w:sz="8" w:color="4A7EBB"/>
            </w:tcBorders>
            <w:shd w:val="clear" w:color="auto" w:fill="F2F2F2"/>
          </w:tcPr>
          <w:p>
            <w:pPr>
              <w:spacing w:after="0" w:line="155" w:lineRule="exact"/>
              <w:rPr>
                <w:sz w:val="20"/>
                <w:szCs w:val="20"/>
                <w:color w:val="auto"/>
              </w:rPr>
            </w:pPr>
            <w:r>
              <w:rPr>
                <w:rFonts w:ascii="Arial" w:cs="Arial" w:eastAsia="Arial" w:hAnsi="Arial"/>
                <w:sz w:val="14"/>
                <w:szCs w:val="14"/>
                <w:color w:val="auto"/>
              </w:rPr>
              <w:t>Excluded from non-GAAP:</w:t>
            </w:r>
          </w:p>
        </w:tc>
        <w:tc>
          <w:tcPr>
            <w:tcW w:w="280" w:type="dxa"/>
            <w:vAlign w:val="bottom"/>
            <w:tcBorders>
              <w:bottom w:val="single" w:sz="8" w:color="4A7EBB"/>
            </w:tcBorders>
            <w:shd w:val="clear" w:color="auto" w:fill="F2F2F2"/>
          </w:tcPr>
          <w:p>
            <w:pPr>
              <w:spacing w:after="0"/>
              <w:rPr>
                <w:sz w:val="13"/>
                <w:szCs w:val="13"/>
                <w:color w:val="auto"/>
              </w:rPr>
            </w:pPr>
          </w:p>
        </w:tc>
        <w:tc>
          <w:tcPr>
            <w:tcW w:w="1100" w:type="dxa"/>
            <w:vAlign w:val="bottom"/>
            <w:tcBorders>
              <w:bottom w:val="single" w:sz="8" w:color="4A7EBB"/>
            </w:tcBorders>
            <w:shd w:val="clear" w:color="auto" w:fill="F3F3F3"/>
          </w:tcPr>
          <w:p>
            <w:pPr>
              <w:spacing w:after="0"/>
              <w:rPr>
                <w:sz w:val="13"/>
                <w:szCs w:val="13"/>
                <w:color w:val="auto"/>
              </w:rPr>
            </w:pPr>
          </w:p>
        </w:tc>
        <w:tc>
          <w:tcPr>
            <w:tcW w:w="800" w:type="dxa"/>
            <w:vAlign w:val="bottom"/>
            <w:tcBorders>
              <w:bottom w:val="single" w:sz="8" w:color="4A7EBB"/>
            </w:tcBorders>
            <w:shd w:val="clear" w:color="auto" w:fill="F3F3F3"/>
          </w:tcPr>
          <w:p>
            <w:pPr>
              <w:spacing w:after="0"/>
              <w:rPr>
                <w:sz w:val="13"/>
                <w:szCs w:val="13"/>
                <w:color w:val="auto"/>
              </w:rPr>
            </w:pPr>
          </w:p>
        </w:tc>
        <w:tc>
          <w:tcPr>
            <w:tcW w:w="300" w:type="dxa"/>
            <w:vAlign w:val="bottom"/>
            <w:tcBorders>
              <w:bottom w:val="single" w:sz="8" w:color="4A7EBB"/>
            </w:tcBorders>
            <w:shd w:val="clear" w:color="auto" w:fill="F2F2F2"/>
          </w:tcPr>
          <w:p>
            <w:pPr>
              <w:spacing w:after="0"/>
              <w:rPr>
                <w:sz w:val="13"/>
                <w:szCs w:val="13"/>
                <w:color w:val="auto"/>
              </w:rPr>
            </w:pPr>
          </w:p>
        </w:tc>
        <w:tc>
          <w:tcPr>
            <w:tcW w:w="640" w:type="dxa"/>
            <w:vAlign w:val="bottom"/>
            <w:tcBorders>
              <w:bottom w:val="single" w:sz="8" w:color="4A7EBB"/>
            </w:tcBorders>
            <w:shd w:val="clear" w:color="auto" w:fill="F3F3F3"/>
          </w:tcPr>
          <w:p>
            <w:pPr>
              <w:spacing w:after="0"/>
              <w:rPr>
                <w:sz w:val="13"/>
                <w:szCs w:val="13"/>
                <w:color w:val="auto"/>
              </w:rPr>
            </w:pPr>
          </w:p>
        </w:tc>
        <w:tc>
          <w:tcPr>
            <w:tcW w:w="1260" w:type="dxa"/>
            <w:vAlign w:val="bottom"/>
            <w:tcBorders>
              <w:bottom w:val="single" w:sz="8" w:color="4A7EBB"/>
            </w:tcBorders>
            <w:shd w:val="clear" w:color="auto" w:fill="F3F3F3"/>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540" w:type="dxa"/>
            <w:vAlign w:val="bottom"/>
            <w:tcBorders>
              <w:bottom w:val="single" w:sz="8" w:color="4A7EBB"/>
            </w:tcBorders>
          </w:tcPr>
          <w:p>
            <w:pPr>
              <w:ind w:left="120"/>
              <w:spacing w:after="0" w:line="155" w:lineRule="exact"/>
              <w:rPr>
                <w:sz w:val="20"/>
                <w:szCs w:val="20"/>
                <w:color w:val="auto"/>
              </w:rPr>
            </w:pPr>
            <w:r>
              <w:rPr>
                <w:rFonts w:ascii="Arial" w:cs="Arial" w:eastAsia="Arial" w:hAnsi="Arial"/>
                <w:sz w:val="14"/>
                <w:szCs w:val="14"/>
                <w:color w:val="auto"/>
              </w:rPr>
              <w:t>Asset impairments</w:t>
            </w:r>
          </w:p>
        </w:tc>
        <w:tc>
          <w:tcPr>
            <w:tcW w:w="280" w:type="dxa"/>
            <w:vAlign w:val="bottom"/>
            <w:tcBorders>
              <w:bottom w:val="single" w:sz="8" w:color="4A7EBB"/>
            </w:tcBorders>
          </w:tcPr>
          <w:p>
            <w:pPr>
              <w:spacing w:after="0"/>
              <w:rPr>
                <w:sz w:val="13"/>
                <w:szCs w:val="13"/>
                <w:color w:val="auto"/>
              </w:rPr>
            </w:pPr>
          </w:p>
        </w:tc>
        <w:tc>
          <w:tcPr>
            <w:tcW w:w="1100" w:type="dxa"/>
            <w:vAlign w:val="bottom"/>
            <w:tcBorders>
              <w:bottom w:val="single" w:sz="8" w:color="4A7EBB"/>
            </w:tcBorders>
          </w:tcPr>
          <w:p>
            <w:pPr>
              <w:spacing w:after="0"/>
              <w:rPr>
                <w:sz w:val="13"/>
                <w:szCs w:val="13"/>
                <w:color w:val="auto"/>
              </w:rPr>
            </w:pPr>
          </w:p>
        </w:tc>
        <w:tc>
          <w:tcPr>
            <w:tcW w:w="800" w:type="dxa"/>
            <w:vAlign w:val="bottom"/>
            <w:tcBorders>
              <w:bottom w:val="single" w:sz="8" w:color="4A7EBB"/>
            </w:tcBorders>
          </w:tcPr>
          <w:p>
            <w:pPr>
              <w:jc w:val="right"/>
              <w:spacing w:after="0" w:line="155" w:lineRule="exact"/>
              <w:rPr>
                <w:sz w:val="20"/>
                <w:szCs w:val="20"/>
                <w:color w:val="auto"/>
              </w:rPr>
            </w:pPr>
            <w:r>
              <w:rPr>
                <w:rFonts w:ascii="Arial" w:cs="Arial" w:eastAsia="Arial" w:hAnsi="Arial"/>
                <w:sz w:val="14"/>
                <w:szCs w:val="14"/>
                <w:color w:val="auto"/>
              </w:rPr>
              <w:t>1.09</w:t>
            </w:r>
          </w:p>
        </w:tc>
        <w:tc>
          <w:tcPr>
            <w:tcW w:w="300" w:type="dxa"/>
            <w:vAlign w:val="bottom"/>
            <w:tcBorders>
              <w:bottom w:val="single" w:sz="8" w:color="4A7EBB"/>
            </w:tcBorders>
          </w:tcPr>
          <w:p>
            <w:pPr>
              <w:spacing w:after="0"/>
              <w:rPr>
                <w:sz w:val="13"/>
                <w:szCs w:val="13"/>
                <w:color w:val="auto"/>
              </w:rPr>
            </w:pPr>
          </w:p>
        </w:tc>
        <w:tc>
          <w:tcPr>
            <w:tcW w:w="640" w:type="dxa"/>
            <w:vAlign w:val="bottom"/>
            <w:tcBorders>
              <w:bottom w:val="single" w:sz="8" w:color="4A7EBB"/>
            </w:tcBorders>
          </w:tcPr>
          <w:p>
            <w:pPr>
              <w:spacing w:after="0"/>
              <w:rPr>
                <w:sz w:val="13"/>
                <w:szCs w:val="13"/>
                <w:color w:val="auto"/>
              </w:rPr>
            </w:pPr>
          </w:p>
        </w:tc>
        <w:tc>
          <w:tcPr>
            <w:tcW w:w="1260" w:type="dxa"/>
            <w:vAlign w:val="bottom"/>
            <w:tcBorders>
              <w:bottom w:val="single" w:sz="8" w:color="4A7EBB"/>
            </w:tcBorders>
          </w:tcPr>
          <w:p>
            <w:pPr>
              <w:jc w:val="right"/>
              <w:spacing w:after="0" w:line="155" w:lineRule="exact"/>
              <w:rPr>
                <w:sz w:val="20"/>
                <w:szCs w:val="20"/>
                <w:color w:val="auto"/>
              </w:rPr>
            </w:pPr>
            <w:r>
              <w:rPr>
                <w:rFonts w:ascii="Arial" w:cs="Arial" w:eastAsia="Arial" w:hAnsi="Arial"/>
                <w:sz w:val="14"/>
                <w:szCs w:val="14"/>
                <w:color w:val="auto"/>
              </w:rPr>
              <w:t>0.18</w:t>
            </w:r>
          </w:p>
        </w:tc>
        <w:tc>
          <w:tcPr>
            <w:tcW w:w="0" w:type="dxa"/>
            <w:vAlign w:val="bottom"/>
          </w:tcPr>
          <w:p>
            <w:pPr>
              <w:spacing w:after="0"/>
              <w:rPr>
                <w:sz w:val="1"/>
                <w:szCs w:val="1"/>
                <w:color w:val="auto"/>
              </w:rPr>
            </w:pPr>
          </w:p>
        </w:tc>
      </w:tr>
      <w:tr>
        <w:trPr>
          <w:trHeight w:val="155"/>
        </w:trPr>
        <w:tc>
          <w:tcPr>
            <w:tcW w:w="5540" w:type="dxa"/>
            <w:vAlign w:val="bottom"/>
            <w:tcBorders>
              <w:bottom w:val="single" w:sz="8" w:color="4A7EBB"/>
            </w:tcBorders>
            <w:shd w:val="clear" w:color="auto" w:fill="F2F2F2"/>
          </w:tcPr>
          <w:p>
            <w:pPr>
              <w:ind w:left="120"/>
              <w:spacing w:after="0" w:line="155" w:lineRule="exact"/>
              <w:rPr>
                <w:sz w:val="20"/>
                <w:szCs w:val="20"/>
                <w:color w:val="auto"/>
              </w:rPr>
            </w:pPr>
            <w:r>
              <w:rPr>
                <w:rFonts w:ascii="Arial" w:cs="Arial" w:eastAsia="Arial" w:hAnsi="Arial"/>
                <w:sz w:val="14"/>
                <w:szCs w:val="14"/>
                <w:color w:val="auto"/>
              </w:rPr>
              <w:t>Strategic opportunity related professional fees</w:t>
            </w:r>
          </w:p>
        </w:tc>
        <w:tc>
          <w:tcPr>
            <w:tcW w:w="280" w:type="dxa"/>
            <w:vAlign w:val="bottom"/>
            <w:tcBorders>
              <w:bottom w:val="single" w:sz="8" w:color="4A7EBB"/>
            </w:tcBorders>
            <w:shd w:val="clear" w:color="auto" w:fill="F2F2F2"/>
          </w:tcPr>
          <w:p>
            <w:pPr>
              <w:spacing w:after="0"/>
              <w:rPr>
                <w:sz w:val="13"/>
                <w:szCs w:val="13"/>
                <w:color w:val="auto"/>
              </w:rPr>
            </w:pPr>
          </w:p>
        </w:tc>
        <w:tc>
          <w:tcPr>
            <w:tcW w:w="1100" w:type="dxa"/>
            <w:vAlign w:val="bottom"/>
            <w:tcBorders>
              <w:bottom w:val="single" w:sz="8" w:color="4A7EBB"/>
            </w:tcBorders>
            <w:shd w:val="clear" w:color="auto" w:fill="F3F3F3"/>
          </w:tcPr>
          <w:p>
            <w:pPr>
              <w:spacing w:after="0"/>
              <w:rPr>
                <w:sz w:val="13"/>
                <w:szCs w:val="13"/>
                <w:color w:val="auto"/>
              </w:rPr>
            </w:pPr>
          </w:p>
        </w:tc>
        <w:tc>
          <w:tcPr>
            <w:tcW w:w="800" w:type="dxa"/>
            <w:vAlign w:val="bottom"/>
            <w:tcBorders>
              <w:bottom w:val="single" w:sz="8" w:color="4A7EBB"/>
            </w:tcBorders>
            <w:shd w:val="clear" w:color="auto" w:fill="F3F3F3"/>
          </w:tcPr>
          <w:p>
            <w:pPr>
              <w:jc w:val="right"/>
              <w:spacing w:after="0" w:line="155" w:lineRule="exact"/>
              <w:rPr>
                <w:sz w:val="20"/>
                <w:szCs w:val="20"/>
                <w:color w:val="auto"/>
              </w:rPr>
            </w:pPr>
            <w:r>
              <w:rPr>
                <w:rFonts w:ascii="Arial" w:cs="Arial" w:eastAsia="Arial" w:hAnsi="Arial"/>
                <w:sz w:val="14"/>
                <w:szCs w:val="14"/>
                <w:color w:val="auto"/>
              </w:rPr>
              <w:t>0.05</w:t>
            </w:r>
          </w:p>
        </w:tc>
        <w:tc>
          <w:tcPr>
            <w:tcW w:w="300" w:type="dxa"/>
            <w:vAlign w:val="bottom"/>
            <w:tcBorders>
              <w:bottom w:val="single" w:sz="8" w:color="4A7EBB"/>
            </w:tcBorders>
            <w:shd w:val="clear" w:color="auto" w:fill="F2F2F2"/>
          </w:tcPr>
          <w:p>
            <w:pPr>
              <w:spacing w:after="0"/>
              <w:rPr>
                <w:sz w:val="13"/>
                <w:szCs w:val="13"/>
                <w:color w:val="auto"/>
              </w:rPr>
            </w:pPr>
          </w:p>
        </w:tc>
        <w:tc>
          <w:tcPr>
            <w:tcW w:w="640" w:type="dxa"/>
            <w:vAlign w:val="bottom"/>
            <w:tcBorders>
              <w:bottom w:val="single" w:sz="8" w:color="4A7EBB"/>
            </w:tcBorders>
            <w:shd w:val="clear" w:color="auto" w:fill="F3F3F3"/>
          </w:tcPr>
          <w:p>
            <w:pPr>
              <w:spacing w:after="0"/>
              <w:rPr>
                <w:sz w:val="13"/>
                <w:szCs w:val="13"/>
                <w:color w:val="auto"/>
              </w:rPr>
            </w:pPr>
          </w:p>
        </w:tc>
        <w:tc>
          <w:tcPr>
            <w:tcW w:w="1260" w:type="dxa"/>
            <w:vAlign w:val="bottom"/>
            <w:tcBorders>
              <w:bottom w:val="single" w:sz="8" w:color="4A7EBB"/>
            </w:tcBorders>
            <w:shd w:val="clear" w:color="auto" w:fill="F3F3F3"/>
          </w:tcPr>
          <w:p>
            <w:pPr>
              <w:jc w:val="right"/>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5540" w:type="dxa"/>
            <w:vAlign w:val="bottom"/>
            <w:tcBorders>
              <w:bottom w:val="single" w:sz="8" w:color="4A7EBB"/>
            </w:tcBorders>
          </w:tcPr>
          <w:p>
            <w:pPr>
              <w:ind w:left="120"/>
              <w:spacing w:after="0" w:line="155" w:lineRule="exact"/>
              <w:rPr>
                <w:sz w:val="20"/>
                <w:szCs w:val="20"/>
                <w:color w:val="auto"/>
              </w:rPr>
            </w:pPr>
            <w:r>
              <w:rPr>
                <w:rFonts w:ascii="Arial" w:cs="Arial" w:eastAsia="Arial" w:hAnsi="Arial"/>
                <w:sz w:val="14"/>
                <w:szCs w:val="14"/>
                <w:color w:val="auto"/>
              </w:rPr>
              <w:t>One-time warehouse related severance expenses</w:t>
            </w:r>
          </w:p>
        </w:tc>
        <w:tc>
          <w:tcPr>
            <w:tcW w:w="280" w:type="dxa"/>
            <w:vAlign w:val="bottom"/>
            <w:tcBorders>
              <w:bottom w:val="single" w:sz="8" w:color="4A7EBB"/>
            </w:tcBorders>
          </w:tcPr>
          <w:p>
            <w:pPr>
              <w:spacing w:after="0"/>
              <w:rPr>
                <w:sz w:val="13"/>
                <w:szCs w:val="13"/>
                <w:color w:val="auto"/>
              </w:rPr>
            </w:pPr>
          </w:p>
        </w:tc>
        <w:tc>
          <w:tcPr>
            <w:tcW w:w="1100" w:type="dxa"/>
            <w:vAlign w:val="bottom"/>
            <w:tcBorders>
              <w:bottom w:val="single" w:sz="8" w:color="4A7EBB"/>
            </w:tcBorders>
          </w:tcPr>
          <w:p>
            <w:pPr>
              <w:spacing w:after="0"/>
              <w:rPr>
                <w:sz w:val="13"/>
                <w:szCs w:val="13"/>
                <w:color w:val="auto"/>
              </w:rPr>
            </w:pPr>
          </w:p>
        </w:tc>
        <w:tc>
          <w:tcPr>
            <w:tcW w:w="800" w:type="dxa"/>
            <w:vAlign w:val="bottom"/>
            <w:tcBorders>
              <w:bottom w:val="single" w:sz="8" w:color="4A7EBB"/>
            </w:tcBorders>
          </w:tcPr>
          <w:p>
            <w:pPr>
              <w:jc w:val="right"/>
              <w:spacing w:after="0" w:line="155" w:lineRule="exact"/>
              <w:rPr>
                <w:sz w:val="20"/>
                <w:szCs w:val="20"/>
                <w:color w:val="auto"/>
              </w:rPr>
            </w:pPr>
            <w:r>
              <w:rPr>
                <w:rFonts w:ascii="Arial" w:cs="Arial" w:eastAsia="Arial" w:hAnsi="Arial"/>
                <w:sz w:val="14"/>
                <w:szCs w:val="14"/>
                <w:color w:val="auto"/>
              </w:rPr>
              <w:t>0.03</w:t>
            </w:r>
          </w:p>
        </w:tc>
        <w:tc>
          <w:tcPr>
            <w:tcW w:w="300" w:type="dxa"/>
            <w:vAlign w:val="bottom"/>
            <w:tcBorders>
              <w:bottom w:val="single" w:sz="8" w:color="4A7EBB"/>
            </w:tcBorders>
          </w:tcPr>
          <w:p>
            <w:pPr>
              <w:spacing w:after="0"/>
              <w:rPr>
                <w:sz w:val="13"/>
                <w:szCs w:val="13"/>
                <w:color w:val="auto"/>
              </w:rPr>
            </w:pPr>
          </w:p>
        </w:tc>
        <w:tc>
          <w:tcPr>
            <w:tcW w:w="640" w:type="dxa"/>
            <w:vAlign w:val="bottom"/>
            <w:tcBorders>
              <w:bottom w:val="single" w:sz="8" w:color="4A7EBB"/>
            </w:tcBorders>
          </w:tcPr>
          <w:p>
            <w:pPr>
              <w:spacing w:after="0"/>
              <w:rPr>
                <w:sz w:val="13"/>
                <w:szCs w:val="13"/>
                <w:color w:val="auto"/>
              </w:rPr>
            </w:pPr>
          </w:p>
        </w:tc>
        <w:tc>
          <w:tcPr>
            <w:tcW w:w="1260" w:type="dxa"/>
            <w:vAlign w:val="bottom"/>
            <w:tcBorders>
              <w:bottom w:val="single" w:sz="8" w:color="4A7EBB"/>
            </w:tcBorders>
          </w:tcPr>
          <w:p>
            <w:pPr>
              <w:jc w:val="right"/>
              <w:spacing w:after="0" w:line="155" w:lineRule="exact"/>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156"/>
        </w:trPr>
        <w:tc>
          <w:tcPr>
            <w:tcW w:w="5540" w:type="dxa"/>
            <w:vAlign w:val="bottom"/>
            <w:tcBorders>
              <w:bottom w:val="single" w:sz="8" w:color="4A7EBB"/>
            </w:tcBorders>
            <w:shd w:val="clear" w:color="auto" w:fill="F2F2F2"/>
          </w:tcPr>
          <w:p>
            <w:pPr>
              <w:ind w:left="120"/>
              <w:spacing w:after="0" w:line="155" w:lineRule="exact"/>
              <w:rPr>
                <w:sz w:val="20"/>
                <w:szCs w:val="20"/>
                <w:color w:val="auto"/>
              </w:rPr>
            </w:pPr>
            <w:r>
              <w:rPr>
                <w:rFonts w:ascii="Arial" w:cs="Arial" w:eastAsia="Arial" w:hAnsi="Arial"/>
                <w:sz w:val="14"/>
                <w:szCs w:val="14"/>
                <w:color w:val="auto"/>
              </w:rPr>
              <w:t>Write-off of deferred financing costs</w:t>
            </w:r>
          </w:p>
        </w:tc>
        <w:tc>
          <w:tcPr>
            <w:tcW w:w="280" w:type="dxa"/>
            <w:vAlign w:val="bottom"/>
            <w:tcBorders>
              <w:bottom w:val="single" w:sz="8" w:color="4A7EBB"/>
            </w:tcBorders>
            <w:shd w:val="clear" w:color="auto" w:fill="F2F2F2"/>
          </w:tcPr>
          <w:p>
            <w:pPr>
              <w:spacing w:after="0"/>
              <w:rPr>
                <w:sz w:val="13"/>
                <w:szCs w:val="13"/>
                <w:color w:val="auto"/>
              </w:rPr>
            </w:pPr>
          </w:p>
        </w:tc>
        <w:tc>
          <w:tcPr>
            <w:tcW w:w="1100" w:type="dxa"/>
            <w:vAlign w:val="bottom"/>
            <w:tcBorders>
              <w:bottom w:val="single" w:sz="8" w:color="4A7EBB"/>
            </w:tcBorders>
            <w:shd w:val="clear" w:color="auto" w:fill="F3F3F3"/>
          </w:tcPr>
          <w:p>
            <w:pPr>
              <w:spacing w:after="0"/>
              <w:rPr>
                <w:sz w:val="13"/>
                <w:szCs w:val="13"/>
                <w:color w:val="auto"/>
              </w:rPr>
            </w:pPr>
          </w:p>
        </w:tc>
        <w:tc>
          <w:tcPr>
            <w:tcW w:w="800" w:type="dxa"/>
            <w:vAlign w:val="bottom"/>
            <w:tcBorders>
              <w:bottom w:val="single" w:sz="8" w:color="4A7EBB"/>
            </w:tcBorders>
            <w:shd w:val="clear" w:color="auto" w:fill="F3F3F3"/>
          </w:tcPr>
          <w:p>
            <w:pPr>
              <w:jc w:val="right"/>
              <w:spacing w:after="0" w:line="155"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4A7EBB"/>
            </w:tcBorders>
            <w:shd w:val="clear" w:color="auto" w:fill="F2F2F2"/>
          </w:tcPr>
          <w:p>
            <w:pPr>
              <w:spacing w:after="0"/>
              <w:rPr>
                <w:sz w:val="13"/>
                <w:szCs w:val="13"/>
                <w:color w:val="auto"/>
              </w:rPr>
            </w:pPr>
          </w:p>
        </w:tc>
        <w:tc>
          <w:tcPr>
            <w:tcW w:w="640" w:type="dxa"/>
            <w:vAlign w:val="bottom"/>
            <w:tcBorders>
              <w:bottom w:val="single" w:sz="8" w:color="4A7EBB"/>
            </w:tcBorders>
            <w:shd w:val="clear" w:color="auto" w:fill="F3F3F3"/>
          </w:tcPr>
          <w:p>
            <w:pPr>
              <w:spacing w:after="0"/>
              <w:rPr>
                <w:sz w:val="13"/>
                <w:szCs w:val="13"/>
                <w:color w:val="auto"/>
              </w:rPr>
            </w:pPr>
          </w:p>
        </w:tc>
        <w:tc>
          <w:tcPr>
            <w:tcW w:w="1260" w:type="dxa"/>
            <w:vAlign w:val="bottom"/>
            <w:tcBorders>
              <w:bottom w:val="single" w:sz="8" w:color="4A7EBB"/>
            </w:tcBorders>
            <w:shd w:val="clear" w:color="auto" w:fill="F3F3F3"/>
          </w:tcPr>
          <w:p>
            <w:pPr>
              <w:jc w:val="right"/>
              <w:spacing w:after="0" w:line="155" w:lineRule="exact"/>
              <w:rPr>
                <w:sz w:val="20"/>
                <w:szCs w:val="20"/>
                <w:color w:val="auto"/>
              </w:rPr>
            </w:pPr>
            <w:r>
              <w:rPr>
                <w:rFonts w:ascii="Arial" w:cs="Arial" w:eastAsia="Arial" w:hAnsi="Arial"/>
                <w:sz w:val="14"/>
                <w:szCs w:val="14"/>
                <w:color w:val="auto"/>
              </w:rPr>
              <w:t>0.03</w:t>
            </w:r>
          </w:p>
        </w:tc>
        <w:tc>
          <w:tcPr>
            <w:tcW w:w="0" w:type="dxa"/>
            <w:vAlign w:val="bottom"/>
          </w:tcPr>
          <w:p>
            <w:pPr>
              <w:spacing w:after="0"/>
              <w:rPr>
                <w:sz w:val="1"/>
                <w:szCs w:val="1"/>
                <w:color w:val="auto"/>
              </w:rPr>
            </w:pPr>
          </w:p>
        </w:tc>
      </w:tr>
      <w:tr>
        <w:trPr>
          <w:trHeight w:val="155"/>
        </w:trPr>
        <w:tc>
          <w:tcPr>
            <w:tcW w:w="5540" w:type="dxa"/>
            <w:vAlign w:val="bottom"/>
            <w:tcBorders>
              <w:bottom w:val="single" w:sz="8" w:color="4A7EBB"/>
            </w:tcBorders>
          </w:tcPr>
          <w:p>
            <w:pPr>
              <w:ind w:left="120"/>
              <w:spacing w:after="0" w:line="155" w:lineRule="exact"/>
              <w:rPr>
                <w:sz w:val="20"/>
                <w:szCs w:val="20"/>
                <w:color w:val="auto"/>
              </w:rPr>
            </w:pPr>
            <w:r>
              <w:rPr>
                <w:rFonts w:ascii="Arial" w:cs="Arial" w:eastAsia="Arial" w:hAnsi="Arial"/>
                <w:sz w:val="14"/>
                <w:szCs w:val="14"/>
                <w:color w:val="auto"/>
              </w:rPr>
              <w:t>Gain on forgiveness of liabilities</w:t>
            </w:r>
          </w:p>
        </w:tc>
        <w:tc>
          <w:tcPr>
            <w:tcW w:w="280" w:type="dxa"/>
            <w:vAlign w:val="bottom"/>
            <w:tcBorders>
              <w:bottom w:val="single" w:sz="8" w:color="4A7EBB"/>
            </w:tcBorders>
          </w:tcPr>
          <w:p>
            <w:pPr>
              <w:spacing w:after="0"/>
              <w:rPr>
                <w:sz w:val="13"/>
                <w:szCs w:val="13"/>
                <w:color w:val="auto"/>
              </w:rPr>
            </w:pPr>
          </w:p>
        </w:tc>
        <w:tc>
          <w:tcPr>
            <w:tcW w:w="1100" w:type="dxa"/>
            <w:vAlign w:val="bottom"/>
            <w:tcBorders>
              <w:bottom w:val="single" w:sz="8" w:color="4A7EBB"/>
            </w:tcBorders>
          </w:tcPr>
          <w:p>
            <w:pPr>
              <w:spacing w:after="0"/>
              <w:rPr>
                <w:sz w:val="13"/>
                <w:szCs w:val="13"/>
                <w:color w:val="auto"/>
              </w:rPr>
            </w:pPr>
          </w:p>
        </w:tc>
        <w:tc>
          <w:tcPr>
            <w:tcW w:w="800" w:type="dxa"/>
            <w:vAlign w:val="bottom"/>
            <w:tcBorders>
              <w:bottom w:val="single" w:sz="8" w:color="4A7EBB"/>
            </w:tcBorders>
          </w:tcPr>
          <w:p>
            <w:pPr>
              <w:jc w:val="right"/>
              <w:spacing w:after="0" w:line="155"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4A7EBB"/>
            </w:tcBorders>
          </w:tcPr>
          <w:p>
            <w:pPr>
              <w:spacing w:after="0"/>
              <w:rPr>
                <w:sz w:val="13"/>
                <w:szCs w:val="13"/>
                <w:color w:val="auto"/>
              </w:rPr>
            </w:pPr>
          </w:p>
        </w:tc>
        <w:tc>
          <w:tcPr>
            <w:tcW w:w="640" w:type="dxa"/>
            <w:vAlign w:val="bottom"/>
            <w:tcBorders>
              <w:bottom w:val="single" w:sz="8" w:color="4A7EBB"/>
            </w:tcBorders>
          </w:tcPr>
          <w:p>
            <w:pPr>
              <w:spacing w:after="0"/>
              <w:rPr>
                <w:sz w:val="13"/>
                <w:szCs w:val="13"/>
                <w:color w:val="auto"/>
              </w:rPr>
            </w:pPr>
          </w:p>
        </w:tc>
        <w:tc>
          <w:tcPr>
            <w:tcW w:w="1260" w:type="dxa"/>
            <w:vAlign w:val="bottom"/>
            <w:tcBorders>
              <w:bottom w:val="single" w:sz="8" w:color="4A7EBB"/>
            </w:tcBorders>
          </w:tcPr>
          <w:p>
            <w:pPr>
              <w:jc w:val="right"/>
              <w:spacing w:after="0" w:line="155" w:lineRule="exact"/>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156"/>
        </w:trPr>
        <w:tc>
          <w:tcPr>
            <w:tcW w:w="5540" w:type="dxa"/>
            <w:vAlign w:val="bottom"/>
            <w:tcBorders>
              <w:bottom w:val="single" w:sz="8" w:color="4A7EBB"/>
            </w:tcBorders>
            <w:shd w:val="clear" w:color="auto" w:fill="F2F2F2"/>
          </w:tcPr>
          <w:p>
            <w:pPr>
              <w:ind w:left="120"/>
              <w:spacing w:after="0" w:line="155" w:lineRule="exact"/>
              <w:rPr>
                <w:sz w:val="20"/>
                <w:szCs w:val="20"/>
                <w:color w:val="auto"/>
              </w:rPr>
            </w:pPr>
            <w:r>
              <w:rPr>
                <w:rFonts w:ascii="Arial" w:cs="Arial" w:eastAsia="Arial" w:hAnsi="Arial"/>
                <w:sz w:val="14"/>
                <w:szCs w:val="14"/>
                <w:color w:val="auto"/>
              </w:rPr>
              <w:t>Income tax impact of non-GAAP adjustments</w:t>
            </w:r>
          </w:p>
        </w:tc>
        <w:tc>
          <w:tcPr>
            <w:tcW w:w="280" w:type="dxa"/>
            <w:vAlign w:val="bottom"/>
            <w:tcBorders>
              <w:bottom w:val="single" w:sz="8" w:color="4A7EBB"/>
            </w:tcBorders>
            <w:shd w:val="clear" w:color="auto" w:fill="F2F2F2"/>
          </w:tcPr>
          <w:p>
            <w:pPr>
              <w:spacing w:after="0"/>
              <w:rPr>
                <w:sz w:val="13"/>
                <w:szCs w:val="13"/>
                <w:color w:val="auto"/>
              </w:rPr>
            </w:pPr>
          </w:p>
        </w:tc>
        <w:tc>
          <w:tcPr>
            <w:tcW w:w="1100" w:type="dxa"/>
            <w:vAlign w:val="bottom"/>
            <w:tcBorders>
              <w:bottom w:val="single" w:sz="8" w:color="4A7EBB"/>
            </w:tcBorders>
            <w:shd w:val="clear" w:color="auto" w:fill="F3F3F3"/>
          </w:tcPr>
          <w:p>
            <w:pPr>
              <w:spacing w:after="0"/>
              <w:rPr>
                <w:sz w:val="13"/>
                <w:szCs w:val="13"/>
                <w:color w:val="auto"/>
              </w:rPr>
            </w:pPr>
          </w:p>
        </w:tc>
        <w:tc>
          <w:tcPr>
            <w:tcW w:w="800" w:type="dxa"/>
            <w:vAlign w:val="bottom"/>
            <w:tcBorders>
              <w:bottom w:val="single" w:sz="8" w:color="4A7EBB"/>
            </w:tcBorders>
            <w:shd w:val="clear" w:color="auto" w:fill="F3F3F3"/>
          </w:tcPr>
          <w:p>
            <w:pPr>
              <w:jc w:val="right"/>
              <w:spacing w:after="0" w:line="155" w:lineRule="exact"/>
              <w:rPr>
                <w:sz w:val="20"/>
                <w:szCs w:val="20"/>
                <w:color w:val="auto"/>
              </w:rPr>
            </w:pPr>
            <w:r>
              <w:rPr>
                <w:rFonts w:ascii="Arial" w:cs="Arial" w:eastAsia="Arial" w:hAnsi="Arial"/>
                <w:sz w:val="14"/>
                <w:szCs w:val="14"/>
                <w:color w:val="auto"/>
              </w:rPr>
              <w:t>(0.07)</w:t>
            </w:r>
          </w:p>
        </w:tc>
        <w:tc>
          <w:tcPr>
            <w:tcW w:w="300" w:type="dxa"/>
            <w:vAlign w:val="bottom"/>
            <w:tcBorders>
              <w:bottom w:val="single" w:sz="8" w:color="4A7EBB"/>
            </w:tcBorders>
            <w:shd w:val="clear" w:color="auto" w:fill="F2F2F2"/>
          </w:tcPr>
          <w:p>
            <w:pPr>
              <w:spacing w:after="0"/>
              <w:rPr>
                <w:sz w:val="13"/>
                <w:szCs w:val="13"/>
                <w:color w:val="auto"/>
              </w:rPr>
            </w:pPr>
          </w:p>
        </w:tc>
        <w:tc>
          <w:tcPr>
            <w:tcW w:w="640" w:type="dxa"/>
            <w:vAlign w:val="bottom"/>
            <w:tcBorders>
              <w:bottom w:val="single" w:sz="8" w:color="4A7EBB"/>
            </w:tcBorders>
            <w:shd w:val="clear" w:color="auto" w:fill="F3F3F3"/>
          </w:tcPr>
          <w:p>
            <w:pPr>
              <w:spacing w:after="0"/>
              <w:rPr>
                <w:sz w:val="13"/>
                <w:szCs w:val="13"/>
                <w:color w:val="auto"/>
              </w:rPr>
            </w:pPr>
          </w:p>
        </w:tc>
        <w:tc>
          <w:tcPr>
            <w:tcW w:w="1260" w:type="dxa"/>
            <w:vAlign w:val="bottom"/>
            <w:tcBorders>
              <w:bottom w:val="single" w:sz="8" w:color="4A7EBB"/>
            </w:tcBorders>
            <w:shd w:val="clear" w:color="auto" w:fill="F3F3F3"/>
          </w:tcPr>
          <w:p>
            <w:pPr>
              <w:jc w:val="right"/>
              <w:spacing w:after="0" w:line="155" w:lineRule="exact"/>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155"/>
        </w:trPr>
        <w:tc>
          <w:tcPr>
            <w:tcW w:w="5540" w:type="dxa"/>
            <w:vAlign w:val="bottom"/>
            <w:tcBorders>
              <w:bottom w:val="single" w:sz="8" w:color="4A7EBB"/>
            </w:tcBorders>
          </w:tcPr>
          <w:p>
            <w:pPr>
              <w:spacing w:after="0"/>
              <w:rPr>
                <w:sz w:val="13"/>
                <w:szCs w:val="13"/>
                <w:color w:val="auto"/>
              </w:rPr>
            </w:pPr>
          </w:p>
        </w:tc>
        <w:tc>
          <w:tcPr>
            <w:tcW w:w="280" w:type="dxa"/>
            <w:vAlign w:val="bottom"/>
            <w:tcBorders>
              <w:bottom w:val="single" w:sz="8" w:color="4A7EBB"/>
            </w:tcBorders>
          </w:tcPr>
          <w:p>
            <w:pPr>
              <w:spacing w:after="0"/>
              <w:rPr>
                <w:sz w:val="13"/>
                <w:szCs w:val="13"/>
                <w:color w:val="auto"/>
              </w:rPr>
            </w:pPr>
          </w:p>
        </w:tc>
        <w:tc>
          <w:tcPr>
            <w:tcW w:w="1100" w:type="dxa"/>
            <w:vAlign w:val="bottom"/>
            <w:tcBorders>
              <w:bottom w:val="single" w:sz="8" w:color="4A7EBB"/>
            </w:tcBorders>
          </w:tcPr>
          <w:p>
            <w:pPr>
              <w:spacing w:after="0"/>
              <w:rPr>
                <w:sz w:val="13"/>
                <w:szCs w:val="13"/>
                <w:color w:val="auto"/>
              </w:rPr>
            </w:pPr>
          </w:p>
        </w:tc>
        <w:tc>
          <w:tcPr>
            <w:tcW w:w="800" w:type="dxa"/>
            <w:vAlign w:val="bottom"/>
            <w:tcBorders>
              <w:bottom w:val="single" w:sz="8" w:color="4A7EBB"/>
            </w:tcBorders>
          </w:tcPr>
          <w:p>
            <w:pPr>
              <w:spacing w:after="0"/>
              <w:rPr>
                <w:sz w:val="13"/>
                <w:szCs w:val="13"/>
                <w:color w:val="auto"/>
              </w:rPr>
            </w:pPr>
          </w:p>
        </w:tc>
        <w:tc>
          <w:tcPr>
            <w:tcW w:w="300" w:type="dxa"/>
            <w:vAlign w:val="bottom"/>
            <w:tcBorders>
              <w:bottom w:val="single" w:sz="8" w:color="4A7EBB"/>
            </w:tcBorders>
          </w:tcPr>
          <w:p>
            <w:pPr>
              <w:spacing w:after="0"/>
              <w:rPr>
                <w:sz w:val="13"/>
                <w:szCs w:val="13"/>
                <w:color w:val="auto"/>
              </w:rPr>
            </w:pPr>
          </w:p>
        </w:tc>
        <w:tc>
          <w:tcPr>
            <w:tcW w:w="640" w:type="dxa"/>
            <w:vAlign w:val="bottom"/>
            <w:tcBorders>
              <w:bottom w:val="single" w:sz="8" w:color="4A7EBB"/>
            </w:tcBorders>
          </w:tcPr>
          <w:p>
            <w:pPr>
              <w:spacing w:after="0"/>
              <w:rPr>
                <w:sz w:val="13"/>
                <w:szCs w:val="13"/>
                <w:color w:val="auto"/>
              </w:rPr>
            </w:pPr>
          </w:p>
        </w:tc>
        <w:tc>
          <w:tcPr>
            <w:tcW w:w="1260" w:type="dxa"/>
            <w:vAlign w:val="bottom"/>
            <w:tcBorders>
              <w:bottom w:val="single" w:sz="8" w:color="4A7EBB"/>
            </w:tcBorders>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540" w:type="dxa"/>
            <w:vAlign w:val="bottom"/>
            <w:shd w:val="clear" w:color="auto" w:fill="F2F2F2"/>
          </w:tcPr>
          <w:p>
            <w:pPr>
              <w:spacing w:after="0" w:line="147" w:lineRule="exact"/>
              <w:rPr>
                <w:sz w:val="20"/>
                <w:szCs w:val="20"/>
                <w:color w:val="auto"/>
              </w:rPr>
            </w:pPr>
            <w:r>
              <w:rPr>
                <w:rFonts w:ascii="Arial" w:cs="Arial" w:eastAsia="Arial" w:hAnsi="Arial"/>
                <w:sz w:val="14"/>
                <w:szCs w:val="14"/>
                <w:b w:val="1"/>
                <w:bCs w:val="1"/>
                <w:color w:val="auto"/>
              </w:rPr>
              <w:t>Non-GAAP diluted net income attributable to G-III Apparel Group, Ltd. per</w:t>
            </w:r>
          </w:p>
        </w:tc>
        <w:tc>
          <w:tcPr>
            <w:tcW w:w="280" w:type="dxa"/>
            <w:vAlign w:val="bottom"/>
            <w:shd w:val="clear" w:color="auto" w:fill="F2F2F2"/>
          </w:tcPr>
          <w:p>
            <w:pPr>
              <w:spacing w:after="0"/>
              <w:rPr>
                <w:sz w:val="12"/>
                <w:szCs w:val="12"/>
                <w:color w:val="auto"/>
              </w:rPr>
            </w:pPr>
          </w:p>
        </w:tc>
        <w:tc>
          <w:tcPr>
            <w:tcW w:w="1100" w:type="dxa"/>
            <w:vAlign w:val="bottom"/>
            <w:shd w:val="clear" w:color="auto" w:fill="F3F3F3"/>
          </w:tcPr>
          <w:p>
            <w:pPr>
              <w:spacing w:after="0"/>
              <w:rPr>
                <w:sz w:val="12"/>
                <w:szCs w:val="12"/>
                <w:color w:val="auto"/>
              </w:rPr>
            </w:pPr>
          </w:p>
        </w:tc>
        <w:tc>
          <w:tcPr>
            <w:tcW w:w="800" w:type="dxa"/>
            <w:vAlign w:val="bottom"/>
            <w:shd w:val="clear" w:color="auto" w:fill="F3F3F3"/>
          </w:tcPr>
          <w:p>
            <w:pPr>
              <w:spacing w:after="0"/>
              <w:rPr>
                <w:sz w:val="12"/>
                <w:szCs w:val="12"/>
                <w:color w:val="auto"/>
              </w:rPr>
            </w:pPr>
          </w:p>
        </w:tc>
        <w:tc>
          <w:tcPr>
            <w:tcW w:w="300" w:type="dxa"/>
            <w:vAlign w:val="bottom"/>
            <w:shd w:val="clear" w:color="auto" w:fill="F2F2F2"/>
          </w:tcPr>
          <w:p>
            <w:pPr>
              <w:spacing w:after="0"/>
              <w:rPr>
                <w:sz w:val="12"/>
                <w:szCs w:val="12"/>
                <w:color w:val="auto"/>
              </w:rPr>
            </w:pPr>
          </w:p>
        </w:tc>
        <w:tc>
          <w:tcPr>
            <w:tcW w:w="640" w:type="dxa"/>
            <w:vAlign w:val="bottom"/>
            <w:shd w:val="clear" w:color="auto" w:fill="F3F3F3"/>
          </w:tcPr>
          <w:p>
            <w:pPr>
              <w:spacing w:after="0"/>
              <w:rPr>
                <w:sz w:val="12"/>
                <w:szCs w:val="12"/>
                <w:color w:val="auto"/>
              </w:rPr>
            </w:pPr>
          </w:p>
        </w:tc>
        <w:tc>
          <w:tcPr>
            <w:tcW w:w="1260" w:type="dxa"/>
            <w:vAlign w:val="bottom"/>
            <w:shd w:val="clear" w:color="auto" w:fill="F3F3F3"/>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540" w:type="dxa"/>
            <w:vAlign w:val="bottom"/>
            <w:tcBorders>
              <w:bottom w:val="single" w:sz="8" w:color="4A7EBB"/>
            </w:tcBorders>
            <w:shd w:val="clear" w:color="auto" w:fill="F2F2F2"/>
          </w:tcPr>
          <w:p>
            <w:pPr>
              <w:spacing w:after="0"/>
              <w:rPr>
                <w:sz w:val="20"/>
                <w:szCs w:val="20"/>
                <w:color w:val="auto"/>
              </w:rPr>
            </w:pPr>
            <w:r>
              <w:rPr>
                <w:rFonts w:ascii="Arial" w:cs="Arial" w:eastAsia="Arial" w:hAnsi="Arial"/>
                <w:sz w:val="14"/>
                <w:szCs w:val="14"/>
                <w:b w:val="1"/>
                <w:bCs w:val="1"/>
                <w:color w:val="auto"/>
              </w:rPr>
              <w:t>common share, as defined</w:t>
            </w:r>
          </w:p>
        </w:tc>
        <w:tc>
          <w:tcPr>
            <w:tcW w:w="280" w:type="dxa"/>
            <w:vAlign w:val="bottom"/>
            <w:tcBorders>
              <w:bottom w:val="single" w:sz="8" w:color="4A7EBB"/>
            </w:tcBorders>
            <w:shd w:val="clear" w:color="auto" w:fill="F2F2F2"/>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4A7EBB"/>
            </w:tcBorders>
            <w:shd w:val="clear" w:color="auto" w:fill="F3F3F3"/>
          </w:tcPr>
          <w:p>
            <w:pPr>
              <w:spacing w:after="0"/>
              <w:rPr>
                <w:sz w:val="14"/>
                <w:szCs w:val="14"/>
                <w:color w:val="auto"/>
              </w:rPr>
            </w:pPr>
          </w:p>
        </w:tc>
        <w:tc>
          <w:tcPr>
            <w:tcW w:w="800" w:type="dxa"/>
            <w:vAlign w:val="bottom"/>
            <w:tcBorders>
              <w:bottom w:val="single" w:sz="8" w:color="4A7EBB"/>
            </w:tcBorders>
            <w:shd w:val="clear" w:color="auto" w:fill="F3F3F3"/>
          </w:tcPr>
          <w:p>
            <w:pPr>
              <w:jc w:val="right"/>
              <w:spacing w:after="0"/>
              <w:rPr>
                <w:sz w:val="20"/>
                <w:szCs w:val="20"/>
                <w:color w:val="auto"/>
              </w:rPr>
            </w:pPr>
            <w:r>
              <w:rPr>
                <w:rFonts w:ascii="Arial" w:cs="Arial" w:eastAsia="Arial" w:hAnsi="Arial"/>
                <w:sz w:val="14"/>
                <w:szCs w:val="14"/>
                <w:b w:val="1"/>
                <w:bCs w:val="1"/>
                <w:color w:val="auto"/>
              </w:rPr>
              <w:t>2.61</w:t>
            </w:r>
          </w:p>
        </w:tc>
        <w:tc>
          <w:tcPr>
            <w:tcW w:w="300" w:type="dxa"/>
            <w:vAlign w:val="bottom"/>
            <w:tcBorders>
              <w:bottom w:val="single" w:sz="8" w:color="4A7EBB"/>
            </w:tcBorders>
            <w:shd w:val="clear" w:color="auto" w:fill="F2F2F2"/>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4A7EBB"/>
            </w:tcBorders>
            <w:shd w:val="clear" w:color="auto" w:fill="F3F3F3"/>
          </w:tcPr>
          <w:p>
            <w:pPr>
              <w:spacing w:after="0"/>
              <w:rPr>
                <w:sz w:val="14"/>
                <w:szCs w:val="14"/>
                <w:color w:val="auto"/>
              </w:rPr>
            </w:pPr>
          </w:p>
        </w:tc>
        <w:tc>
          <w:tcPr>
            <w:tcW w:w="1260" w:type="dxa"/>
            <w:vAlign w:val="bottom"/>
            <w:tcBorders>
              <w:bottom w:val="single" w:sz="8" w:color="4A7EBB"/>
            </w:tcBorders>
            <w:shd w:val="clear" w:color="auto" w:fill="F3F3F3"/>
          </w:tcPr>
          <w:p>
            <w:pPr>
              <w:jc w:val="right"/>
              <w:spacing w:after="0"/>
              <w:rPr>
                <w:sz w:val="20"/>
                <w:szCs w:val="20"/>
                <w:color w:val="auto"/>
              </w:rPr>
            </w:pPr>
            <w:r>
              <w:rPr>
                <w:rFonts w:ascii="Arial" w:cs="Arial" w:eastAsia="Arial" w:hAnsi="Arial"/>
                <w:sz w:val="14"/>
                <w:szCs w:val="14"/>
                <w:b w:val="1"/>
                <w:bCs w:val="1"/>
                <w:color w:val="auto"/>
              </w:rPr>
              <w:t>4.42</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Non -GAAP diluted net income per common share is a “non-GAAP financial measure” that excludes (i) in both fiscal 2026 and 2025, asset impairments, (ii) in fiscal 2026, professional fees related to a potential strategic opportunity that did not come to fruition, (iii) in both fiscal 2026 and 2025, one-time severance expenses related to a closed warehouse, (iv) in fiscal 2025, the write-off of deferred financing costs related to the redemption of the Notes and (v) in fiscal 2025, the gain on the forgiveness of certain liabilities related to the acquisition of the minority interest of our DKNY business in China that we did not already own. For fiscal 2026, the income tax impact of non-GAAP adjustments is calculated using the applicable statutory tax rate for the respective period. For fiscal 2025, the income tax impact of non-GAAP adjustments is calculated using the effective tax rate for the period. Management believes that these non-GAAP financial measures provide meaningful supplemental information regarding our performance by excluding items that are not indicative of our core business operating results. Management uses these non-GAAP financial measures to assess our performance on a comparative basis and believes that they are also useful to investors to enable them to assess our performance on a comparative basis across historical periods and facilitate comparisons of our operating results to those of our competitors. The presentation of this financial information is not intended to be considered in isolation or as a substitute for, or superior to, the financial information prepared and presented in accordance with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981075</wp:posOffset>
            </wp:positionV>
            <wp:extent cx="6292215"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7560"/>
        <w:spacing w:after="0"/>
        <w:rPr>
          <w:sz w:val="20"/>
          <w:szCs w:val="20"/>
          <w:color w:val="auto"/>
        </w:rPr>
      </w:pPr>
      <w:r>
        <w:rPr>
          <w:rFonts w:ascii="Arial" w:cs="Arial" w:eastAsia="Arial" w:hAnsi="Arial"/>
          <w:sz w:val="16"/>
          <w:szCs w:val="16"/>
          <w:color w:val="auto"/>
        </w:rPr>
        <w:t xml:space="preserve">2026 PROXY STATEMENT </w:t>
      </w:r>
      <w:r>
        <w:rPr>
          <w:rFonts w:ascii="Arial" w:cs="Arial" w:eastAsia="Arial" w:hAnsi="Arial"/>
          <w:sz w:val="19"/>
          <w:szCs w:val="19"/>
          <w:color w:val="808080"/>
        </w:rPr>
        <w:t>/</w:t>
      </w:r>
      <w:r>
        <w:rPr>
          <w:rFonts w:ascii="Arial" w:cs="Arial" w:eastAsia="Arial" w:hAnsi="Arial"/>
          <w:sz w:val="16"/>
          <w:szCs w:val="16"/>
          <w:color w:val="auto"/>
        </w:rPr>
        <w:t xml:space="preserve"> </w:t>
      </w:r>
      <w:r>
        <w:rPr>
          <w:rFonts w:ascii="Arial" w:cs="Arial" w:eastAsia="Arial" w:hAnsi="Arial"/>
          <w:sz w:val="19"/>
          <w:szCs w:val="19"/>
          <w:b w:val="1"/>
          <w:bCs w:val="1"/>
          <w:color w:val="4A7EBB"/>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365125</wp:posOffset>
            </wp:positionV>
            <wp:extent cx="6292215" cy="171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8725535</wp:posOffset>
            </wp:positionV>
            <wp:extent cx="6292215" cy="171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683260</wp:posOffset>
            </wp:positionH>
            <wp:positionV relativeFrom="paragraph">
              <wp:posOffset>375920</wp:posOffset>
            </wp:positionV>
            <wp:extent cx="4937760" cy="768985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4937760" cy="7689850"/>
                    </a:xfrm>
                    <a:prstGeom prst="rect">
                      <a:avLst/>
                    </a:prstGeom>
                    <a:noFill/>
                  </pic:spPr>
                </pic:pic>
              </a:graphicData>
            </a:graphic>
          </wp:anchor>
        </w:drawing>
      </w:r>
    </w:p>
    <w:p>
      <w:pPr>
        <w:sectPr>
          <w:pgSz w:w="11900" w:h="16838" w:orient="portrait"/>
          <w:cols w:equalWidth="0" w:num="1">
            <w:col w:w="9479"/>
          </w:cols>
          <w:pgMar w:left="980" w:top="513" w:right="1440"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40" w:type="dxa"/>
            <w:vAlign w:val="bottom"/>
          </w:tcPr>
          <w:p>
            <w:pPr>
              <w:spacing w:after="0"/>
              <w:rPr>
                <w:sz w:val="20"/>
                <w:szCs w:val="20"/>
                <w:color w:val="auto"/>
              </w:rPr>
            </w:pPr>
            <w:r>
              <w:rPr>
                <w:rFonts w:ascii="Arial" w:cs="Arial" w:eastAsia="Arial" w:hAnsi="Arial"/>
                <w:sz w:val="20"/>
                <w:szCs w:val="20"/>
                <w:color w:val="auto"/>
              </w:rPr>
              <w:t>G-III APPAREL</w:t>
            </w:r>
          </w:p>
        </w:tc>
        <w:tc>
          <w:tcPr>
            <w:tcW w:w="2620" w:type="dxa"/>
            <w:vAlign w:val="bottom"/>
          </w:tcPr>
          <w:p>
            <w:pPr>
              <w:ind w:left="1000"/>
              <w:spacing w:after="0"/>
              <w:rPr>
                <w:sz w:val="20"/>
                <w:szCs w:val="20"/>
                <w:color w:val="auto"/>
              </w:rPr>
            </w:pPr>
            <w:r>
              <w:rPr>
                <w:rFonts w:ascii="Arial" w:cs="Arial" w:eastAsia="Arial" w:hAnsi="Arial"/>
                <w:sz w:val="14"/>
                <w:szCs w:val="14"/>
                <w:color w:val="auto"/>
              </w:rPr>
              <w:t>Shareowner Services</w:t>
            </w:r>
          </w:p>
        </w:tc>
        <w:tc>
          <w:tcPr>
            <w:tcW w:w="0" w:type="dxa"/>
            <w:vAlign w:val="bottom"/>
          </w:tcPr>
          <w:p>
            <w:pPr>
              <w:spacing w:after="0"/>
              <w:rPr>
                <w:sz w:val="1"/>
                <w:szCs w:val="1"/>
                <w:color w:val="auto"/>
              </w:rPr>
            </w:pPr>
          </w:p>
        </w:tc>
      </w:tr>
      <w:tr>
        <w:trPr>
          <w:trHeight w:val="139"/>
        </w:trPr>
        <w:tc>
          <w:tcPr>
            <w:tcW w:w="2340" w:type="dxa"/>
            <w:vAlign w:val="bottom"/>
            <w:vMerge w:val="restart"/>
          </w:tcPr>
          <w:p>
            <w:pPr>
              <w:spacing w:after="0"/>
              <w:rPr>
                <w:sz w:val="20"/>
                <w:szCs w:val="20"/>
                <w:color w:val="auto"/>
              </w:rPr>
            </w:pPr>
            <w:r>
              <w:rPr>
                <w:rFonts w:ascii="Arial" w:cs="Arial" w:eastAsia="Arial" w:hAnsi="Arial"/>
                <w:sz w:val="20"/>
                <w:szCs w:val="20"/>
                <w:color w:val="auto"/>
              </w:rPr>
              <w:t>GROUP, LTD.</w:t>
            </w:r>
          </w:p>
        </w:tc>
        <w:tc>
          <w:tcPr>
            <w:tcW w:w="2620" w:type="dxa"/>
            <w:vAlign w:val="bottom"/>
          </w:tcPr>
          <w:p>
            <w:pPr>
              <w:ind w:left="1000"/>
              <w:spacing w:after="0" w:line="139" w:lineRule="exact"/>
              <w:rPr>
                <w:sz w:val="20"/>
                <w:szCs w:val="20"/>
                <w:color w:val="auto"/>
              </w:rPr>
            </w:pPr>
            <w:r>
              <w:rPr>
                <w:rFonts w:ascii="Arial" w:cs="Arial" w:eastAsia="Arial" w:hAnsi="Arial"/>
                <w:sz w:val="14"/>
                <w:szCs w:val="14"/>
                <w:color w:val="auto"/>
              </w:rPr>
              <w:t>P.O. Box 64945</w:t>
            </w:r>
          </w:p>
        </w:tc>
        <w:tc>
          <w:tcPr>
            <w:tcW w:w="0" w:type="dxa"/>
            <w:vAlign w:val="bottom"/>
          </w:tcPr>
          <w:p>
            <w:pPr>
              <w:spacing w:after="0"/>
              <w:rPr>
                <w:sz w:val="1"/>
                <w:szCs w:val="1"/>
                <w:color w:val="auto"/>
              </w:rPr>
            </w:pPr>
          </w:p>
        </w:tc>
      </w:tr>
      <w:tr>
        <w:trPr>
          <w:trHeight w:val="141"/>
        </w:trPr>
        <w:tc>
          <w:tcPr>
            <w:tcW w:w="2340" w:type="dxa"/>
            <w:vAlign w:val="bottom"/>
            <w:vMerge w:val="continue"/>
          </w:tcPr>
          <w:p>
            <w:pPr>
              <w:spacing w:after="0"/>
              <w:rPr>
                <w:sz w:val="12"/>
                <w:szCs w:val="12"/>
                <w:color w:val="auto"/>
              </w:rPr>
            </w:pPr>
          </w:p>
        </w:tc>
        <w:tc>
          <w:tcPr>
            <w:tcW w:w="2620" w:type="dxa"/>
            <w:vAlign w:val="bottom"/>
            <w:vMerge w:val="restart"/>
          </w:tcPr>
          <w:p>
            <w:pPr>
              <w:ind w:left="1000"/>
              <w:spacing w:after="0"/>
              <w:rPr>
                <w:sz w:val="20"/>
                <w:szCs w:val="20"/>
                <w:color w:val="auto"/>
              </w:rPr>
            </w:pPr>
            <w:r>
              <w:rPr>
                <w:rFonts w:ascii="Arial" w:cs="Arial" w:eastAsia="Arial" w:hAnsi="Arial"/>
                <w:sz w:val="14"/>
                <w:szCs w:val="14"/>
                <w:color w:val="auto"/>
              </w:rPr>
              <w:t>St. Paul, MN 55164-0945</w:t>
            </w:r>
          </w:p>
        </w:tc>
        <w:tc>
          <w:tcPr>
            <w:tcW w:w="0" w:type="dxa"/>
            <w:vAlign w:val="bottom"/>
          </w:tcPr>
          <w:p>
            <w:pPr>
              <w:spacing w:after="0"/>
              <w:rPr>
                <w:sz w:val="1"/>
                <w:szCs w:val="1"/>
                <w:color w:val="auto"/>
              </w:rPr>
            </w:pPr>
          </w:p>
        </w:tc>
      </w:tr>
      <w:tr>
        <w:trPr>
          <w:trHeight w:val="49"/>
        </w:trPr>
        <w:tc>
          <w:tcPr>
            <w:tcW w:w="2340" w:type="dxa"/>
            <w:vAlign w:val="bottom"/>
          </w:tcPr>
          <w:p>
            <w:pPr>
              <w:spacing w:after="0"/>
              <w:rPr>
                <w:sz w:val="4"/>
                <w:szCs w:val="4"/>
                <w:color w:val="auto"/>
              </w:rPr>
            </w:pPr>
          </w:p>
        </w:tc>
        <w:tc>
          <w:tcPr>
            <w:tcW w:w="26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80" w:type="dxa"/>
            <w:vAlign w:val="bottom"/>
            <w:vMerge w:val="restart"/>
          </w:tcPr>
          <w:p>
            <w:pPr>
              <w:spacing w:after="0"/>
              <w:rPr>
                <w:sz w:val="20"/>
                <w:szCs w:val="20"/>
                <w:color w:val="auto"/>
              </w:rPr>
            </w:pPr>
            <w:r>
              <w:rPr>
                <w:rFonts w:ascii="Arial" w:cs="Arial" w:eastAsia="Arial" w:hAnsi="Arial"/>
                <w:sz w:val="14"/>
                <w:szCs w:val="14"/>
                <w:i w:val="1"/>
                <w:iCs w:val="1"/>
                <w:color w:val="auto"/>
              </w:rPr>
              <w:t>Address Change? Mark box, sign, and indicate changes below:</w:t>
            </w:r>
          </w:p>
        </w:tc>
        <w:tc>
          <w:tcPr>
            <w:tcW w:w="640" w:type="dxa"/>
            <w:vAlign w:val="bottom"/>
          </w:tcPr>
          <w:p>
            <w:pPr>
              <w:ind w:left="440"/>
              <w:spacing w:after="0" w:line="231" w:lineRule="exact"/>
              <w:rPr>
                <w:sz w:val="20"/>
                <w:szCs w:val="20"/>
                <w:color w:val="auto"/>
              </w:rPr>
            </w:pPr>
            <w:r>
              <w:rPr>
                <w:rFonts w:ascii="MS PGothic" w:cs="MS PGothic" w:eastAsia="MS PGothic" w:hAnsi="MS PGothic"/>
                <w:sz w:val="23"/>
                <w:szCs w:val="23"/>
                <w:color w:val="auto"/>
                <w:w w:val="78"/>
              </w:rPr>
              <w:t>☐</w:t>
            </w:r>
          </w:p>
        </w:tc>
        <w:tc>
          <w:tcPr>
            <w:tcW w:w="0" w:type="dxa"/>
            <w:vAlign w:val="bottom"/>
          </w:tcPr>
          <w:p>
            <w:pPr>
              <w:spacing w:after="0"/>
              <w:rPr>
                <w:sz w:val="1"/>
                <w:szCs w:val="1"/>
                <w:color w:val="auto"/>
              </w:rPr>
            </w:pPr>
          </w:p>
        </w:tc>
      </w:tr>
      <w:tr>
        <w:trPr>
          <w:trHeight w:val="46"/>
        </w:trPr>
        <w:tc>
          <w:tcPr>
            <w:tcW w:w="448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The Board of Directors Recommends a Vote FOR all listed nominees for directors in</w:t>
      </w:r>
    </w:p>
    <w:p>
      <w:pPr>
        <w:spacing w:after="0" w:line="2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Proposal 1, and FOR Proposals 2, 3 and 4.</w:t>
      </w:r>
    </w:p>
    <w:p>
      <w:pPr>
        <w:sectPr>
          <w:pgSz w:w="11900" w:h="16838" w:orient="portrait"/>
          <w:cols w:equalWidth="0" w:num="1">
            <w:col w:w="9920"/>
          </w:cols>
          <w:pgMar w:left="980" w:top="513" w:right="999" w:bottom="1440" w:gutter="0" w:footer="0" w:header="0"/>
        </w:sectPr>
      </w:pPr>
    </w:p>
    <w:p>
      <w:pPr>
        <w:spacing w:after="0" w:line="113" w:lineRule="exact"/>
        <w:rPr>
          <w:sz w:val="20"/>
          <w:szCs w:val="20"/>
          <w:color w:val="auto"/>
        </w:rPr>
      </w:pPr>
    </w:p>
    <w:p>
      <w:pPr>
        <w:spacing w:after="0"/>
        <w:tabs>
          <w:tab w:leader="none" w:pos="220" w:val="left"/>
          <w:tab w:leader="none" w:pos="1600" w:val="left"/>
        </w:tabs>
        <w:rPr>
          <w:sz w:val="20"/>
          <w:szCs w:val="20"/>
          <w:color w:val="auto"/>
        </w:rPr>
      </w:pPr>
      <w:r>
        <w:rPr>
          <w:rFonts w:ascii="Arial" w:cs="Arial" w:eastAsia="Arial" w:hAnsi="Arial"/>
          <w:sz w:val="13"/>
          <w:szCs w:val="13"/>
          <w:color w:val="auto"/>
        </w:rPr>
        <w:t>1.</w:t>
        <w:tab/>
        <w:t>Election of directors:</w:t>
      </w:r>
      <w:r>
        <w:rPr>
          <w:sz w:val="20"/>
          <w:szCs w:val="20"/>
          <w:color w:val="auto"/>
        </w:rPr>
        <w:tab/>
      </w:r>
      <w:r>
        <w:rPr>
          <w:rFonts w:ascii="Arial" w:cs="Arial" w:eastAsia="Arial" w:hAnsi="Arial"/>
          <w:sz w:val="12"/>
          <w:szCs w:val="12"/>
          <w:color w:val="auto"/>
        </w:rPr>
        <w:t>01Morris Goldfarb</w:t>
      </w:r>
    </w:p>
    <w:p>
      <w:pPr>
        <w:spacing w:after="0" w:line="134" w:lineRule="exact"/>
        <w:rPr>
          <w:sz w:val="20"/>
          <w:szCs w:val="20"/>
          <w:color w:val="auto"/>
        </w:rPr>
      </w:pPr>
    </w:p>
    <w:p>
      <w:pPr>
        <w:ind w:left="1620"/>
        <w:spacing w:after="0"/>
        <w:rPr>
          <w:sz w:val="20"/>
          <w:szCs w:val="20"/>
          <w:color w:val="auto"/>
        </w:rPr>
      </w:pPr>
      <w:r>
        <w:rPr>
          <w:rFonts w:ascii="Arial" w:cs="Arial" w:eastAsia="Arial" w:hAnsi="Arial"/>
          <w:sz w:val="13"/>
          <w:szCs w:val="13"/>
          <w:color w:val="auto"/>
        </w:rPr>
        <w:t>02Sammy Aaron</w:t>
      </w:r>
    </w:p>
    <w:p>
      <w:pPr>
        <w:spacing w:after="0" w:line="53" w:lineRule="exact"/>
        <w:rPr>
          <w:sz w:val="20"/>
          <w:szCs w:val="20"/>
          <w:color w:val="auto"/>
        </w:rPr>
      </w:pPr>
    </w:p>
    <w:p>
      <w:pPr>
        <w:ind w:left="1620"/>
        <w:spacing w:after="0"/>
        <w:rPr>
          <w:sz w:val="20"/>
          <w:szCs w:val="20"/>
          <w:color w:val="auto"/>
        </w:rPr>
      </w:pPr>
      <w:r>
        <w:rPr>
          <w:rFonts w:ascii="Arial" w:cs="Arial" w:eastAsia="Arial" w:hAnsi="Arial"/>
          <w:sz w:val="13"/>
          <w:szCs w:val="13"/>
          <w:color w:val="auto"/>
        </w:rPr>
        <w:t>03Thomas J. Brosig</w:t>
      </w:r>
    </w:p>
    <w:p>
      <w:pPr>
        <w:spacing w:after="0" w:line="53" w:lineRule="exact"/>
        <w:rPr>
          <w:sz w:val="20"/>
          <w:szCs w:val="20"/>
          <w:color w:val="auto"/>
        </w:rPr>
      </w:pPr>
    </w:p>
    <w:p>
      <w:pPr>
        <w:ind w:left="1620"/>
        <w:spacing w:after="0"/>
        <w:rPr>
          <w:sz w:val="20"/>
          <w:szCs w:val="20"/>
          <w:color w:val="auto"/>
        </w:rPr>
      </w:pPr>
      <w:r>
        <w:rPr>
          <w:rFonts w:ascii="Arial" w:cs="Arial" w:eastAsia="Arial" w:hAnsi="Arial"/>
          <w:sz w:val="12"/>
          <w:szCs w:val="12"/>
          <w:color w:val="auto"/>
        </w:rPr>
        <w:t>04Dr. Joyce F. Brown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96"/>
        </w:trPr>
        <w:tc>
          <w:tcPr>
            <w:tcW w:w="280" w:type="dxa"/>
            <w:vAlign w:val="bottom"/>
          </w:tcPr>
          <w:p>
            <w:pPr>
              <w:spacing w:after="0"/>
              <w:rPr>
                <w:sz w:val="20"/>
                <w:szCs w:val="20"/>
                <w:color w:val="auto"/>
              </w:rPr>
            </w:pPr>
            <w:r>
              <w:rPr>
                <w:rFonts w:ascii="Arial" w:cs="Arial" w:eastAsia="Arial" w:hAnsi="Arial"/>
                <w:sz w:val="13"/>
                <w:szCs w:val="13"/>
                <w:color w:val="auto"/>
              </w:rPr>
              <w:t>05</w:t>
            </w:r>
          </w:p>
        </w:tc>
        <w:tc>
          <w:tcPr>
            <w:tcW w:w="1160" w:type="dxa"/>
            <w:vAlign w:val="bottom"/>
          </w:tcPr>
          <w:p>
            <w:pPr>
              <w:ind w:left="80"/>
              <w:spacing w:after="0"/>
              <w:rPr>
                <w:sz w:val="20"/>
                <w:szCs w:val="20"/>
                <w:color w:val="auto"/>
              </w:rPr>
            </w:pPr>
            <w:r>
              <w:rPr>
                <w:rFonts w:ascii="Arial" w:cs="Arial" w:eastAsia="Arial" w:hAnsi="Arial"/>
                <w:sz w:val="13"/>
                <w:szCs w:val="13"/>
                <w:color w:val="auto"/>
              </w:rPr>
              <w:t>Jeffrey Goldfarb</w:t>
            </w:r>
          </w:p>
        </w:tc>
        <w:tc>
          <w:tcPr>
            <w:tcW w:w="360" w:type="dxa"/>
            <w:vAlign w:val="bottom"/>
          </w:tcPr>
          <w:p>
            <w:pPr>
              <w:ind w:left="140"/>
              <w:spacing w:after="0"/>
              <w:rPr>
                <w:sz w:val="20"/>
                <w:szCs w:val="20"/>
                <w:color w:val="auto"/>
              </w:rPr>
            </w:pPr>
            <w:r>
              <w:rPr>
                <w:rFonts w:ascii="Arial" w:cs="Arial" w:eastAsia="Arial" w:hAnsi="Arial"/>
                <w:sz w:val="13"/>
                <w:szCs w:val="13"/>
                <w:color w:val="auto"/>
              </w:rPr>
              <w:t>09</w:t>
            </w:r>
          </w:p>
        </w:tc>
        <w:tc>
          <w:tcPr>
            <w:tcW w:w="1040" w:type="dxa"/>
            <w:vAlign w:val="bottom"/>
          </w:tcPr>
          <w:p>
            <w:pPr>
              <w:ind w:left="20"/>
              <w:spacing w:after="0"/>
              <w:rPr>
                <w:sz w:val="20"/>
                <w:szCs w:val="20"/>
                <w:color w:val="auto"/>
              </w:rPr>
            </w:pPr>
            <w:r>
              <w:rPr>
                <w:rFonts w:ascii="Arial" w:cs="Arial" w:eastAsia="Arial" w:hAnsi="Arial"/>
                <w:sz w:val="13"/>
                <w:szCs w:val="13"/>
                <w:color w:val="auto"/>
              </w:rPr>
              <w:t>Cheryl Vitali</w:t>
            </w:r>
          </w:p>
        </w:tc>
        <w:tc>
          <w:tcPr>
            <w:tcW w:w="1900" w:type="dxa"/>
            <w:vAlign w:val="bottom"/>
          </w:tcPr>
          <w:p>
            <w:pPr>
              <w:jc w:val="center"/>
              <w:spacing w:after="0" w:line="395" w:lineRule="exact"/>
              <w:rPr>
                <w:sz w:val="20"/>
                <w:szCs w:val="20"/>
                <w:color w:val="auto"/>
              </w:rPr>
            </w:pPr>
            <w:r>
              <w:rPr>
                <w:rFonts w:ascii="MS PGothic" w:cs="MS PGothic" w:eastAsia="MS PGothic" w:hAnsi="MS PGothic"/>
                <w:sz w:val="45"/>
                <w:szCs w:val="45"/>
                <w:color w:val="auto"/>
                <w:w w:val="98"/>
                <w:vertAlign w:val="subscript"/>
              </w:rPr>
              <w:t>☐</w:t>
            </w:r>
            <w:r>
              <w:rPr>
                <w:rFonts w:ascii="Arial" w:cs="Arial" w:eastAsia="Arial" w:hAnsi="Arial"/>
                <w:sz w:val="12"/>
                <w:szCs w:val="12"/>
                <w:color w:val="auto"/>
                <w:w w:val="98"/>
              </w:rPr>
              <w:t>Vote FOR all nominees</w:t>
            </w:r>
          </w:p>
        </w:tc>
        <w:tc>
          <w:tcPr>
            <w:tcW w:w="1680" w:type="dxa"/>
            <w:vAlign w:val="bottom"/>
          </w:tcPr>
          <w:p>
            <w:pPr>
              <w:ind w:left="220"/>
              <w:spacing w:after="0" w:line="207" w:lineRule="exact"/>
              <w:rPr>
                <w:sz w:val="20"/>
                <w:szCs w:val="20"/>
                <w:color w:val="auto"/>
              </w:rPr>
            </w:pPr>
            <w:r>
              <w:rPr>
                <w:rFonts w:ascii="MS PGothic" w:cs="MS PGothic" w:eastAsia="MS PGothic" w:hAnsi="MS PGothic"/>
                <w:sz w:val="18"/>
                <w:szCs w:val="18"/>
                <w:color w:val="auto"/>
                <w:w w:val="73"/>
              </w:rPr>
              <w:t>☐</w:t>
            </w:r>
            <w:r>
              <w:rPr>
                <w:rFonts w:ascii="Arial" w:cs="Arial" w:eastAsia="Arial" w:hAnsi="Arial"/>
                <w:sz w:val="18"/>
                <w:szCs w:val="18"/>
                <w:color w:val="auto"/>
                <w:w w:val="73"/>
                <w:vertAlign w:val="subscript"/>
              </w:rPr>
              <w:t>all</w:t>
            </w:r>
            <w:r>
              <w:rPr>
                <w:rFonts w:ascii="Arial" w:cs="Arial" w:eastAsia="Arial" w:hAnsi="Arial"/>
                <w:sz w:val="18"/>
                <w:szCs w:val="18"/>
                <w:color w:val="auto"/>
                <w:w w:val="73"/>
                <w:vertAlign w:val="superscript"/>
              </w:rPr>
              <w:t>Vote</w:t>
            </w:r>
            <w:r>
              <w:rPr>
                <w:rFonts w:ascii="Arial" w:cs="Arial" w:eastAsia="Arial" w:hAnsi="Arial"/>
                <w:sz w:val="18"/>
                <w:szCs w:val="18"/>
                <w:color w:val="auto"/>
                <w:w w:val="73"/>
                <w:vertAlign w:val="subscript"/>
              </w:rPr>
              <w:t>nominees</w:t>
            </w:r>
            <w:r>
              <w:rPr>
                <w:rFonts w:ascii="Arial" w:cs="Arial" w:eastAsia="Arial" w:hAnsi="Arial"/>
                <w:sz w:val="18"/>
                <w:szCs w:val="18"/>
                <w:color w:val="auto"/>
                <w:w w:val="73"/>
                <w:vertAlign w:val="superscript"/>
              </w:rPr>
              <w:t>WITHHELD from</w:t>
            </w:r>
          </w:p>
        </w:tc>
      </w:tr>
      <w:tr>
        <w:trPr>
          <w:trHeight w:val="203"/>
        </w:trPr>
        <w:tc>
          <w:tcPr>
            <w:tcW w:w="280" w:type="dxa"/>
            <w:vAlign w:val="bottom"/>
          </w:tcPr>
          <w:p>
            <w:pPr>
              <w:spacing w:after="0"/>
              <w:rPr>
                <w:sz w:val="20"/>
                <w:szCs w:val="20"/>
                <w:color w:val="auto"/>
              </w:rPr>
            </w:pPr>
            <w:r>
              <w:rPr>
                <w:rFonts w:ascii="Arial" w:cs="Arial" w:eastAsia="Arial" w:hAnsi="Arial"/>
                <w:sz w:val="13"/>
                <w:szCs w:val="13"/>
                <w:color w:val="auto"/>
              </w:rPr>
              <w:t>06</w:t>
            </w:r>
            <w:r>
              <w:rPr>
                <w:rFonts w:ascii="Arial" w:cs="Arial" w:eastAsia="Arial" w:hAnsi="Arial"/>
                <w:sz w:val="17"/>
                <w:szCs w:val="17"/>
                <w:color w:val="auto"/>
              </w:rPr>
              <w:t xml:space="preserve"> </w:t>
            </w:r>
          </w:p>
        </w:tc>
        <w:tc>
          <w:tcPr>
            <w:tcW w:w="1160" w:type="dxa"/>
            <w:vAlign w:val="bottom"/>
          </w:tcPr>
          <w:p>
            <w:pPr>
              <w:ind w:left="80"/>
              <w:spacing w:after="0"/>
              <w:rPr>
                <w:sz w:val="20"/>
                <w:szCs w:val="20"/>
                <w:color w:val="auto"/>
              </w:rPr>
            </w:pPr>
            <w:r>
              <w:rPr>
                <w:rFonts w:ascii="Arial" w:cs="Arial" w:eastAsia="Arial" w:hAnsi="Arial"/>
                <w:sz w:val="13"/>
                <w:szCs w:val="13"/>
                <w:color w:val="auto"/>
              </w:rPr>
              <w:t>Victor Herrero</w:t>
            </w:r>
          </w:p>
        </w:tc>
        <w:tc>
          <w:tcPr>
            <w:tcW w:w="1400" w:type="dxa"/>
            <w:vAlign w:val="bottom"/>
            <w:gridSpan w:val="2"/>
          </w:tcPr>
          <w:p>
            <w:pPr>
              <w:ind w:left="140"/>
              <w:spacing w:after="0" w:line="202" w:lineRule="exact"/>
              <w:rPr>
                <w:sz w:val="20"/>
                <w:szCs w:val="20"/>
                <w:color w:val="auto"/>
              </w:rPr>
            </w:pPr>
            <w:r>
              <w:rPr>
                <w:rFonts w:ascii="Arial" w:cs="Arial" w:eastAsia="Arial" w:hAnsi="Arial"/>
                <w:sz w:val="17"/>
                <w:szCs w:val="17"/>
                <w:color w:val="auto"/>
                <w:vertAlign w:val="subscript"/>
              </w:rPr>
              <w:t>10</w:t>
            </w:r>
            <w:r>
              <w:rPr>
                <w:rFonts w:ascii="Arial" w:cs="Arial" w:eastAsia="Arial" w:hAnsi="Arial"/>
                <w:sz w:val="23"/>
                <w:szCs w:val="23"/>
                <w:color w:val="auto"/>
                <w:vertAlign w:val="subscript"/>
              </w:rPr>
              <w:t xml:space="preserve"> </w:t>
            </w:r>
            <w:r>
              <w:rPr>
                <w:rFonts w:ascii="Arial" w:cs="Arial" w:eastAsia="Arial" w:hAnsi="Arial"/>
                <w:sz w:val="10"/>
                <w:szCs w:val="10"/>
                <w:color w:val="auto"/>
              </w:rPr>
              <w:t xml:space="preserve"> Richard White</w:t>
            </w:r>
          </w:p>
        </w:tc>
        <w:tc>
          <w:tcPr>
            <w:tcW w:w="1900" w:type="dxa"/>
            <w:vAlign w:val="bottom"/>
          </w:tcPr>
          <w:p>
            <w:pPr>
              <w:jc w:val="center"/>
              <w:spacing w:after="0"/>
              <w:rPr>
                <w:sz w:val="20"/>
                <w:szCs w:val="20"/>
                <w:color w:val="auto"/>
              </w:rPr>
            </w:pPr>
            <w:r>
              <w:rPr>
                <w:rFonts w:ascii="Arial" w:cs="Arial" w:eastAsia="Arial" w:hAnsi="Arial"/>
                <w:sz w:val="13"/>
                <w:szCs w:val="13"/>
                <w:color w:val="auto"/>
                <w:w w:val="97"/>
              </w:rPr>
              <w:t>(except as marked)</w:t>
            </w:r>
          </w:p>
        </w:tc>
        <w:tc>
          <w:tcPr>
            <w:tcW w:w="1680" w:type="dxa"/>
            <w:vAlign w:val="bottom"/>
          </w:tcPr>
          <w:p>
            <w:pPr>
              <w:spacing w:after="0"/>
              <w:rPr>
                <w:sz w:val="17"/>
                <w:szCs w:val="17"/>
                <w:color w:val="auto"/>
              </w:rPr>
            </w:pPr>
          </w:p>
        </w:tc>
      </w:tr>
      <w:tr>
        <w:trPr>
          <w:trHeight w:val="203"/>
        </w:trPr>
        <w:tc>
          <w:tcPr>
            <w:tcW w:w="280" w:type="dxa"/>
            <w:vAlign w:val="bottom"/>
          </w:tcPr>
          <w:p>
            <w:pPr>
              <w:spacing w:after="0"/>
              <w:rPr>
                <w:sz w:val="20"/>
                <w:szCs w:val="20"/>
                <w:color w:val="auto"/>
              </w:rPr>
            </w:pPr>
            <w:r>
              <w:rPr>
                <w:rFonts w:ascii="Arial" w:cs="Arial" w:eastAsia="Arial" w:hAnsi="Arial"/>
                <w:sz w:val="13"/>
                <w:szCs w:val="13"/>
                <w:color w:val="auto"/>
              </w:rPr>
              <w:t>07</w:t>
            </w:r>
            <w:r>
              <w:rPr>
                <w:rFonts w:ascii="Arial" w:cs="Arial" w:eastAsia="Arial" w:hAnsi="Arial"/>
                <w:sz w:val="17"/>
                <w:szCs w:val="17"/>
                <w:color w:val="auto"/>
              </w:rPr>
              <w:t xml:space="preserve"> </w:t>
            </w:r>
          </w:p>
        </w:tc>
        <w:tc>
          <w:tcPr>
            <w:tcW w:w="1160" w:type="dxa"/>
            <w:vAlign w:val="bottom"/>
          </w:tcPr>
          <w:p>
            <w:pPr>
              <w:ind w:left="80"/>
              <w:spacing w:after="0"/>
              <w:rPr>
                <w:sz w:val="20"/>
                <w:szCs w:val="20"/>
                <w:color w:val="auto"/>
              </w:rPr>
            </w:pPr>
            <w:r>
              <w:rPr>
                <w:rFonts w:ascii="Arial" w:cs="Arial" w:eastAsia="Arial" w:hAnsi="Arial"/>
                <w:sz w:val="13"/>
                <w:szCs w:val="13"/>
                <w:color w:val="auto"/>
              </w:rPr>
              <w:t>Patti H. Ongman</w:t>
            </w:r>
          </w:p>
        </w:tc>
        <w:tc>
          <w:tcPr>
            <w:tcW w:w="360" w:type="dxa"/>
            <w:vAlign w:val="bottom"/>
          </w:tcPr>
          <w:p>
            <w:pPr>
              <w:ind w:left="140"/>
              <w:spacing w:after="0"/>
              <w:rPr>
                <w:sz w:val="20"/>
                <w:szCs w:val="20"/>
                <w:color w:val="auto"/>
              </w:rPr>
            </w:pPr>
            <w:r>
              <w:rPr>
                <w:rFonts w:ascii="Arial" w:cs="Arial" w:eastAsia="Arial" w:hAnsi="Arial"/>
                <w:sz w:val="13"/>
                <w:szCs w:val="13"/>
                <w:color w:val="auto"/>
              </w:rPr>
              <w:t>11</w:t>
            </w:r>
            <w:r>
              <w:rPr>
                <w:rFonts w:ascii="Arial" w:cs="Arial" w:eastAsia="Arial" w:hAnsi="Arial"/>
                <w:sz w:val="17"/>
                <w:szCs w:val="17"/>
                <w:color w:val="auto"/>
              </w:rPr>
              <w:t xml:space="preserve"> </w:t>
            </w:r>
          </w:p>
        </w:tc>
        <w:tc>
          <w:tcPr>
            <w:tcW w:w="1040" w:type="dxa"/>
            <w:vAlign w:val="bottom"/>
          </w:tcPr>
          <w:p>
            <w:pPr>
              <w:ind w:left="20"/>
              <w:spacing w:after="0"/>
              <w:rPr>
                <w:sz w:val="20"/>
                <w:szCs w:val="20"/>
                <w:color w:val="auto"/>
              </w:rPr>
            </w:pPr>
            <w:r>
              <w:rPr>
                <w:rFonts w:ascii="Arial" w:cs="Arial" w:eastAsia="Arial" w:hAnsi="Arial"/>
                <w:sz w:val="13"/>
                <w:szCs w:val="13"/>
                <w:color w:val="auto"/>
              </w:rPr>
              <w:t>Andrew Yaeger</w:t>
            </w:r>
          </w:p>
        </w:tc>
        <w:tc>
          <w:tcPr>
            <w:tcW w:w="19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39"/>
        </w:trPr>
        <w:tc>
          <w:tcPr>
            <w:tcW w:w="280" w:type="dxa"/>
            <w:vAlign w:val="bottom"/>
          </w:tcPr>
          <w:p>
            <w:pPr>
              <w:spacing w:after="0"/>
              <w:rPr>
                <w:sz w:val="20"/>
                <w:szCs w:val="20"/>
                <w:color w:val="auto"/>
              </w:rPr>
            </w:pPr>
            <w:r>
              <w:rPr>
                <w:rFonts w:ascii="Arial" w:cs="Arial" w:eastAsia="Arial" w:hAnsi="Arial"/>
                <w:sz w:val="13"/>
                <w:szCs w:val="13"/>
                <w:color w:val="auto"/>
              </w:rPr>
              <w:t>08</w:t>
            </w:r>
            <w:r>
              <w:rPr>
                <w:rFonts w:ascii="Arial" w:cs="Arial" w:eastAsia="Arial" w:hAnsi="Arial"/>
                <w:sz w:val="17"/>
                <w:szCs w:val="17"/>
                <w:color w:val="auto"/>
              </w:rPr>
              <w:t xml:space="preserve"> </w:t>
            </w:r>
          </w:p>
        </w:tc>
        <w:tc>
          <w:tcPr>
            <w:tcW w:w="1160" w:type="dxa"/>
            <w:vAlign w:val="bottom"/>
          </w:tcPr>
          <w:p>
            <w:pPr>
              <w:ind w:left="80"/>
              <w:spacing w:after="0"/>
              <w:rPr>
                <w:sz w:val="20"/>
                <w:szCs w:val="20"/>
                <w:color w:val="auto"/>
              </w:rPr>
            </w:pPr>
            <w:r>
              <w:rPr>
                <w:rFonts w:ascii="Arial" w:cs="Arial" w:eastAsia="Arial" w:hAnsi="Arial"/>
                <w:sz w:val="13"/>
                <w:szCs w:val="13"/>
                <w:color w:val="auto"/>
              </w:rPr>
              <w:t>Michael Shaffer</w:t>
            </w: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68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2">
            <w:col w:w="2800" w:space="540"/>
            <w:col w:w="6580"/>
          </w:cols>
          <w:pgMar w:left="980" w:top="513" w:right="999" w:bottom="1440" w:gutter="0" w:footer="0" w:header="0"/>
          <w:type w:val="continuous"/>
        </w:sectPr>
      </w:pPr>
    </w:p>
    <w:p>
      <w:pPr>
        <w:spacing w:after="0" w:line="171" w:lineRule="exact"/>
        <w:rPr>
          <w:sz w:val="20"/>
          <w:szCs w:val="20"/>
          <w:color w:val="auto"/>
        </w:rPr>
      </w:pPr>
    </w:p>
    <w:p>
      <w:pPr>
        <w:ind w:left="4240"/>
        <w:spacing w:after="0"/>
        <w:rPr>
          <w:sz w:val="20"/>
          <w:szCs w:val="20"/>
          <w:color w:val="auto"/>
        </w:rPr>
      </w:pPr>
      <w:r>
        <w:rPr>
          <w:rFonts w:ascii="Arial" w:cs="Arial" w:eastAsia="Arial" w:hAnsi="Arial"/>
          <w:sz w:val="18"/>
          <w:szCs w:val="18"/>
          <w:i w:val="1"/>
          <w:iCs w:val="1"/>
          <w:color w:val="auto"/>
        </w:rPr>
        <w:t>Please detach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1849120</wp:posOffset>
            </wp:positionH>
            <wp:positionV relativeFrom="paragraph">
              <wp:posOffset>-120015</wp:posOffset>
            </wp:positionV>
            <wp:extent cx="274320" cy="15430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274320" cy="154305"/>
                    </a:xfrm>
                    <a:prstGeom prst="rect">
                      <a:avLst/>
                    </a:prstGeom>
                    <a:noFill/>
                  </pic:spPr>
                </pic:pic>
              </a:graphicData>
            </a:graphic>
          </wp:anchor>
        </w:drawing>
        <w:drawing>
          <wp:anchor simplePos="0" relativeHeight="251657728" behindDoc="1" locked="0" layoutInCell="0" allowOverlap="1">
            <wp:simplePos x="0" y="0"/>
            <wp:positionH relativeFrom="column">
              <wp:posOffset>4026535</wp:posOffset>
            </wp:positionH>
            <wp:positionV relativeFrom="paragraph">
              <wp:posOffset>-120015</wp:posOffset>
            </wp:positionV>
            <wp:extent cx="265430" cy="15430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265430" cy="15430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p>
      <w:pPr>
        <w:spacing w:after="0" w:line="372" w:lineRule="exact"/>
        <w:rPr>
          <w:sz w:val="20"/>
          <w:szCs w:val="20"/>
          <w:color w:val="auto"/>
        </w:rPr>
      </w:pPr>
    </w:p>
    <w:p>
      <w:pPr>
        <w:ind w:right="880"/>
        <w:spacing w:after="0" w:line="246" w:lineRule="auto"/>
        <w:rPr>
          <w:sz w:val="20"/>
          <w:szCs w:val="20"/>
          <w:color w:val="auto"/>
        </w:rPr>
      </w:pPr>
      <w:r>
        <w:rPr>
          <w:rFonts w:ascii="Arial" w:cs="Arial" w:eastAsia="Arial" w:hAnsi="Arial"/>
          <w:sz w:val="13"/>
          <w:szCs w:val="13"/>
          <w:b w:val="1"/>
          <w:bCs w:val="1"/>
          <w:color w:val="auto"/>
        </w:rPr>
        <w:t>(Instructions: To withhold authority to vote for any indicated nominee, write the number(s) of the nominee(s) in the box provided to the right.)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721"/>
        </w:trPr>
        <w:tc>
          <w:tcPr>
            <w:tcW w:w="180" w:type="dxa"/>
            <w:vAlign w:val="bottom"/>
          </w:tcPr>
          <w:p>
            <w:pPr>
              <w:jc w:val="right"/>
              <w:ind w:right="17"/>
              <w:spacing w:after="0"/>
              <w:rPr>
                <w:sz w:val="20"/>
                <w:szCs w:val="20"/>
                <w:color w:val="auto"/>
              </w:rPr>
            </w:pPr>
            <w:r>
              <w:rPr>
                <w:rFonts w:ascii="Arial" w:cs="Arial" w:eastAsia="Arial" w:hAnsi="Arial"/>
                <w:sz w:val="13"/>
                <w:szCs w:val="13"/>
                <w:color w:val="auto"/>
                <w:w w:val="73"/>
              </w:rPr>
              <w:t>2.</w:t>
            </w:r>
          </w:p>
        </w:tc>
        <w:tc>
          <w:tcPr>
            <w:tcW w:w="4700" w:type="dxa"/>
            <w:vAlign w:val="bottom"/>
          </w:tcPr>
          <w:p>
            <w:pPr>
              <w:ind w:left="60"/>
              <w:spacing w:after="0"/>
              <w:rPr>
                <w:sz w:val="20"/>
                <w:szCs w:val="20"/>
                <w:color w:val="auto"/>
              </w:rPr>
            </w:pPr>
            <w:r>
              <w:rPr>
                <w:rFonts w:ascii="Arial" w:cs="Arial" w:eastAsia="Arial" w:hAnsi="Arial"/>
                <w:sz w:val="13"/>
                <w:szCs w:val="13"/>
                <w:color w:val="auto"/>
              </w:rPr>
              <w:t>Advisory vote to approve the compensation of named executive officers:</w:t>
            </w:r>
          </w:p>
        </w:tc>
        <w:tc>
          <w:tcPr>
            <w:tcW w:w="480" w:type="dxa"/>
            <w:vAlign w:val="bottom"/>
            <w:gridSpan w:val="2"/>
          </w:tcPr>
          <w:p>
            <w:pPr>
              <w:ind w:left="40"/>
              <w:spacing w:after="0" w:line="529" w:lineRule="exact"/>
              <w:rPr>
                <w:sz w:val="20"/>
                <w:szCs w:val="20"/>
                <w:color w:val="auto"/>
              </w:rPr>
            </w:pPr>
            <w:r>
              <w:rPr>
                <w:rFonts w:ascii="MS PGothic" w:cs="MS PGothic" w:eastAsia="MS PGothic" w:hAnsi="MS PGothic"/>
                <w:sz w:val="46"/>
                <w:szCs w:val="46"/>
                <w:color w:val="auto"/>
                <w:w w:val="83"/>
                <w:vertAlign w:val="subscript"/>
              </w:rPr>
              <w:t>☐</w:t>
            </w:r>
            <w:r>
              <w:rPr>
                <w:rFonts w:ascii="Arial" w:cs="Arial" w:eastAsia="Arial" w:hAnsi="Arial"/>
                <w:sz w:val="13"/>
                <w:szCs w:val="13"/>
                <w:color w:val="auto"/>
                <w:w w:val="83"/>
              </w:rPr>
              <w:t>For</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180" w:type="dxa"/>
            <w:vAlign w:val="bottom"/>
          </w:tcPr>
          <w:p>
            <w:pPr>
              <w:jc w:val="right"/>
              <w:ind w:right="17"/>
              <w:spacing w:after="0"/>
              <w:rPr>
                <w:sz w:val="20"/>
                <w:szCs w:val="20"/>
                <w:color w:val="auto"/>
              </w:rPr>
            </w:pPr>
            <w:r>
              <w:rPr>
                <w:rFonts w:ascii="Arial" w:cs="Arial" w:eastAsia="Arial" w:hAnsi="Arial"/>
                <w:sz w:val="13"/>
                <w:szCs w:val="13"/>
                <w:color w:val="auto"/>
                <w:w w:val="73"/>
              </w:rPr>
              <w:t>3.</w:t>
            </w:r>
          </w:p>
        </w:tc>
        <w:tc>
          <w:tcPr>
            <w:tcW w:w="4820" w:type="dxa"/>
            <w:vAlign w:val="bottom"/>
            <w:gridSpan w:val="2"/>
          </w:tcPr>
          <w:p>
            <w:pPr>
              <w:ind w:left="220"/>
              <w:spacing w:after="0"/>
              <w:rPr>
                <w:sz w:val="20"/>
                <w:szCs w:val="20"/>
                <w:color w:val="auto"/>
              </w:rPr>
            </w:pPr>
            <w:r>
              <w:rPr>
                <w:rFonts w:ascii="Arial" w:cs="Arial" w:eastAsia="Arial" w:hAnsi="Arial"/>
                <w:sz w:val="13"/>
                <w:szCs w:val="13"/>
                <w:color w:val="auto"/>
                <w:w w:val="97"/>
              </w:rPr>
              <w:t>Proposal to approve our amended 2023 Long-Term Incentive Plan to increase the</w:t>
            </w:r>
          </w:p>
        </w:tc>
        <w:tc>
          <w:tcPr>
            <w:tcW w:w="360" w:type="dxa"/>
            <w:vAlign w:val="bottom"/>
            <w:vMerge w:val="restart"/>
          </w:tcPr>
          <w:p>
            <w:pPr>
              <w:ind w:left="40"/>
              <w:spacing w:after="0" w:line="231" w:lineRule="exact"/>
              <w:rPr>
                <w:sz w:val="20"/>
                <w:szCs w:val="20"/>
                <w:color w:val="auto"/>
              </w:rPr>
            </w:pPr>
            <w:r>
              <w:rPr>
                <w:rFonts w:ascii="MS PGothic" w:cs="MS PGothic" w:eastAsia="MS PGothic" w:hAnsi="MS PGothic"/>
                <w:sz w:val="23"/>
                <w:szCs w:val="23"/>
                <w:color w:val="auto"/>
              </w:rPr>
              <w:t>☐</w:t>
            </w:r>
          </w:p>
        </w:tc>
        <w:tc>
          <w:tcPr>
            <w:tcW w:w="200" w:type="dxa"/>
            <w:vAlign w:val="bottom"/>
          </w:tcPr>
          <w:p>
            <w:pPr>
              <w:ind w:left="20"/>
              <w:spacing w:after="0"/>
              <w:rPr>
                <w:sz w:val="20"/>
                <w:szCs w:val="20"/>
                <w:color w:val="auto"/>
              </w:rPr>
            </w:pPr>
            <w:r>
              <w:rPr>
                <w:rFonts w:ascii="Arial" w:cs="Arial" w:eastAsia="Arial" w:hAnsi="Arial"/>
                <w:sz w:val="13"/>
                <w:szCs w:val="13"/>
                <w:color w:val="auto"/>
                <w:w w:val="81"/>
              </w:rPr>
              <w:t>For</w:t>
            </w:r>
          </w:p>
        </w:tc>
        <w:tc>
          <w:tcPr>
            <w:tcW w:w="0" w:type="dxa"/>
            <w:vAlign w:val="bottom"/>
          </w:tcPr>
          <w:p>
            <w:pPr>
              <w:spacing w:after="0"/>
              <w:rPr>
                <w:sz w:val="1"/>
                <w:szCs w:val="1"/>
                <w:color w:val="auto"/>
              </w:rPr>
            </w:pPr>
          </w:p>
        </w:tc>
      </w:tr>
      <w:tr>
        <w:trPr>
          <w:trHeight w:val="135"/>
        </w:trPr>
        <w:tc>
          <w:tcPr>
            <w:tcW w:w="180" w:type="dxa"/>
            <w:vAlign w:val="bottom"/>
          </w:tcPr>
          <w:p>
            <w:pPr>
              <w:spacing w:after="0"/>
              <w:rPr>
                <w:sz w:val="11"/>
                <w:szCs w:val="11"/>
                <w:color w:val="auto"/>
              </w:rPr>
            </w:pPr>
          </w:p>
        </w:tc>
        <w:tc>
          <w:tcPr>
            <w:tcW w:w="4700" w:type="dxa"/>
            <w:vAlign w:val="bottom"/>
          </w:tcPr>
          <w:p>
            <w:pPr>
              <w:ind w:left="220"/>
              <w:spacing w:after="0" w:line="135" w:lineRule="exact"/>
              <w:rPr>
                <w:sz w:val="20"/>
                <w:szCs w:val="20"/>
                <w:color w:val="auto"/>
              </w:rPr>
            </w:pPr>
            <w:r>
              <w:rPr>
                <w:rFonts w:ascii="Arial" w:cs="Arial" w:eastAsia="Arial" w:hAnsi="Arial"/>
                <w:sz w:val="13"/>
                <w:szCs w:val="13"/>
                <w:color w:val="auto"/>
                <w:w w:val="97"/>
              </w:rPr>
              <w:t>number of shares of common stock authorized for grant and issuance under the</w:t>
            </w:r>
          </w:p>
        </w:tc>
        <w:tc>
          <w:tcPr>
            <w:tcW w:w="120" w:type="dxa"/>
            <w:vAlign w:val="bottom"/>
          </w:tcPr>
          <w:p>
            <w:pPr>
              <w:spacing w:after="0"/>
              <w:rPr>
                <w:sz w:val="11"/>
                <w:szCs w:val="11"/>
                <w:color w:val="auto"/>
              </w:rPr>
            </w:pPr>
          </w:p>
        </w:tc>
        <w:tc>
          <w:tcPr>
            <w:tcW w:w="3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180" w:type="dxa"/>
            <w:vAlign w:val="bottom"/>
          </w:tcPr>
          <w:p>
            <w:pPr>
              <w:spacing w:after="0"/>
              <w:rPr>
                <w:sz w:val="14"/>
                <w:szCs w:val="14"/>
                <w:color w:val="auto"/>
              </w:rPr>
            </w:pPr>
          </w:p>
        </w:tc>
        <w:tc>
          <w:tcPr>
            <w:tcW w:w="4700" w:type="dxa"/>
            <w:vAlign w:val="bottom"/>
          </w:tcPr>
          <w:p>
            <w:pPr>
              <w:ind w:left="220"/>
              <w:spacing w:after="0"/>
              <w:rPr>
                <w:sz w:val="20"/>
                <w:szCs w:val="20"/>
                <w:color w:val="auto"/>
              </w:rPr>
            </w:pPr>
            <w:r>
              <w:rPr>
                <w:rFonts w:ascii="Arial" w:cs="Arial" w:eastAsia="Arial" w:hAnsi="Arial"/>
                <w:sz w:val="13"/>
                <w:szCs w:val="13"/>
                <w:color w:val="auto"/>
              </w:rPr>
              <w:t>Plan by 2,500,000 shares:</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70"/>
        </w:trPr>
        <w:tc>
          <w:tcPr>
            <w:tcW w:w="180" w:type="dxa"/>
            <w:vAlign w:val="bottom"/>
          </w:tcPr>
          <w:p>
            <w:pPr>
              <w:jc w:val="right"/>
              <w:ind w:right="17"/>
              <w:spacing w:after="0"/>
              <w:rPr>
                <w:sz w:val="20"/>
                <w:szCs w:val="20"/>
                <w:color w:val="auto"/>
              </w:rPr>
            </w:pPr>
            <w:r>
              <w:rPr>
                <w:rFonts w:ascii="Arial" w:cs="Arial" w:eastAsia="Arial" w:hAnsi="Arial"/>
                <w:sz w:val="13"/>
                <w:szCs w:val="13"/>
                <w:color w:val="auto"/>
                <w:w w:val="73"/>
              </w:rPr>
              <w:t>4.</w:t>
            </w:r>
          </w:p>
        </w:tc>
        <w:tc>
          <w:tcPr>
            <w:tcW w:w="4700" w:type="dxa"/>
            <w:vAlign w:val="bottom"/>
          </w:tcPr>
          <w:p>
            <w:pPr>
              <w:ind w:left="220"/>
              <w:spacing w:after="0"/>
              <w:rPr>
                <w:sz w:val="20"/>
                <w:szCs w:val="20"/>
                <w:color w:val="auto"/>
              </w:rPr>
            </w:pPr>
            <w:r>
              <w:rPr>
                <w:rFonts w:ascii="Arial" w:cs="Arial" w:eastAsia="Arial" w:hAnsi="Arial"/>
                <w:sz w:val="13"/>
                <w:szCs w:val="13"/>
                <w:color w:val="auto"/>
              </w:rPr>
              <w:t>Proposal to ratify the appointment of Ernst &amp; Young LLP:</w:t>
            </w:r>
          </w:p>
        </w:tc>
        <w:tc>
          <w:tcPr>
            <w:tcW w:w="120" w:type="dxa"/>
            <w:vAlign w:val="bottom"/>
          </w:tcPr>
          <w:p>
            <w:pPr>
              <w:spacing w:after="0"/>
              <w:rPr>
                <w:sz w:val="24"/>
                <w:szCs w:val="24"/>
                <w:color w:val="auto"/>
              </w:rPr>
            </w:pPr>
          </w:p>
        </w:tc>
        <w:tc>
          <w:tcPr>
            <w:tcW w:w="560" w:type="dxa"/>
            <w:vAlign w:val="bottom"/>
            <w:gridSpan w:val="2"/>
          </w:tcPr>
          <w:p>
            <w:pPr>
              <w:ind w:left="40"/>
              <w:spacing w:after="0" w:line="529" w:lineRule="exact"/>
              <w:rPr>
                <w:sz w:val="20"/>
                <w:szCs w:val="20"/>
                <w:color w:val="auto"/>
              </w:rPr>
            </w:pPr>
            <w:r>
              <w:rPr>
                <w:rFonts w:ascii="MS PGothic" w:cs="MS PGothic" w:eastAsia="MS PGothic" w:hAnsi="MS PGothic"/>
                <w:sz w:val="46"/>
                <w:szCs w:val="46"/>
                <w:color w:val="auto"/>
                <w:w w:val="92"/>
                <w:vertAlign w:val="subscript"/>
              </w:rPr>
              <w:t>☐</w:t>
            </w:r>
            <w:r>
              <w:rPr>
                <w:rFonts w:ascii="Arial" w:cs="Arial" w:eastAsia="Arial" w:hAnsi="Arial"/>
                <w:sz w:val="13"/>
                <w:szCs w:val="13"/>
                <w:color w:val="auto"/>
                <w:w w:val="92"/>
              </w:rPr>
              <w:t xml:space="preserve"> For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7" w:lineRule="exact"/>
        <w:rPr>
          <w:sz w:val="20"/>
          <w:szCs w:val="20"/>
          <w:color w:val="auto"/>
        </w:rPr>
      </w:pPr>
    </w:p>
    <w:p>
      <w:pPr>
        <w:spacing w:after="0" w:line="529" w:lineRule="exact"/>
        <w:tabs>
          <w:tab w:leader="none" w:pos="1940" w:val="left"/>
        </w:tabs>
        <w:rPr>
          <w:sz w:val="20"/>
          <w:szCs w:val="20"/>
          <w:color w:val="auto"/>
        </w:rPr>
      </w:pPr>
      <w:r>
        <w:rPr>
          <w:rFonts w:ascii="MS PGothic" w:cs="MS PGothic" w:eastAsia="MS PGothic" w:hAnsi="MS PGothic"/>
          <w:sz w:val="46"/>
          <w:szCs w:val="46"/>
          <w:color w:val="auto"/>
          <w:vertAlign w:val="subscript"/>
        </w:rPr>
        <w:t>☐</w:t>
      </w:r>
      <w:r>
        <w:rPr>
          <w:rFonts w:ascii="Arial" w:cs="Arial" w:eastAsia="Arial" w:hAnsi="Arial"/>
          <w:sz w:val="13"/>
          <w:szCs w:val="13"/>
          <w:color w:val="auto"/>
        </w:rPr>
        <w:t>Against</w:t>
      </w:r>
      <w:r>
        <w:rPr>
          <w:sz w:val="20"/>
          <w:szCs w:val="20"/>
          <w:color w:val="auto"/>
        </w:rPr>
        <w:tab/>
      </w:r>
      <w:r>
        <w:rPr>
          <w:rFonts w:ascii="MS PGothic" w:cs="MS PGothic" w:eastAsia="MS PGothic" w:hAnsi="MS PGothic"/>
          <w:sz w:val="42"/>
          <w:szCs w:val="42"/>
          <w:color w:val="auto"/>
          <w:vertAlign w:val="subscript"/>
        </w:rPr>
        <w:t>☐</w:t>
      </w:r>
      <w:r>
        <w:rPr>
          <w:rFonts w:ascii="Arial" w:cs="Arial" w:eastAsia="Arial" w:hAnsi="Arial"/>
          <w:sz w:val="11"/>
          <w:szCs w:val="11"/>
          <w:color w:val="auto"/>
        </w:rPr>
        <w:t>Abstain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-744855</wp:posOffset>
            </wp:positionH>
            <wp:positionV relativeFrom="paragraph">
              <wp:posOffset>-434975</wp:posOffset>
            </wp:positionV>
            <wp:extent cx="3025775" cy="17970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3025775" cy="179705"/>
                    </a:xfrm>
                    <a:prstGeom prst="rect">
                      <a:avLst/>
                    </a:prstGeom>
                    <a:noFill/>
                  </pic:spPr>
                </pic:pic>
              </a:graphicData>
            </a:graphic>
          </wp:anchor>
        </w:drawing>
      </w:r>
    </w:p>
    <w:p>
      <w:pPr>
        <w:spacing w:after="0" w:line="172" w:lineRule="exact"/>
        <w:rPr>
          <w:sz w:val="20"/>
          <w:szCs w:val="20"/>
          <w:color w:val="auto"/>
        </w:rPr>
      </w:pPr>
    </w:p>
    <w:p>
      <w:pPr>
        <w:ind w:left="120"/>
        <w:spacing w:after="0" w:line="529" w:lineRule="exact"/>
        <w:tabs>
          <w:tab w:leader="none" w:pos="1940" w:val="left"/>
        </w:tabs>
        <w:rPr>
          <w:sz w:val="20"/>
          <w:szCs w:val="20"/>
          <w:color w:val="auto"/>
        </w:rPr>
      </w:pPr>
      <w:r>
        <w:rPr>
          <w:rFonts w:ascii="MS PGothic" w:cs="MS PGothic" w:eastAsia="MS PGothic" w:hAnsi="MS PGothic"/>
          <w:sz w:val="46"/>
          <w:szCs w:val="46"/>
          <w:color w:val="auto"/>
          <w:vertAlign w:val="subscript"/>
        </w:rPr>
        <w:t>☐</w:t>
      </w:r>
      <w:r>
        <w:rPr>
          <w:rFonts w:ascii="Arial" w:cs="Arial" w:eastAsia="Arial" w:hAnsi="Arial"/>
          <w:sz w:val="13"/>
          <w:szCs w:val="13"/>
          <w:color w:val="auto"/>
        </w:rPr>
        <w:t xml:space="preserve"> Against</w:t>
      </w:r>
      <w:r>
        <w:rPr>
          <w:sz w:val="20"/>
          <w:szCs w:val="20"/>
          <w:color w:val="auto"/>
        </w:rPr>
        <w:tab/>
      </w:r>
      <w:r>
        <w:rPr>
          <w:rFonts w:ascii="MS PGothic" w:cs="MS PGothic" w:eastAsia="MS PGothic" w:hAnsi="MS PGothic"/>
          <w:sz w:val="42"/>
          <w:szCs w:val="42"/>
          <w:color w:val="auto"/>
          <w:vertAlign w:val="subscript"/>
        </w:rPr>
        <w:t>☐</w:t>
      </w:r>
      <w:r>
        <w:rPr>
          <w:rFonts w:ascii="Arial" w:cs="Arial" w:eastAsia="Arial" w:hAnsi="Arial"/>
          <w:sz w:val="11"/>
          <w:szCs w:val="11"/>
          <w:color w:val="auto"/>
        </w:rPr>
        <w:t>Abstain</w:t>
      </w:r>
    </w:p>
    <w:p>
      <w:pPr>
        <w:spacing w:after="0" w:line="119" w:lineRule="exact"/>
        <w:rPr>
          <w:sz w:val="20"/>
          <w:szCs w:val="20"/>
          <w:color w:val="auto"/>
        </w:rPr>
      </w:pPr>
    </w:p>
    <w:p>
      <w:pPr>
        <w:ind w:left="120"/>
        <w:spacing w:after="0" w:line="529" w:lineRule="exact"/>
        <w:tabs>
          <w:tab w:leader="none" w:pos="1940" w:val="left"/>
        </w:tabs>
        <w:rPr>
          <w:sz w:val="20"/>
          <w:szCs w:val="20"/>
          <w:color w:val="auto"/>
        </w:rPr>
      </w:pPr>
      <w:r>
        <w:rPr>
          <w:rFonts w:ascii="MS PGothic" w:cs="MS PGothic" w:eastAsia="MS PGothic" w:hAnsi="MS PGothic"/>
          <w:sz w:val="46"/>
          <w:szCs w:val="46"/>
          <w:color w:val="auto"/>
          <w:vertAlign w:val="subscript"/>
        </w:rPr>
        <w:t>☐</w:t>
      </w:r>
      <w:r>
        <w:rPr>
          <w:rFonts w:ascii="Arial" w:cs="Arial" w:eastAsia="Arial" w:hAnsi="Arial"/>
          <w:sz w:val="13"/>
          <w:szCs w:val="13"/>
          <w:color w:val="auto"/>
        </w:rPr>
        <w:t xml:space="preserve"> Against</w:t>
      </w:r>
      <w:r>
        <w:rPr>
          <w:sz w:val="20"/>
          <w:szCs w:val="20"/>
          <w:color w:val="auto"/>
        </w:rPr>
        <w:tab/>
      </w:r>
      <w:r>
        <w:rPr>
          <w:rFonts w:ascii="MS PGothic" w:cs="MS PGothic" w:eastAsia="MS PGothic" w:hAnsi="MS PGothic"/>
          <w:sz w:val="42"/>
          <w:szCs w:val="42"/>
          <w:color w:val="auto"/>
          <w:vertAlign w:val="subscript"/>
        </w:rPr>
        <w:t>☐</w:t>
      </w:r>
      <w:r>
        <w:rPr>
          <w:rFonts w:ascii="Arial" w:cs="Arial" w:eastAsia="Arial" w:hAnsi="Arial"/>
          <w:sz w:val="11"/>
          <w:szCs w:val="11"/>
          <w:color w:val="auto"/>
        </w:rPr>
        <w:t>Abstain</w:t>
      </w:r>
    </w:p>
    <w:p>
      <w:pPr>
        <w:spacing w:after="0" w:line="235" w:lineRule="exact"/>
        <w:rPr>
          <w:sz w:val="20"/>
          <w:szCs w:val="20"/>
          <w:color w:val="auto"/>
        </w:rPr>
      </w:pPr>
    </w:p>
    <w:p>
      <w:pPr>
        <w:sectPr>
          <w:pgSz w:w="11900" w:h="16838" w:orient="portrait"/>
          <w:cols w:equalWidth="0" w:num="2">
            <w:col w:w="5620" w:space="720"/>
            <w:col w:w="3580"/>
          </w:cols>
          <w:pgMar w:left="980" w:top="513" w:right="999" w:bottom="1440" w:gutter="0" w:footer="0" w:header="0"/>
          <w:type w:val="continuous"/>
        </w:sectPr>
      </w:pPr>
    </w:p>
    <w:p>
      <w:pPr>
        <w:spacing w:after="0"/>
        <w:rPr>
          <w:sz w:val="20"/>
          <w:szCs w:val="20"/>
          <w:color w:val="auto"/>
        </w:rPr>
      </w:pPr>
      <w:r>
        <w:rPr>
          <w:rFonts w:ascii="Arial" w:cs="Arial" w:eastAsia="Arial" w:hAnsi="Arial"/>
          <w:sz w:val="13"/>
          <w:szCs w:val="13"/>
          <w:color w:val="auto"/>
        </w:rPr>
        <w:t>5. In their discretion upon such other business as may properly come before the meeting and any and all adjournments and postponements thereof.</w:t>
      </w:r>
    </w:p>
    <w:p>
      <w:pPr>
        <w:spacing w:after="0" w:line="109" w:lineRule="exact"/>
        <w:rPr>
          <w:sz w:val="20"/>
          <w:szCs w:val="20"/>
          <w:color w:val="auto"/>
        </w:rPr>
      </w:pPr>
    </w:p>
    <w:p>
      <w:pPr>
        <w:jc w:val="both"/>
        <w:ind w:right="20"/>
        <w:spacing w:after="0" w:line="233" w:lineRule="auto"/>
        <w:rPr>
          <w:sz w:val="20"/>
          <w:szCs w:val="20"/>
          <w:color w:val="auto"/>
        </w:rPr>
      </w:pPr>
      <w:r>
        <w:rPr>
          <w:rFonts w:ascii="Arial" w:cs="Arial" w:eastAsia="Arial" w:hAnsi="Arial"/>
          <w:sz w:val="13"/>
          <w:szCs w:val="13"/>
          <w:color w:val="auto"/>
        </w:rPr>
        <w:t xml:space="preserve">Shares represented by this Proxy will be voted in accordance with the instructions indicated in items 1, 2, 3 and 4. </w:t>
      </w:r>
      <w:r>
        <w:rPr>
          <w:rFonts w:ascii="Arial" w:cs="Arial" w:eastAsia="Arial" w:hAnsi="Arial"/>
          <w:sz w:val="13"/>
          <w:szCs w:val="13"/>
          <w:b w:val="1"/>
          <w:bCs w:val="1"/>
          <w:color w:val="auto"/>
        </w:rPr>
        <w:t>If no instruction is indicated, this Proxy will be voted FOR</w:t>
      </w:r>
      <w:r>
        <w:rPr>
          <w:rFonts w:ascii="Arial" w:cs="Arial" w:eastAsia="Arial" w:hAnsi="Arial"/>
          <w:sz w:val="13"/>
          <w:szCs w:val="13"/>
          <w:color w:val="auto"/>
        </w:rPr>
        <w:t xml:space="preserve"> </w:t>
      </w:r>
      <w:r>
        <w:rPr>
          <w:rFonts w:ascii="Arial" w:cs="Arial" w:eastAsia="Arial" w:hAnsi="Arial"/>
          <w:sz w:val="13"/>
          <w:szCs w:val="13"/>
          <w:b w:val="1"/>
          <w:bCs w:val="1"/>
          <w:color w:val="auto"/>
        </w:rPr>
        <w:t xml:space="preserve">all listed nominees for directors in Proposal No. 1, FOR Proposal No. 2, FOR Proposal No. 3 and FOR Proposal No. 4. </w:t>
      </w:r>
      <w:r>
        <w:rPr>
          <w:rFonts w:ascii="Arial" w:cs="Arial" w:eastAsia="Arial" w:hAnsi="Arial"/>
          <w:sz w:val="13"/>
          <w:szCs w:val="13"/>
          <w:color w:val="auto"/>
        </w:rPr>
        <w:t>Any and all proxies heretofore given by the</w:t>
      </w:r>
      <w:r>
        <w:rPr>
          <w:rFonts w:ascii="Arial" w:cs="Arial" w:eastAsia="Arial" w:hAnsi="Arial"/>
          <w:sz w:val="13"/>
          <w:szCs w:val="13"/>
          <w:b w:val="1"/>
          <w:bCs w:val="1"/>
          <w:color w:val="auto"/>
        </w:rPr>
        <w:t xml:space="preserve"> </w:t>
      </w:r>
      <w:r>
        <w:rPr>
          <w:rFonts w:ascii="Arial" w:cs="Arial" w:eastAsia="Arial" w:hAnsi="Arial"/>
          <w:sz w:val="13"/>
          <w:szCs w:val="13"/>
          <w:color w:val="auto"/>
        </w:rPr>
        <w:t>undersigned are hereby revoked.</w:t>
      </w:r>
    </w:p>
    <w:p>
      <w:pPr>
        <w:spacing w:after="0" w:line="21" w:lineRule="exact"/>
        <w:rPr>
          <w:sz w:val="20"/>
          <w:szCs w:val="20"/>
          <w:color w:val="auto"/>
        </w:rPr>
      </w:pPr>
    </w:p>
    <w:p>
      <w:pPr>
        <w:spacing w:after="0"/>
        <w:tabs>
          <w:tab w:leader="none" w:pos="7140" w:val="left"/>
        </w:tabs>
        <w:rPr>
          <w:sz w:val="20"/>
          <w:szCs w:val="20"/>
          <w:color w:val="auto"/>
        </w:rPr>
      </w:pPr>
      <w:r>
        <w:rPr>
          <w:rFonts w:ascii="Arial" w:cs="Arial" w:eastAsia="Arial" w:hAnsi="Arial"/>
          <w:sz w:val="29"/>
          <w:szCs w:val="29"/>
          <w:color w:val="auto"/>
          <w:vertAlign w:val="subscript"/>
        </w:rPr>
        <w:t>Date</w:t>
      </w:r>
      <w:r>
        <w:rPr>
          <w:sz w:val="20"/>
          <w:szCs w:val="20"/>
          <w:color w:val="auto"/>
        </w:rPr>
        <w:tab/>
      </w:r>
      <w:r>
        <w:rPr>
          <w:rFonts w:ascii="Arial" w:cs="Arial" w:eastAsia="Arial" w:hAnsi="Arial"/>
          <w:sz w:val="13"/>
          <w:szCs w:val="13"/>
          <w:color w:val="auto"/>
        </w:rPr>
        <w:t>Signature(s) in 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528955</wp:posOffset>
            </wp:positionH>
            <wp:positionV relativeFrom="paragraph">
              <wp:posOffset>127635</wp:posOffset>
            </wp:positionV>
            <wp:extent cx="236601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311" w:lineRule="exact"/>
        <w:rPr>
          <w:sz w:val="20"/>
          <w:szCs w:val="20"/>
          <w:color w:val="auto"/>
        </w:rPr>
      </w:pPr>
    </w:p>
    <w:p>
      <w:pPr>
        <w:ind w:left="5380"/>
        <w:spacing w:after="0"/>
        <w:rPr>
          <w:sz w:val="20"/>
          <w:szCs w:val="20"/>
          <w:color w:val="auto"/>
        </w:rPr>
      </w:pPr>
      <w:r>
        <w:rPr>
          <w:rFonts w:ascii="Arial" w:cs="Arial" w:eastAsia="Arial" w:hAnsi="Arial"/>
          <w:sz w:val="12"/>
          <w:szCs w:val="12"/>
          <w:color w:val="auto"/>
        </w:rPr>
        <w:t>Please sign exactly as your name(s) appear hereon. If shares are held by two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-75565</wp:posOffset>
            </wp:positionV>
            <wp:extent cx="3206115" cy="20574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3206115" cy="205740"/>
                    </a:xfrm>
                    <a:prstGeom prst="rect">
                      <a:avLst/>
                    </a:prstGeom>
                    <a:noFill/>
                  </pic:spPr>
                </pic:pic>
              </a:graphicData>
            </a:graphic>
          </wp:anchor>
        </w:drawing>
      </w:r>
    </w:p>
    <w:p>
      <w:pPr>
        <w:ind w:left="5380"/>
        <w:spacing w:after="0"/>
        <w:rPr>
          <w:sz w:val="20"/>
          <w:szCs w:val="20"/>
          <w:color w:val="auto"/>
        </w:rPr>
      </w:pPr>
      <w:r>
        <w:rPr>
          <w:rFonts w:ascii="Arial" w:cs="Arial" w:eastAsia="Arial" w:hAnsi="Arial"/>
          <w:sz w:val="12"/>
          <w:szCs w:val="12"/>
          <w:color w:val="auto"/>
        </w:rPr>
        <w:t>more persons each should sign. Trustees, executors and other fiduciaries should</w:t>
      </w:r>
    </w:p>
    <w:p>
      <w:pPr>
        <w:ind w:left="5380"/>
        <w:spacing w:after="0" w:line="234" w:lineRule="auto"/>
        <w:rPr>
          <w:sz w:val="20"/>
          <w:szCs w:val="20"/>
          <w:color w:val="auto"/>
        </w:rPr>
      </w:pPr>
      <w:r>
        <w:rPr>
          <w:rFonts w:ascii="Arial" w:cs="Arial" w:eastAsia="Arial" w:hAnsi="Arial"/>
          <w:sz w:val="12"/>
          <w:szCs w:val="12"/>
          <w:color w:val="auto"/>
        </w:rPr>
        <w:t>indicate their capacity. Shares held by corporations, partnerships, associations,</w:t>
      </w:r>
    </w:p>
    <w:p>
      <w:pPr>
        <w:ind w:left="5380"/>
        <w:spacing w:after="0"/>
        <w:rPr>
          <w:sz w:val="20"/>
          <w:szCs w:val="20"/>
          <w:color w:val="auto"/>
        </w:rPr>
      </w:pPr>
      <w:r>
        <w:rPr>
          <w:rFonts w:ascii="Arial" w:cs="Arial" w:eastAsia="Arial" w:hAnsi="Arial"/>
          <w:sz w:val="13"/>
          <w:szCs w:val="13"/>
          <w:color w:val="auto"/>
        </w:rPr>
        <w:t>etc. should be signed by an authorized person, giving full title or authority.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680085</wp:posOffset>
            </wp:positionV>
            <wp:extent cx="6292215" cy="171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G-III APPAREL GROUP, LTD.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MEETING OF STOCKHOLDERS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Thursday, June 11, 2026</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10:00 a.m. (ET)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tabs>
          <w:tab w:leader="none" w:pos="9020" w:val="left"/>
        </w:tabs>
        <w:rPr>
          <w:sz w:val="20"/>
          <w:szCs w:val="20"/>
          <w:color w:val="auto"/>
        </w:rPr>
      </w:pPr>
      <w:r>
        <w:rPr>
          <w:rFonts w:ascii="Arial" w:cs="Arial" w:eastAsia="Arial" w:hAnsi="Arial"/>
          <w:sz w:val="18"/>
          <w:szCs w:val="18"/>
          <w:b w:val="1"/>
          <w:bCs w:val="1"/>
          <w:color w:val="auto"/>
        </w:rPr>
        <w:t>G-III Apparel Group, Ltd.</w:t>
      </w:r>
      <w:r>
        <w:rPr>
          <w:sz w:val="20"/>
          <w:szCs w:val="20"/>
          <w:color w:val="auto"/>
        </w:rPr>
        <w:tab/>
      </w:r>
      <w:r>
        <w:rPr>
          <w:rFonts w:ascii="Arial" w:cs="Arial" w:eastAsia="Arial" w:hAnsi="Arial"/>
          <w:sz w:val="32"/>
          <w:szCs w:val="32"/>
          <w:b w:val="1"/>
          <w:bCs w:val="1"/>
          <w:color w:val="auto"/>
        </w:rPr>
        <w:t>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25400</wp:posOffset>
            </wp:positionV>
            <wp:extent cx="6292215"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Proxy Is Solicited By The Board of Directors For The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Meeting of Stockholders To Be Held On June 11, 2026.</w:t>
      </w:r>
    </w:p>
    <w:p>
      <w:pPr>
        <w:spacing w:after="0" w:line="19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undersigned, a stockholder of G-III Apparel Group, Ltd. (the “Corporation”), hereby constitutes and appoints Morris Goldfarb and Neal S. Nackman and each of them, the true and lawful proxies and attorneys-in-fact of the undersigned, with full power of substitution in each of them, to vote all shares of Common Stock of the Corporation which the undersigned is entitled to vote at the Annual Meeting of Stockholders of the Corporation to be held on Thursday, June 11, 2026, and at any and all adjournments or postponements thereof,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reverse for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822325</wp:posOffset>
            </wp:positionV>
            <wp:extent cx="6292215" cy="171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sectPr>
      <w:pgSz w:w="11900" w:h="16838" w:orient="portrait"/>
      <w:cols w:equalWidth="0" w:num="1">
        <w:col w:w="9920"/>
      </w:cols>
      <w:pgMar w:left="980" w:top="513"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81"/>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233C99"/>
    <w:multiLevelType w:val="hybridMultilevel"/>
    <w:lvl w:ilvl="0">
      <w:lvlJc w:val="left"/>
      <w:lvlText w:val="☐"/>
      <w:numFmt w:val="bullet"/>
      <w:start w:val="1"/>
    </w:lvl>
  </w:abstractNum>
  <w:abstractNum w:abstractNumId="1">
    <w:nsid w:val="3F6AB60F"/>
    <w:multiLevelType w:val="hybridMultilevel"/>
    <w:lvl w:ilvl="0">
      <w:lvlJc w:val="left"/>
      <w:lvlText w:val="⌧"/>
      <w:numFmt w:val="bullet"/>
      <w:start w:val="1"/>
    </w:lvl>
  </w:abstractNum>
  <w:abstractNum w:abstractNumId="2">
    <w:nsid w:val="61574095"/>
    <w:multiLevelType w:val="hybridMultilevel"/>
    <w:lvl w:ilvl="0">
      <w:lvlJc w:val="left"/>
      <w:lvlText w:val="☐"/>
      <w:numFmt w:val="bullet"/>
      <w:start w:val="1"/>
    </w:lvl>
  </w:abstractNum>
  <w:abstractNum w:abstractNumId="3">
    <w:nsid w:val="7E0C57B1"/>
    <w:multiLevelType w:val="hybridMultilevel"/>
    <w:lvl w:ilvl="0">
      <w:lvlJc w:val="left"/>
      <w:lvlText w:val="3"/>
      <w:numFmt w:val="bullet"/>
      <w:start w:val="1"/>
    </w:lvl>
  </w:abstractNum>
  <w:abstractNum w:abstractNumId="4">
    <w:nsid w:val="77AE35EB"/>
    <w:multiLevelType w:val="hybridMultilevel"/>
    <w:lvl w:ilvl="0">
      <w:lvlJc w:val="left"/>
      <w:lvlText w:val="4"/>
      <w:numFmt w:val="bullet"/>
      <w:start w:val="1"/>
    </w:lvl>
  </w:abstractNum>
  <w:abstractNum w:abstractNumId="5">
    <w:nsid w:val="579BE4F1"/>
    <w:multiLevelType w:val="hybridMultilevel"/>
    <w:lvl w:ilvl="0">
      <w:lvlJc w:val="left"/>
      <w:lvlText w:val="3"/>
      <w:numFmt w:val="bullet"/>
      <w:start w:val="1"/>
    </w:lvl>
  </w:abstractNum>
  <w:abstractNum w:abstractNumId="6">
    <w:nsid w:val="310C50B3"/>
    <w:multiLevelType w:val="hybridMultilevel"/>
    <w:lvl w:ilvl="0">
      <w:lvlJc w:val="left"/>
      <w:lvlText w:val="4"/>
      <w:numFmt w:val="bullet"/>
      <w:start w:val="1"/>
    </w:lvl>
  </w:abstractNum>
  <w:abstractNum w:abstractNumId="7">
    <w:nsid w:val="5FF87E05"/>
    <w:multiLevelType w:val="hybridMultilevel"/>
    <w:lvl w:ilvl="0">
      <w:lvlJc w:val="left"/>
      <w:lvlText w:val="5"/>
      <w:numFmt w:val="bullet"/>
      <w:start w:val="1"/>
    </w:lvl>
  </w:abstractNum>
  <w:abstractNum w:abstractNumId="8">
    <w:nsid w:val="2F305DEF"/>
    <w:multiLevelType w:val="hybridMultilevel"/>
    <w:lvl w:ilvl="0">
      <w:lvlJc w:val="left"/>
      <w:lvlText w:val="1"/>
      <w:numFmt w:val="bullet"/>
      <w:start w:val="1"/>
    </w:lvl>
  </w:abstractNum>
  <w:abstractNum w:abstractNumId="9">
    <w:nsid w:val="25A70BF7"/>
    <w:multiLevelType w:val="hybridMultilevel"/>
    <w:lvl w:ilvl="0">
      <w:lvlJc w:val="left"/>
      <w:lvlText w:val="4"/>
      <w:numFmt w:val="bullet"/>
      <w:start w:val="1"/>
    </w:lvl>
  </w:abstractNum>
  <w:abstractNum w:abstractNumId="10">
    <w:nsid w:val="1DBABF00"/>
    <w:multiLevelType w:val="hybridMultilevel"/>
    <w:lvl w:ilvl="0">
      <w:lvlJc w:val="left"/>
      <w:lvlText w:val="5"/>
      <w:numFmt w:val="bullet"/>
      <w:start w:val="1"/>
    </w:lvl>
  </w:abstractNum>
  <w:abstractNum w:abstractNumId="11">
    <w:nsid w:val="4AD084E9"/>
    <w:multiLevelType w:val="hybridMultilevel"/>
    <w:lvl w:ilvl="0">
      <w:lvlJc w:val="left"/>
      <w:lvlText w:val="8"/>
      <w:numFmt w:val="bullet"/>
      <w:start w:val="1"/>
    </w:lvl>
  </w:abstractNum>
  <w:abstractNum w:abstractNumId="12">
    <w:nsid w:val="1F48EAA1"/>
    <w:multiLevelType w:val="hybridMultilevel"/>
    <w:lvl w:ilvl="0">
      <w:lvlJc w:val="left"/>
      <w:lvlText w:val="%1"/>
      <w:numFmt w:val="decimal"/>
      <w:start w:val="12"/>
    </w:lvl>
  </w:abstractNum>
  <w:abstractNum w:abstractNumId="13">
    <w:nsid w:val="1381823A"/>
    <w:multiLevelType w:val="hybridMultilevel"/>
    <w:lvl w:ilvl="0">
      <w:lvlJc w:val="left"/>
      <w:lvlText w:val="%1"/>
      <w:numFmt w:val="decimal"/>
      <w:start w:val="17"/>
    </w:lvl>
  </w:abstractNum>
  <w:abstractNum w:abstractNumId="14">
    <w:nsid w:val="5DB70AE5"/>
    <w:multiLevelType w:val="hybridMultilevel"/>
    <w:lvl w:ilvl="0">
      <w:lvlJc w:val="left"/>
      <w:lvlText w:val="%1"/>
      <w:numFmt w:val="decimal"/>
      <w:start w:val="17"/>
    </w:lvl>
  </w:abstractNum>
  <w:abstractNum w:abstractNumId="15">
    <w:nsid w:val="100F8FCA"/>
    <w:multiLevelType w:val="hybridMultilevel"/>
    <w:lvl w:ilvl="0">
      <w:lvlJc w:val="left"/>
      <w:lvlText w:val="%1"/>
      <w:numFmt w:val="decimal"/>
      <w:start w:val="17"/>
    </w:lvl>
  </w:abstractNum>
  <w:abstractNum w:abstractNumId="16">
    <w:nsid w:val="6590700B"/>
    <w:multiLevelType w:val="hybridMultilevel"/>
    <w:lvl w:ilvl="0">
      <w:lvlJc w:val="left"/>
      <w:lvlText w:val="%1"/>
      <w:numFmt w:val="decimal"/>
      <w:start w:val="21"/>
    </w:lvl>
  </w:abstractNum>
  <w:abstractNum w:abstractNumId="17">
    <w:nsid w:val="15014ACB"/>
    <w:multiLevelType w:val="hybridMultilevel"/>
    <w:lvl w:ilvl="0">
      <w:lvlJc w:val="left"/>
      <w:lvlText w:val="​​"/>
      <w:numFmt w:val="bullet"/>
      <w:start w:val="1"/>
    </w:lvl>
  </w:abstractNum>
  <w:abstractNum w:abstractNumId="18">
    <w:nsid w:val="5F5E7FD0"/>
    <w:multiLevelType w:val="hybridMultilevel"/>
    <w:lvl w:ilvl="0">
      <w:lvlJc w:val="left"/>
      <w:lvlText w:val="%1"/>
      <w:numFmt w:val="decimal"/>
      <w:start w:val="25"/>
    </w:lvl>
  </w:abstractNum>
  <w:abstractNum w:abstractNumId="19">
    <w:nsid w:val="98A3148"/>
    <w:multiLevelType w:val="hybridMultilevel"/>
    <w:lvl w:ilvl="0">
      <w:lvlJc w:val="left"/>
      <w:lvlText w:val="%1"/>
      <w:numFmt w:val="decimal"/>
      <w:start w:val="25"/>
    </w:lvl>
  </w:abstractNum>
  <w:abstractNum w:abstractNumId="20">
    <w:nsid w:val="799D0247"/>
    <w:multiLevelType w:val="hybridMultilevel"/>
    <w:lvl w:ilvl="0">
      <w:lvlJc w:val="left"/>
      <w:lvlText w:val="%1"/>
      <w:numFmt w:val="decimal"/>
      <w:start w:val="31"/>
    </w:lvl>
  </w:abstractNum>
  <w:abstractNum w:abstractNumId="21">
    <w:nsid w:val="6B94764"/>
    <w:multiLevelType w:val="hybridMultilevel"/>
    <w:lvl w:ilvl="0">
      <w:lvlJc w:val="left"/>
      <w:lvlText w:val="%1"/>
      <w:numFmt w:val="decimal"/>
      <w:start w:val="36"/>
    </w:lvl>
  </w:abstractNum>
  <w:abstractNum w:abstractNumId="22">
    <w:nsid w:val="42C296BD"/>
    <w:multiLevelType w:val="hybridMultilevel"/>
    <w:lvl w:ilvl="0">
      <w:lvlJc w:val="left"/>
      <w:lvlText w:val="%1"/>
      <w:numFmt w:val="decimal"/>
      <w:start w:val="36"/>
    </w:lvl>
  </w:abstractNum>
  <w:abstractNum w:abstractNumId="23">
    <w:nsid w:val="168E121F"/>
    <w:multiLevelType w:val="hybridMultilevel"/>
    <w:lvl w:ilvl="0">
      <w:lvlJc w:val="left"/>
      <w:lvlText w:val="%1"/>
      <w:numFmt w:val="decimal"/>
      <w:start w:val="38"/>
    </w:lvl>
  </w:abstractNum>
  <w:abstractNum w:abstractNumId="24">
    <w:nsid w:val="1EBA5D23"/>
    <w:multiLevelType w:val="hybridMultilevel"/>
    <w:lvl w:ilvl="0">
      <w:lvlJc w:val="left"/>
      <w:lvlText w:val="%1"/>
      <w:numFmt w:val="decimal"/>
      <w:start w:val="50"/>
    </w:lvl>
  </w:abstractNum>
  <w:abstractNum w:abstractNumId="25">
    <w:nsid w:val="661E3F1E"/>
    <w:multiLevelType w:val="hybridMultilevel"/>
    <w:lvl w:ilvl="0">
      <w:lvlJc w:val="left"/>
      <w:lvlText w:val="%1"/>
      <w:numFmt w:val="decimal"/>
      <w:start w:val="54"/>
    </w:lvl>
  </w:abstractNum>
  <w:abstractNum w:abstractNumId="26">
    <w:nsid w:val="5DC79EA8"/>
    <w:multiLevelType w:val="hybridMultilevel"/>
    <w:lvl w:ilvl="0">
      <w:lvlJc w:val="left"/>
      <w:lvlText w:val="%1"/>
      <w:numFmt w:val="decimal"/>
      <w:start w:val="56"/>
    </w:lvl>
  </w:abstractNum>
  <w:abstractNum w:abstractNumId="27">
    <w:nsid w:val="540A471C"/>
    <w:multiLevelType w:val="hybridMultilevel"/>
    <w:lvl w:ilvl="0">
      <w:lvlJc w:val="left"/>
      <w:lvlText w:val="%1"/>
      <w:numFmt w:val="decimal"/>
      <w:start w:val="61"/>
    </w:lvl>
  </w:abstractNum>
  <w:abstractNum w:abstractNumId="28">
    <w:nsid w:val="7BD3EE7B"/>
    <w:multiLevelType w:val="hybridMultilevel"/>
    <w:lvl w:ilvl="0">
      <w:lvlJc w:val="left"/>
      <w:lvlText w:val="%1"/>
      <w:numFmt w:val="decimal"/>
      <w:start w:val="71"/>
    </w:lvl>
  </w:abstractNum>
  <w:abstractNum w:abstractNumId="29">
    <w:nsid w:val="51D9C564"/>
    <w:multiLevelType w:val="hybridMultilevel"/>
    <w:lvl w:ilvl="0">
      <w:lvlJc w:val="left"/>
      <w:lvlText w:val="1"/>
      <w:numFmt w:val="bullet"/>
      <w:start w:val="1"/>
    </w:lvl>
  </w:abstractNum>
  <w:abstractNum w:abstractNumId="30">
    <w:nsid w:val="613EFDC5"/>
    <w:multiLevelType w:val="hybridMultilevel"/>
    <w:lvl w:ilvl="0">
      <w:lvlJc w:val="left"/>
      <w:lvlText w:val="2"/>
      <w:numFmt w:val="bullet"/>
      <w:start w:val="1"/>
    </w:lvl>
  </w:abstractNum>
  <w:abstractNum w:abstractNumId="31">
    <w:nsid w:val="BF72B14"/>
    <w:multiLevelType w:val="hybridMultilevel"/>
    <w:lvl w:ilvl="0">
      <w:lvlJc w:val="left"/>
      <w:lvlText w:val="3"/>
      <w:numFmt w:val="bullet"/>
      <w:start w:val="1"/>
    </w:lvl>
  </w:abstractNum>
  <w:abstractNum w:abstractNumId="32">
    <w:nsid w:val="11447B73"/>
    <w:multiLevelType w:val="hybridMultilevel"/>
    <w:lvl w:ilvl="0">
      <w:lvlJc w:val="left"/>
      <w:lvlText w:val="4"/>
      <w:numFmt w:val="bullet"/>
      <w:start w:val="1"/>
    </w:lvl>
  </w:abstractNum>
  <w:abstractNum w:abstractNumId="33">
    <w:nsid w:val="42963E5A"/>
    <w:multiLevelType w:val="hybridMultilevel"/>
    <w:lvl w:ilvl="0">
      <w:lvlJc w:val="left"/>
      <w:lvlText w:val="(%1)"/>
      <w:numFmt w:val="lowerRoman"/>
      <w:start w:val="1"/>
    </w:lvl>
  </w:abstractNum>
  <w:abstractNum w:abstractNumId="34">
    <w:nsid w:val="A0382C5"/>
    <w:multiLevelType w:val="hybridMultilevel"/>
    <w:lvl w:ilvl="0">
      <w:lvlJc w:val="left"/>
      <w:lvlText w:val="(%1)"/>
      <w:numFmt w:val="lowerLetter"/>
      <w:start w:val="2"/>
    </w:lvl>
  </w:abstractNum>
  <w:abstractNum w:abstractNumId="35">
    <w:nsid w:val="8F2B15E"/>
    <w:multiLevelType w:val="hybridMultilevel"/>
    <w:lvl w:ilvl="0">
      <w:lvlJc w:val="left"/>
      <w:lvlText w:val="%1)"/>
      <w:numFmt w:val="decimal"/>
      <w:start w:val="1"/>
    </w:lvl>
  </w:abstractNum>
  <w:abstractNum w:abstractNumId="36">
    <w:nsid w:val="1A32234B"/>
    <w:multiLevelType w:val="hybridMultilevel"/>
    <w:lvl w:ilvl="0">
      <w:lvlJc w:val="left"/>
      <w:lvlText w:val="●"/>
      <w:numFmt w:val="bullet"/>
      <w:start w:val="1"/>
    </w:lvl>
  </w:abstractNum>
  <w:abstractNum w:abstractNumId="37">
    <w:nsid w:val="3B0FD379"/>
    <w:multiLevelType w:val="hybridMultilevel"/>
    <w:lvl w:ilvl="0">
      <w:lvlJc w:val="left"/>
      <w:lvlText w:val="●"/>
      <w:numFmt w:val="bullet"/>
      <w:start w:val="1"/>
    </w:lvl>
  </w:abstractNum>
  <w:abstractNum w:abstractNumId="38">
    <w:nsid w:val="68EB2F63"/>
    <w:multiLevelType w:val="hybridMultilevel"/>
    <w:lvl w:ilvl="0">
      <w:lvlJc w:val="left"/>
      <w:lvlText w:val="●"/>
      <w:numFmt w:val="bullet"/>
      <w:start w:val="1"/>
    </w:lvl>
  </w:abstractNum>
  <w:abstractNum w:abstractNumId="39">
    <w:nsid w:val="4962813B"/>
    <w:multiLevelType w:val="hybridMultilevel"/>
    <w:lvl w:ilvl="0">
      <w:lvlJc w:val="left"/>
      <w:lvlText w:val="●"/>
      <w:numFmt w:val="bullet"/>
      <w:start w:val="1"/>
    </w:lvl>
  </w:abstractNum>
  <w:abstractNum w:abstractNumId="40">
    <w:nsid w:val="60B6DF70"/>
    <w:multiLevelType w:val="hybridMultilevel"/>
    <w:lvl w:ilvl="0">
      <w:lvlJc w:val="left"/>
      <w:lvlText w:val="●"/>
      <w:numFmt w:val="bullet"/>
      <w:start w:val="1"/>
    </w:lvl>
  </w:abstractNum>
  <w:abstractNum w:abstractNumId="41">
    <w:nsid w:val="6A5EE64"/>
    <w:multiLevelType w:val="hybridMultilevel"/>
    <w:lvl w:ilvl="0">
      <w:lvlJc w:val="left"/>
      <w:lvlText w:val="(%1)"/>
      <w:numFmt w:val="decimal"/>
      <w:start w:val="1"/>
    </w:lvl>
    <w:lvl w:ilvl="1">
      <w:lvlJc w:val="left"/>
      <w:lvlText w:val="(%2)"/>
      <w:numFmt w:val="lowerRoman"/>
      <w:start w:val="2"/>
    </w:lvl>
  </w:abstractNum>
  <w:abstractNum w:abstractNumId="42">
    <w:nsid w:val="14330624"/>
    <w:multiLevelType w:val="hybridMultilevel"/>
    <w:lvl w:ilvl="0">
      <w:lvlJc w:val="left"/>
      <w:lvlText w:val="%1"/>
      <w:numFmt w:val="decimal"/>
      <w:start w:val="1"/>
    </w:lvl>
    <w:lvl w:ilvl="1">
      <w:lvlJc w:val="left"/>
      <w:lvlText w:val="(%2)"/>
      <w:numFmt w:val="lowerRoman"/>
      <w:start w:val="4"/>
    </w:lvl>
  </w:abstractNum>
  <w:abstractNum w:abstractNumId="43">
    <w:nsid w:val="7FFFCA11"/>
    <w:multiLevelType w:val="hybridMultilevel"/>
    <w:lvl w:ilvl="0">
      <w:lvlJc w:val="left"/>
      <w:lvlText w:val="%1"/>
      <w:numFmt w:val="decimal"/>
      <w:start w:val="14"/>
    </w:lvl>
  </w:abstractNum>
  <w:abstractNum w:abstractNumId="44">
    <w:nsid w:val="1A27709E"/>
    <w:multiLevelType w:val="hybridMultilevel"/>
    <w:lvl w:ilvl="0">
      <w:lvlJc w:val="left"/>
      <w:lvlText w:val="(%1)"/>
      <w:numFmt w:val="decimal"/>
      <w:start w:val="2"/>
    </w:lvl>
  </w:abstractNum>
  <w:abstractNum w:abstractNumId="45">
    <w:nsid w:val="71EA1109"/>
    <w:multiLevelType w:val="hybridMultilevel"/>
    <w:lvl w:ilvl="0">
      <w:lvlJc w:val="left"/>
      <w:lvlText w:val="(%1)"/>
      <w:numFmt w:val="decimal"/>
      <w:start w:val="17"/>
    </w:lvl>
  </w:abstractNum>
  <w:abstractNum w:abstractNumId="46">
    <w:nsid w:val="100F59DC"/>
    <w:multiLevelType w:val="hybridMultilevel"/>
    <w:lvl w:ilvl="0">
      <w:lvlJc w:val="left"/>
      <w:lvlText w:val="●"/>
      <w:numFmt w:val="bullet"/>
      <w:start w:val="1"/>
    </w:lvl>
  </w:abstractNum>
  <w:abstractNum w:abstractNumId="47">
    <w:nsid w:val="7FB7E0AA"/>
    <w:multiLevelType w:val="hybridMultilevel"/>
    <w:lvl w:ilvl="0">
      <w:lvlJc w:val="left"/>
      <w:lvlText w:val="(%1)"/>
      <w:numFmt w:val="lowerRoman"/>
      <w:start w:val="1"/>
    </w:lvl>
  </w:abstractNum>
  <w:abstractNum w:abstractNumId="48">
    <w:nsid w:val="6EB5BD4"/>
    <w:multiLevelType w:val="hybridMultilevel"/>
    <w:lvl w:ilvl="0">
      <w:lvlJc w:val="left"/>
      <w:lvlText w:val="●"/>
      <w:numFmt w:val="bullet"/>
      <w:start w:val="1"/>
    </w:lvl>
  </w:abstractNum>
  <w:abstractNum w:abstractNumId="49">
    <w:nsid w:val="6F6DD9AC"/>
    <w:multiLevelType w:val="hybridMultilevel"/>
    <w:lvl w:ilvl="0">
      <w:lvlJc w:val="left"/>
      <w:lvlText w:val="●"/>
      <w:numFmt w:val="bullet"/>
      <w:start w:val="1"/>
    </w:lvl>
    <w:lvl w:ilvl="1">
      <w:lvlJc w:val="left"/>
      <w:lvlText w:val="(%2)"/>
      <w:numFmt w:val="lowerRoman"/>
      <w:start w:val="1"/>
    </w:lvl>
  </w:abstractNum>
  <w:abstractNum w:abstractNumId="50">
    <w:nsid w:val="94211F2"/>
    <w:multiLevelType w:val="hybridMultilevel"/>
    <w:lvl w:ilvl="0">
      <w:lvlJc w:val="left"/>
      <w:lvlText w:val="(%1)"/>
      <w:numFmt w:val="lowerRoman"/>
      <w:start w:val="2"/>
    </w:lvl>
  </w:abstractNum>
  <w:abstractNum w:abstractNumId="51">
    <w:nsid w:val="885E1B"/>
    <w:multiLevelType w:val="hybridMultilevel"/>
    <w:lvl w:ilvl="0">
      <w:lvlJc w:val="left"/>
      <w:lvlText w:val="(%1)"/>
      <w:numFmt w:val="lowerRoman"/>
      <w:start w:val="5"/>
    </w:lvl>
  </w:abstractNum>
  <w:abstractNum w:abstractNumId="52">
    <w:nsid w:val="76272110"/>
    <w:multiLevelType w:val="hybridMultilevel"/>
    <w:lvl w:ilvl="0">
      <w:lvlJc w:val="left"/>
      <w:lvlText w:val="●"/>
      <w:numFmt w:val="bullet"/>
      <w:start w:val="1"/>
    </w:lvl>
  </w:abstractNum>
  <w:abstractNum w:abstractNumId="53">
    <w:nsid w:val="4C04A8AF"/>
    <w:multiLevelType w:val="hybridMultilevel"/>
    <w:lvl w:ilvl="0">
      <w:lvlJc w:val="left"/>
      <w:lvlText w:val="●"/>
      <w:numFmt w:val="bullet"/>
      <w:start w:val="1"/>
    </w:lvl>
  </w:abstractNum>
  <w:abstractNum w:abstractNumId="54">
    <w:nsid w:val="1716703B"/>
    <w:multiLevelType w:val="hybridMultilevel"/>
    <w:lvl w:ilvl="0">
      <w:lvlJc w:val="left"/>
      <w:lvlText w:val="(%1)"/>
      <w:numFmt w:val="lowerRoman"/>
      <w:start w:val="1"/>
    </w:lvl>
  </w:abstractNum>
  <w:abstractNum w:abstractNumId="55">
    <w:nsid w:val="14E17E33"/>
    <w:multiLevelType w:val="hybridMultilevel"/>
    <w:lvl w:ilvl="0">
      <w:lvlJc w:val="left"/>
      <w:lvlText w:val="(%1)"/>
      <w:numFmt w:val="lowerRoman"/>
      <w:start w:val="1"/>
    </w:lvl>
  </w:abstractNum>
  <w:abstractNum w:abstractNumId="56">
    <w:nsid w:val="3222E7CD"/>
    <w:multiLevelType w:val="hybridMultilevel"/>
    <w:lvl w:ilvl="0">
      <w:lvlJc w:val="left"/>
      <w:lvlText w:val="%1"/>
      <w:numFmt w:val="decimal"/>
      <w:start w:val="22"/>
    </w:lvl>
  </w:abstractNum>
  <w:abstractNum w:abstractNumId="57">
    <w:nsid w:val="74DE0EE3"/>
    <w:multiLevelType w:val="hybridMultilevel"/>
    <w:lvl w:ilvl="0">
      <w:lvlJc w:val="left"/>
      <w:lvlText w:val="%1)"/>
      <w:numFmt w:val="decimal"/>
      <w:start w:val="1"/>
    </w:lvl>
  </w:abstractNum>
  <w:abstractNum w:abstractNumId="58">
    <w:nsid w:val="68EBC550"/>
    <w:multiLevelType w:val="hybridMultilevel"/>
    <w:lvl w:ilvl="0">
      <w:lvlJc w:val="left"/>
      <w:lvlText w:val="●"/>
      <w:numFmt w:val="bullet"/>
      <w:start w:val="1"/>
    </w:lvl>
  </w:abstractNum>
  <w:abstractNum w:abstractNumId="59">
    <w:nsid w:val="2DF6D648"/>
    <w:multiLevelType w:val="hybridMultilevel"/>
    <w:lvl w:ilvl="0">
      <w:lvlJc w:val="left"/>
      <w:lvlText w:val="●"/>
      <w:numFmt w:val="bullet"/>
      <w:start w:val="1"/>
    </w:lvl>
  </w:abstractNum>
  <w:abstractNum w:abstractNumId="60">
    <w:nsid w:val="46B7D447"/>
    <w:multiLevelType w:val="hybridMultilevel"/>
    <w:lvl w:ilvl="0">
      <w:lvlJc w:val="left"/>
      <w:lvlText w:val="●"/>
      <w:numFmt w:val="bullet"/>
      <w:start w:val="1"/>
    </w:lvl>
  </w:abstractNum>
  <w:abstractNum w:abstractNumId="61">
    <w:nsid w:val="4A2AC315"/>
    <w:multiLevelType w:val="hybridMultilevel"/>
    <w:lvl w:ilvl="0">
      <w:lvlJc w:val="left"/>
      <w:lvlText w:val="●"/>
      <w:numFmt w:val="bullet"/>
      <w:start w:val="1"/>
    </w:lvl>
  </w:abstractNum>
  <w:abstractNum w:abstractNumId="62">
    <w:nsid w:val="39EE015C"/>
    <w:multiLevelType w:val="hybridMultilevel"/>
    <w:lvl w:ilvl="0">
      <w:lvlJc w:val="left"/>
      <w:lvlText w:val="●"/>
      <w:numFmt w:val="bullet"/>
      <w:start w:val="1"/>
    </w:lvl>
  </w:abstractNum>
  <w:abstractNum w:abstractNumId="63">
    <w:nsid w:val="57FC4FBB"/>
    <w:multiLevelType w:val="hybridMultilevel"/>
    <w:lvl w:ilvl="0">
      <w:lvlJc w:val="left"/>
      <w:lvlText w:val="●"/>
      <w:numFmt w:val="bullet"/>
      <w:start w:val="1"/>
    </w:lvl>
  </w:abstractNum>
  <w:abstractNum w:abstractNumId="64">
    <w:nsid w:val="CC1016F"/>
    <w:multiLevelType w:val="hybridMultilevel"/>
    <w:lvl w:ilvl="0">
      <w:lvlJc w:val="left"/>
      <w:lvlText w:val="(%1)"/>
      <w:numFmt w:val="decimal"/>
      <w:start w:val="1"/>
    </w:lvl>
  </w:abstractNum>
  <w:abstractNum w:abstractNumId="65">
    <w:nsid w:val="43F18422"/>
    <w:multiLevelType w:val="hybridMultilevel"/>
    <w:lvl w:ilvl="0">
      <w:lvlJc w:val="left"/>
      <w:lvlText w:val="(%1)"/>
      <w:numFmt w:val="lowerLetter"/>
      <w:start w:val="1"/>
    </w:lvl>
  </w:abstractNum>
  <w:abstractNum w:abstractNumId="66">
    <w:nsid w:val="60EF0119"/>
    <w:multiLevelType w:val="hybridMultilevel"/>
    <w:lvl w:ilvl="0">
      <w:lvlJc w:val="left"/>
      <w:lvlText w:val=" "/>
      <w:numFmt w:val="bullet"/>
      <w:start w:val="1"/>
    </w:lvl>
  </w:abstractNum>
  <w:abstractNum w:abstractNumId="67">
    <w:nsid w:val="26F324BA"/>
    <w:multiLevelType w:val="hybridMultilevel"/>
    <w:lvl w:ilvl="0">
      <w:lvlJc w:val="left"/>
      <w:lvlText w:val=" "/>
      <w:numFmt w:val="bullet"/>
      <w:start w:val="1"/>
    </w:lvl>
  </w:abstractNum>
  <w:abstractNum w:abstractNumId="68">
    <w:nsid w:val="7F01579B"/>
    <w:multiLevelType w:val="hybridMultilevel"/>
    <w:lvl w:ilvl="0">
      <w:lvlJc w:val="left"/>
      <w:lvlText w:val=" "/>
      <w:numFmt w:val="bullet"/>
      <w:start w:val="1"/>
    </w:lvl>
  </w:abstractNum>
  <w:abstractNum w:abstractNumId="69">
    <w:nsid w:val="49DA307D"/>
    <w:multiLevelType w:val="hybridMultilevel"/>
    <w:lvl w:ilvl="0">
      <w:lvlJc w:val="left"/>
      <w:lvlText w:val=" "/>
      <w:numFmt w:val="bullet"/>
      <w:start w:val="1"/>
    </w:lvl>
  </w:abstractNum>
  <w:abstractNum w:abstractNumId="70">
    <w:nsid w:val="7055A5F5"/>
    <w:multiLevelType w:val="hybridMultilevel"/>
    <w:lvl w:ilvl="0">
      <w:lvlJc w:val="left"/>
      <w:lvlText w:val="(%1)"/>
      <w:numFmt w:val="decimal"/>
      <w:start w:val="1"/>
    </w:lvl>
  </w:abstractNum>
  <w:abstractNum w:abstractNumId="71">
    <w:nsid w:val="5FB8370B"/>
    <w:multiLevelType w:val="hybridMultilevel"/>
    <w:lvl w:ilvl="0">
      <w:lvlJc w:val="left"/>
      <w:lvlText w:val="(%1)"/>
      <w:numFmt w:val="decimal"/>
      <w:start w:val="5"/>
    </w:lvl>
  </w:abstractNum>
  <w:abstractNum w:abstractNumId="72">
    <w:nsid w:val="50801EE1"/>
    <w:multiLevelType w:val="hybridMultilevel"/>
    <w:lvl w:ilvl="0">
      <w:lvlJc w:val="left"/>
      <w:lvlText w:val="(%1)"/>
      <w:numFmt w:val="decimal"/>
      <w:start w:val="1"/>
    </w:lvl>
  </w:abstractNum>
  <w:abstractNum w:abstractNumId="73">
    <w:nsid w:val="488AC1A"/>
    <w:multiLevelType w:val="hybridMultilevel"/>
    <w:lvl w:ilvl="0">
      <w:lvlJc w:val="left"/>
      <w:lvlText w:val="(%1)"/>
      <w:numFmt w:val="decimal"/>
      <w:start w:val="6"/>
    </w:lvl>
  </w:abstractNum>
  <w:abstractNum w:abstractNumId="74">
    <w:nsid w:val="5FB8011C"/>
    <w:multiLevelType w:val="hybridMultilevel"/>
    <w:lvl w:ilvl="0">
      <w:lvlJc w:val="left"/>
      <w:lvlText w:val="(%1)"/>
      <w:numFmt w:val="decimal"/>
      <w:start w:val="1"/>
    </w:lvl>
  </w:abstractNum>
  <w:abstractNum w:abstractNumId="75">
    <w:nsid w:val="6AA78F7F"/>
    <w:multiLevelType w:val="hybridMultilevel"/>
    <w:lvl w:ilvl="0">
      <w:lvlJc w:val="left"/>
      <w:lvlText w:val="(%1)"/>
      <w:numFmt w:val="decimal"/>
      <w:start w:val="1"/>
    </w:lvl>
  </w:abstractNum>
  <w:abstractNum w:abstractNumId="76">
    <w:nsid w:val="7672BD23"/>
    <w:multiLevelType w:val="hybridMultilevel"/>
    <w:lvl w:ilvl="0">
      <w:lvlJc w:val="left"/>
      <w:lvlText w:val="%1"/>
      <w:numFmt w:val="decimal"/>
      <w:start w:val="44"/>
    </w:lvl>
  </w:abstractNum>
  <w:abstractNum w:abstractNumId="77">
    <w:nsid w:val="6FC75AF8"/>
    <w:multiLevelType w:val="hybridMultilevel"/>
    <w:lvl w:ilvl="0">
      <w:lvlJc w:val="left"/>
      <w:lvlText w:val="(%1)"/>
      <w:numFmt w:val="lowerLetter"/>
      <w:start w:val="2"/>
    </w:lvl>
  </w:abstractNum>
  <w:abstractNum w:abstractNumId="78">
    <w:nsid w:val="6A5F7029"/>
    <w:multiLevelType w:val="hybridMultilevel"/>
    <w:lvl w:ilvl="0">
      <w:lvlJc w:val="left"/>
      <w:lvlText w:val=" "/>
      <w:numFmt w:val="bullet"/>
      <w:start w:val="1"/>
    </w:lvl>
  </w:abstractNum>
  <w:abstractNum w:abstractNumId="79">
    <w:nsid w:val="7D5E18F8"/>
    <w:multiLevelType w:val="hybridMultilevel"/>
    <w:lvl w:ilvl="0">
      <w:lvlJc w:val="left"/>
      <w:lvlText w:val="(%1)"/>
      <w:numFmt w:val="decimal"/>
      <w:start w:val="1"/>
    </w:lvl>
  </w:abstractNum>
  <w:abstractNum w:abstractNumId="80">
    <w:nsid w:val="5F3534A4"/>
    <w:multiLevelType w:val="hybridMultilevel"/>
    <w:lvl w:ilvl="0">
      <w:lvlJc w:val="left"/>
      <w:lvlText w:val=" "/>
      <w:numFmt w:val="bullet"/>
      <w:start w:val="1"/>
    </w:lvl>
  </w:abstractNum>
  <w:abstractNum w:abstractNumId="81">
    <w:nsid w:val="73A1821B"/>
    <w:multiLevelType w:val="hybridMultilevel"/>
    <w:lvl w:ilvl="0">
      <w:lvlJc w:val="left"/>
      <w:lvlText w:val="(%1)"/>
      <w:numFmt w:val="decimal"/>
      <w:start w:val="1"/>
    </w:lvl>
  </w:abstractNum>
  <w:abstractNum w:abstractNumId="82">
    <w:nsid w:val="7DE67713"/>
    <w:multiLevelType w:val="hybridMultilevel"/>
    <w:lvl w:ilvl="0">
      <w:lvlJc w:val="left"/>
      <w:lvlText w:val="%1"/>
      <w:numFmt w:val="decimal"/>
      <w:start w:val="48"/>
    </w:lvl>
  </w:abstractNum>
  <w:abstractNum w:abstractNumId="83">
    <w:nsid w:val="555C55B5"/>
    <w:multiLevelType w:val="hybridMultilevel"/>
    <w:lvl w:ilvl="0">
      <w:lvlJc w:val="left"/>
      <w:lvlText w:val="(%1)"/>
      <w:numFmt w:val="decimal"/>
      <w:start w:val="5"/>
    </w:lvl>
  </w:abstractNum>
  <w:abstractNum w:abstractNumId="84">
    <w:nsid w:val="3FA62ACA"/>
    <w:multiLevelType w:val="hybridMultilevel"/>
    <w:lvl w:ilvl="0">
      <w:lvlJc w:val="left"/>
      <w:lvlText w:val=" "/>
      <w:numFmt w:val="bullet"/>
      <w:start w:val="1"/>
    </w:lvl>
  </w:abstractNum>
  <w:abstractNum w:abstractNumId="85">
    <w:nsid w:val="14FCE74E"/>
    <w:multiLevelType w:val="hybridMultilevel"/>
    <w:lvl w:ilvl="0">
      <w:lvlJc w:val="left"/>
      <w:lvlText w:val="(%1)"/>
      <w:numFmt w:val="decimal"/>
      <w:start w:val="1"/>
    </w:lvl>
  </w:abstractNum>
  <w:abstractNum w:abstractNumId="86">
    <w:nsid w:val="6A3DD3E8"/>
    <w:multiLevelType w:val="hybridMultilevel"/>
    <w:lvl w:ilvl="0">
      <w:lvlJc w:val="left"/>
      <w:lvlText w:val=" "/>
      <w:numFmt w:val="bullet"/>
      <w:start w:val="1"/>
    </w:lvl>
  </w:abstractNum>
  <w:abstractNum w:abstractNumId="87">
    <w:nsid w:val="71C91298"/>
    <w:multiLevelType w:val="hybridMultilevel"/>
    <w:lvl w:ilvl="0">
      <w:lvlJc w:val="left"/>
      <w:lvlText w:val="(%1)"/>
      <w:numFmt w:val="decimal"/>
      <w:start w:val="1"/>
    </w:lvl>
  </w:abstractNum>
  <w:abstractNum w:abstractNumId="88">
    <w:nsid w:val="9DAF632"/>
    <w:multiLevelType w:val="hybridMultilevel"/>
    <w:lvl w:ilvl="0">
      <w:lvlJc w:val="left"/>
      <w:lvlText w:val="(%1)"/>
      <w:numFmt w:val="decimal"/>
      <w:start w:val="5"/>
    </w:lvl>
  </w:abstractNum>
  <w:abstractNum w:abstractNumId="89">
    <w:nsid w:val="53299938"/>
    <w:multiLevelType w:val="hybridMultilevel"/>
    <w:lvl w:ilvl="0">
      <w:lvlJc w:val="left"/>
      <w:lvlText w:val=" "/>
      <w:numFmt w:val="bullet"/>
      <w:start w:val="1"/>
    </w:lvl>
  </w:abstractNum>
  <w:abstractNum w:abstractNumId="90">
    <w:nsid w:val="1FBFE8E0"/>
    <w:multiLevelType w:val="hybridMultilevel"/>
    <w:lvl w:ilvl="0">
      <w:lvlJc w:val="left"/>
      <w:lvlText w:val="(%1)"/>
      <w:numFmt w:val="decimal"/>
      <w:start w:val="1"/>
    </w:lvl>
  </w:abstractNum>
  <w:abstractNum w:abstractNumId="91">
    <w:nsid w:val="5092CA79"/>
    <w:multiLevelType w:val="hybridMultilevel"/>
    <w:lvl w:ilvl="0">
      <w:lvlJc w:val="left"/>
      <w:lvlText w:val="(%1)"/>
      <w:numFmt w:val="decimal"/>
      <w:start w:val="1"/>
    </w:lvl>
  </w:abstractNum>
  <w:abstractNum w:abstractNumId="92">
    <w:nsid w:val="1D545C4D"/>
    <w:multiLevelType w:val="hybridMultilevel"/>
    <w:lvl w:ilvl="0">
      <w:lvlJc w:val="left"/>
      <w:lvlText w:val="(%1)"/>
      <w:numFmt w:val="decimal"/>
      <w:start w:val="1"/>
    </w:lvl>
  </w:abstractNum>
  <w:abstractNum w:abstractNumId="93">
    <w:nsid w:val="59ADEA3D"/>
    <w:multiLevelType w:val="hybridMultilevel"/>
    <w:lvl w:ilvl="0">
      <w:lvlJc w:val="left"/>
      <w:lvlText w:val="(%1)"/>
      <w:numFmt w:val="decimal"/>
      <w:start w:val="2"/>
    </w:lvl>
    <w:lvl w:ilvl="1">
      <w:lvlJc w:val="left"/>
      <w:lvlText w:val="%2."/>
      <w:numFmt w:val="lowerLetter"/>
      <w:start w:val="1"/>
    </w:lvl>
  </w:abstractNum>
  <w:abstractNum w:abstractNumId="94">
    <w:nsid w:val="288F1A34"/>
    <w:multiLevelType w:val="hybridMultilevel"/>
    <w:lvl w:ilvl="0">
      <w:lvlJc w:val="left"/>
      <w:lvlText w:val="(%1)"/>
      <w:numFmt w:val="decimal"/>
      <w:start w:val="3"/>
    </w:lvl>
    <w:lvl w:ilvl="1">
      <w:lvlJc w:val="left"/>
      <w:lvlText w:val="%2."/>
      <w:numFmt w:val="lowerLetter"/>
      <w:start w:val="1"/>
    </w:lvl>
  </w:abstractNum>
  <w:abstractNum w:abstractNumId="95">
    <w:nsid w:val="2A155DBC"/>
    <w:multiLevelType w:val="hybridMultilevel"/>
    <w:lvl w:ilvl="0">
      <w:lvlJc w:val="left"/>
      <w:lvlText w:val="%1"/>
      <w:numFmt w:val="decimal"/>
      <w:start w:val="54"/>
    </w:lvl>
  </w:abstractNum>
  <w:abstractNum w:abstractNumId="96">
    <w:nsid w:val="1D9F6E5F"/>
    <w:multiLevelType w:val="hybridMultilevel"/>
    <w:lvl w:ilvl="0">
      <w:lvlJc w:val="left"/>
      <w:lvlText w:val="(%1)"/>
      <w:numFmt w:val="decimal"/>
      <w:start w:val="1"/>
    </w:lvl>
  </w:abstractNum>
  <w:abstractNum w:abstractNumId="97">
    <w:nsid w:val="97E1B4E"/>
    <w:multiLevelType w:val="hybridMultilevel"/>
    <w:lvl w:ilvl="0">
      <w:lvlJc w:val="left"/>
      <w:lvlText w:val="%1"/>
      <w:numFmt w:val="decimal"/>
      <w:start w:val="56"/>
    </w:lvl>
  </w:abstractNum>
  <w:abstractNum w:abstractNumId="98">
    <w:nsid w:val="51088277"/>
    <w:multiLevelType w:val="hybridMultilevel"/>
    <w:lvl w:ilvl="0">
      <w:lvlJc w:val="left"/>
      <w:lvlText w:val="(%1)"/>
      <w:numFmt w:val="decimal"/>
      <w:start w:val="1"/>
    </w:lvl>
  </w:abstractNum>
  <w:abstractNum w:abstractNumId="99">
    <w:nsid w:val="1CA0C5FA"/>
    <w:multiLevelType w:val="hybridMultilevel"/>
    <w:lvl w:ilvl="0">
      <w:lvlJc w:val="left"/>
      <w:lvlText w:val="●"/>
      <w:numFmt w:val="bullet"/>
      <w:start w:val="1"/>
    </w:lvl>
  </w:abstractNum>
  <w:abstractNum w:abstractNumId="100">
    <w:nsid w:val="53584BCB"/>
    <w:multiLevelType w:val="hybridMultilevel"/>
    <w:lvl w:ilvl="0">
      <w:lvlJc w:val="left"/>
      <w:lvlText w:val="●"/>
      <w:numFmt w:val="bullet"/>
      <w:start w:val="1"/>
    </w:lvl>
  </w:abstractNum>
  <w:abstractNum w:abstractNumId="101">
    <w:nsid w:val="415E286C"/>
    <w:multiLevelType w:val="hybridMultilevel"/>
    <w:lvl w:ilvl="0">
      <w:lvlJc w:val="left"/>
      <w:lvlText w:val="●"/>
      <w:numFmt w:val="bullet"/>
      <w:start w:val="1"/>
    </w:lvl>
    <w:lvl w:ilvl="1">
      <w:lvlJc w:val="left"/>
      <w:lvlText w:val="(%2)"/>
      <w:numFmt w:val="lowerLetter"/>
      <w:start w:val="1"/>
    </w:lvl>
  </w:abstractNum>
  <w:abstractNum w:abstractNumId="102">
    <w:nsid w:val="7C58FD05"/>
    <w:multiLevelType w:val="hybridMultilevel"/>
    <w:lvl w:ilvl="0">
      <w:lvlJc w:val="left"/>
      <w:lvlText w:val="(%1)"/>
      <w:numFmt w:val="lowerLetter"/>
      <w:start w:val="1"/>
    </w:lvl>
  </w:abstractNum>
  <w:abstractNum w:abstractNumId="103">
    <w:nsid w:val="23D86AAC"/>
    <w:multiLevelType w:val="hybridMultilevel"/>
    <w:lvl w:ilvl="0">
      <w:lvlJc w:val="left"/>
      <w:lvlText w:val="(%1)"/>
      <w:numFmt w:val="lowerLetter"/>
      <w:start w:val="4"/>
    </w:lvl>
  </w:abstractNum>
  <w:abstractNum w:abstractNumId="104">
    <w:nsid w:val="45E6D486"/>
    <w:multiLevelType w:val="hybridMultilevel"/>
    <w:lvl w:ilvl="0">
      <w:lvlJc w:val="left"/>
      <w:lvlText w:val="(%1)"/>
      <w:numFmt w:val="lowerLetter"/>
      <w:start w:val="2"/>
    </w:lvl>
  </w:abstractNum>
  <w:abstractNum w:abstractNumId="105">
    <w:nsid w:val="5C10FE21"/>
    <w:multiLevelType w:val="hybridMultilevel"/>
    <w:lvl w:ilvl="0">
      <w:lvlJc w:val="left"/>
      <w:lvlText w:val=" "/>
      <w:numFmt w:val="bullet"/>
      <w:start w:val="1"/>
    </w:lvl>
  </w:abstractNum>
  <w:abstractNum w:abstractNumId="106">
    <w:nsid w:val="E7FFA2B"/>
    <w:multiLevelType w:val="hybridMultilevel"/>
    <w:lvl w:ilvl="0">
      <w:lvlJc w:val="left"/>
      <w:lvlText w:val=" "/>
      <w:numFmt w:val="bullet"/>
      <w:start w:val="1"/>
    </w:lvl>
  </w:abstractNum>
  <w:abstractNum w:abstractNumId="107">
    <w:nsid w:val="3C5991AA"/>
    <w:multiLevelType w:val="hybridMultilevel"/>
    <w:lvl w:ilvl="0">
      <w:lvlJc w:val="left"/>
      <w:lvlText w:val=" "/>
      <w:numFmt w:val="bullet"/>
      <w:start w:val="1"/>
    </w:lvl>
  </w:abstractNum>
  <w:abstractNum w:abstractNumId="108">
    <w:nsid w:val="4BD8591A"/>
    <w:multiLevelType w:val="hybridMultilevel"/>
    <w:lvl w:ilvl="0">
      <w:lvlJc w:val="left"/>
      <w:lvlText w:val="%1"/>
      <w:numFmt w:val="decimal"/>
      <w:start w:val="68"/>
    </w:lvl>
  </w:abstractNum>
  <w:abstractNum w:abstractNumId="109">
    <w:nsid w:val="78DF6A55"/>
    <w:multiLevelType w:val="hybridMultilevel"/>
    <w:lvl w:ilvl="0">
      <w:lvlJc w:val="left"/>
      <w:lvlText w:val=" "/>
      <w:numFmt w:val="bullet"/>
      <w:start w:val="1"/>
    </w:lvl>
  </w:abstractNum>
  <w:abstractNum w:abstractNumId="110">
    <w:nsid w:val="39B7AAA2"/>
    <w:multiLevelType w:val="hybridMultilevel"/>
    <w:lvl w:ilvl="0">
      <w:lvlJc w:val="left"/>
      <w:lvlText w:val=" "/>
      <w:numFmt w:val="bullet"/>
      <w:start w:val="1"/>
    </w:lvl>
  </w:abstractNum>
  <w:abstractNum w:abstractNumId="111">
    <w:nsid w:val="2B0D8DBE"/>
    <w:multiLevelType w:val="hybridMultilevel"/>
    <w:lvl w:ilvl="0">
      <w:lvlJc w:val="left"/>
      <w:lvlText w:val=" "/>
      <w:numFmt w:val="bullet"/>
      <w:start w:val="1"/>
    </w:lvl>
  </w:abstractNum>
  <w:abstractNum w:abstractNumId="112">
    <w:nsid w:val="6C80EC70"/>
    <w:multiLevelType w:val="hybridMultilevel"/>
    <w:lvl w:ilvl="0">
      <w:lvlJc w:val="left"/>
      <w:lvlText w:val="(%1)"/>
      <w:numFmt w:val="lowerLetter"/>
      <w:start w:val="8"/>
    </w:lvl>
  </w:abstractNum>
  <w:abstractNum w:abstractNumId="113">
    <w:nsid w:val="379E21B5"/>
    <w:multiLevelType w:val="hybridMultilevel"/>
    <w:lvl w:ilvl="0">
      <w:lvlJc w:val="left"/>
      <w:lvlText w:val="(%1)"/>
      <w:numFmt w:val="lowerLetter"/>
      <w:start w:val="12"/>
    </w:lvl>
  </w:abstractNum>
  <w:abstractNum w:abstractNumId="114">
    <w:nsid w:val="69E373"/>
    <w:multiLevelType w:val="hybridMultilevel"/>
    <w:lvl w:ilvl="0">
      <w:lvlJc w:val="left"/>
      <w:lvlText w:val="(%1)"/>
      <w:numFmt w:val="lowerLetter"/>
      <w:start w:val="1"/>
    </w:lvl>
    <w:lvl w:ilvl="1">
      <w:lvlJc w:val="left"/>
      <w:lvlText w:val="(%2)"/>
      <w:numFmt w:val="lowerRoman"/>
      <w:start w:val="1"/>
    </w:lvl>
  </w:abstractNum>
  <w:abstractNum w:abstractNumId="115">
    <w:nsid w:val="2C27173B"/>
    <w:multiLevelType w:val="hybridMultilevel"/>
    <w:lvl w:ilvl="0">
      <w:lvlJc w:val="left"/>
      <w:lvlText w:val="%1"/>
      <w:numFmt w:val="lowerLetter"/>
      <w:start w:val="1"/>
    </w:lvl>
    <w:lvl w:ilvl="1">
      <w:lvlJc w:val="left"/>
      <w:lvlText w:val="(%2)"/>
      <w:numFmt w:val="lowerRoman"/>
      <w:start w:val="3"/>
    </w:lvl>
  </w:abstractNum>
  <w:abstractNum w:abstractNumId="116">
    <w:nsid w:val="4C9B0904"/>
    <w:multiLevelType w:val="hybridMultilevel"/>
    <w:lvl w:ilvl="0">
      <w:lvlJc w:val="left"/>
      <w:lvlText w:val="(%1)"/>
      <w:numFmt w:val="lowerLetter"/>
      <w:start w:val="3"/>
    </w:lvl>
    <w:lvl w:ilvl="1">
      <w:lvlJc w:val="left"/>
      <w:lvlText w:val="%2"/>
      <w:numFmt w:val="lowerRoman"/>
      <w:start w:val="1"/>
    </w:lvl>
  </w:abstractNum>
  <w:abstractNum w:abstractNumId="117">
    <w:nsid w:val="6AA7B75C"/>
    <w:multiLevelType w:val="hybridMultilevel"/>
    <w:lvl w:ilvl="0">
      <w:lvlJc w:val="left"/>
      <w:lvlText w:val="(%1)"/>
      <w:numFmt w:val="lowerLetter"/>
      <w:start w:val="1"/>
    </w:lvl>
  </w:abstractNum>
  <w:abstractNum w:abstractNumId="118">
    <w:nsid w:val="1DF029D3"/>
    <w:multiLevelType w:val="hybridMultilevel"/>
    <w:lvl w:ilvl="0">
      <w:lvlJc w:val="left"/>
      <w:lvlText w:val="(%1)"/>
      <w:numFmt w:val="lowerLetter"/>
      <w:start w:val="4"/>
    </w:lvl>
  </w:abstractNum>
  <w:abstractNum w:abstractNumId="119">
    <w:nsid w:val="5675FF36"/>
    <w:multiLevelType w:val="hybridMultilevel"/>
    <w:lvl w:ilvl="0">
      <w:lvlJc w:val="left"/>
      <w:lvlText w:val="(%1)"/>
      <w:numFmt w:val="decimal"/>
      <w:start w:val="1"/>
    </w:lvl>
    <w:lvl w:ilvl="1">
      <w:lvlJc w:val="left"/>
      <w:lvlText w:val="(%2)"/>
      <w:numFmt w:val="lowerRoman"/>
      <w:start w:val="3"/>
    </w:lvl>
  </w:abstractNum>
  <w:abstractNum w:abstractNumId="120">
    <w:nsid w:val="3DD15094"/>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jpeg"/><Relationship Id="rId204" Type="http://schemas.openxmlformats.org/officeDocument/2006/relationships/image" Target="media/image197.jpeg"/><Relationship Id="rId205" Type="http://schemas.openxmlformats.org/officeDocument/2006/relationships/image" Target="media/image198.jpeg"/><Relationship Id="rId206" Type="http://schemas.openxmlformats.org/officeDocument/2006/relationships/image" Target="media/image199.jpeg"/><Relationship Id="rId207" Type="http://schemas.openxmlformats.org/officeDocument/2006/relationships/image" Target="media/image200.jpe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jpe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jpe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jpe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jpe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jpe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jpe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jpe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jpe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jpe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jpe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jpe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jpeg"/><Relationship Id="rId370" Type="http://schemas.openxmlformats.org/officeDocument/2006/relationships/image" Target="media/image363.jpeg"/><Relationship Id="rId371" Type="http://schemas.openxmlformats.org/officeDocument/2006/relationships/image" Target="media/image364.jpeg"/><Relationship Id="rId372" Type="http://schemas.openxmlformats.org/officeDocument/2006/relationships/image" Target="media/image365.jpeg"/><Relationship Id="rId373" Type="http://schemas.openxmlformats.org/officeDocument/2006/relationships/image" Target="media/image366.jpe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jpeg"/><Relationship Id="rId378" Type="http://schemas.openxmlformats.org/officeDocument/2006/relationships/image" Target="media/image371.jpeg"/><Relationship Id="rId379" Type="http://schemas.openxmlformats.org/officeDocument/2006/relationships/image" Target="media/image372.jpeg"/><Relationship Id="rId380" Type="http://schemas.openxmlformats.org/officeDocument/2006/relationships/image" Target="media/image373.jpeg"/><Relationship Id="rId381" Type="http://schemas.openxmlformats.org/officeDocument/2006/relationships/image" Target="media/image374.jpeg"/><Relationship Id="rId382" Type="http://schemas.openxmlformats.org/officeDocument/2006/relationships/image" Target="media/image375.jpeg"/><Relationship Id="rId383" Type="http://schemas.openxmlformats.org/officeDocument/2006/relationships/image" Target="media/image376.jpeg"/><Relationship Id="rId384" Type="http://schemas.openxmlformats.org/officeDocument/2006/relationships/image" Target="media/image377.jpeg"/><Relationship Id="rId385" Type="http://schemas.openxmlformats.org/officeDocument/2006/relationships/image" Target="media/image378.jpeg"/><Relationship Id="rId386" Type="http://schemas.openxmlformats.org/officeDocument/2006/relationships/image" Target="media/image379.jpeg"/><Relationship Id="rId387" Type="http://schemas.openxmlformats.org/officeDocument/2006/relationships/image" Target="media/image380.jpe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jpe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jpe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jpe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jpe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jpe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jpe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jpe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jpe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jpeg"/><Relationship Id="rId465" Type="http://schemas.openxmlformats.org/officeDocument/2006/relationships/image" Target="media/image458.jpeg"/><Relationship Id="rId466" Type="http://schemas.openxmlformats.org/officeDocument/2006/relationships/image" Target="media/image459.png"/><Relationship Id="rId467" Type="http://schemas.openxmlformats.org/officeDocument/2006/relationships/image" Target="media/image460.jpe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jpe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jpe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jpe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jpe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jpe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jpe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jpe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jpe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jpeg"/><Relationship Id="rId516" Type="http://schemas.openxmlformats.org/officeDocument/2006/relationships/image" Target="media/image509.jpe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2026-05-05T15:23:44Z</dcterms:created>
  <dcterms:modified xsi:type="dcterms:W3CDTF">2026-05-05T15:23:44Z</dcterms:modified>
</cp:coreProperties>
</file>